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2023.</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NO.: </w:t>
      </w:r>
      <w:r>
        <w:rPr>
          <w:rFonts w:ascii="Times New Roman" w:cs="Times New Roman" w:eastAsia="Times New Roman" w:hAnsi="Times New Roman"/>
          <w:sz w:val="18"/>
          <w:szCs w:val="18"/>
          <w:b w:val="1"/>
          <w:bCs w:val="1"/>
          <w:color w:val="auto"/>
        </w:rPr>
        <w:t>001-15911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72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52-1256615</w:t>
            </w:r>
          </w:p>
        </w:tc>
      </w:tr>
      <w:tr>
        <w:trPr>
          <w:trHeight w:val="216"/>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997 LENOX DRIVE, SUITE 100,</w:t>
            </w:r>
          </w:p>
        </w:tc>
        <w:tc>
          <w:tcPr>
            <w:tcW w:w="3140" w:type="dxa"/>
            <w:vAlign w:val="bottom"/>
          </w:tcPr>
          <w:p>
            <w:pPr>
              <w:spacing w:after="0"/>
              <w:rPr>
                <w:sz w:val="24"/>
                <w:szCs w:val="24"/>
                <w:color w:val="auto"/>
              </w:rPr>
            </w:pPr>
          </w:p>
        </w:tc>
      </w:tr>
      <w:tr>
        <w:trPr>
          <w:trHeight w:val="220"/>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LAWRENCEVILLE, NJ</w:t>
            </w:r>
          </w:p>
        </w:tc>
        <w:tc>
          <w:tcPr>
            <w:tcW w:w="3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08648</w:t>
            </w:r>
          </w:p>
        </w:tc>
      </w:tr>
      <w:tr>
        <w:trPr>
          <w:trHeight w:val="234"/>
        </w:trPr>
        <w:tc>
          <w:tcPr>
            <w:tcW w:w="472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1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896-9100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IMNN</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was approximately $11.9 million as of June 30, 2023 (the last business day of the Registrant’s most recently completed second fiscal quarter) based on the closing sale price of $1.29 for the Registrant’s common stock on that date as reported by The Nasdaq Capital Market (“NASDAQ”). For purposes of this calculation, shares of common stock held by directors, officers and stockholders who own greater than 10% of the Registrant’s outstanding stock at June 30, 2023, were excluded. This determination of executive officers and directors as affiliates is not necessarily a conclusive determination for any other purpose.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26, 2024, 9,399,789 shares of the Registrant’s common stock were issued and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272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rPr>
                <w:sz w:val="15"/>
                <w:szCs w:val="15"/>
                <w:color w:val="auto"/>
              </w:rPr>
            </w:pP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rPr>
                <w:sz w:val="15"/>
                <w:szCs w:val="15"/>
                <w:color w:val="auto"/>
              </w:rPr>
            </w:pP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OVERVIEW</w:t>
            </w:r>
          </w:p>
        </w:tc>
        <w:tc>
          <w:tcPr>
            <w:tcW w:w="272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rPr>
                <w:sz w:val="15"/>
                <w:szCs w:val="15"/>
                <w:color w:val="auto"/>
              </w:rPr>
            </w:pP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THERAPLAS MODALITY: IMNN-001 DEVELOPMENT PROGRAM</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3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Ovarian Cancer Overview</w:t>
            </w:r>
          </w:p>
        </w:tc>
        <w:tc>
          <w:tcPr>
            <w:tcW w:w="272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IMNN-001 Immunotherapy</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3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OVATION I Study</w:t>
            </w:r>
          </w:p>
        </w:tc>
        <w:tc>
          <w:tcPr>
            <w:tcW w:w="272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OVATION 2 Study</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40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PLACCINE DNA VACCINE TECHNOLOGY PLATFORM</w:t>
            </w:r>
          </w:p>
        </w:tc>
        <w:tc>
          <w:tcPr>
            <w:tcW w:w="3140" w:type="dxa"/>
            <w:vAlign w:val="bottom"/>
            <w:tcBorders>
              <w:bottom w:val="single" w:sz="8" w:color="CCEEFF"/>
            </w:tcBorders>
            <w:gridSpan w:val="2"/>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COVID-19 Vaccine Overview</w:t>
            </w:r>
          </w:p>
        </w:tc>
        <w:tc>
          <w:tcPr>
            <w:tcW w:w="272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36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Our Next Generation Vaccine Initiative</w:t>
            </w:r>
          </w:p>
        </w:tc>
        <w:tc>
          <w:tcPr>
            <w:tcW w:w="272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rPr>
                <w:sz w:val="15"/>
                <w:szCs w:val="15"/>
                <w:color w:val="auto"/>
              </w:rPr>
            </w:pP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THERMODOX® DIRECTED CHEMOTHERAPY</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OPTIMA Study</w:t>
            </w:r>
          </w:p>
        </w:tc>
        <w:tc>
          <w:tcPr>
            <w:tcW w:w="6200" w:type="dxa"/>
            <w:vAlign w:val="bottom"/>
            <w:tcBorders>
              <w:bottom w:val="single" w:sz="8" w:color="CCEEFF"/>
            </w:tcBorders>
            <w:gridSpan w:val="23"/>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980" w:type="dxa"/>
            <w:vAlign w:val="bottom"/>
          </w:tcPr>
          <w:p>
            <w:pPr>
              <w:spacing w:after="0"/>
              <w:rPr>
                <w:sz w:val="15"/>
                <w:szCs w:val="15"/>
                <w:color w:val="auto"/>
              </w:rPr>
            </w:pP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BUSINESS STRATEGY AND DEVELOPMENT PLAN</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14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RESEARCH AND DEVELOPMENT EXPENDITURES</w:t>
            </w:r>
          </w:p>
        </w:tc>
        <w:tc>
          <w:tcPr>
            <w:tcW w:w="3400" w:type="dxa"/>
            <w:vAlign w:val="bottom"/>
            <w:tcBorders>
              <w:bottom w:val="single" w:sz="8" w:color="CCEEFF"/>
            </w:tcBorders>
            <w:gridSpan w:val="3"/>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5"/>
        </w:trPr>
        <w:tc>
          <w:tcPr>
            <w:tcW w:w="980" w:type="dxa"/>
            <w:vAlign w:val="bottom"/>
          </w:tcPr>
          <w:p>
            <w:pPr>
              <w:spacing w:after="0"/>
              <w:rPr>
                <w:sz w:val="15"/>
                <w:szCs w:val="15"/>
                <w:color w:val="auto"/>
              </w:rPr>
            </w:pP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GOVERNMENT REGULATION</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MANUFACTURING AND SUPPLY</w:t>
            </w:r>
          </w:p>
        </w:tc>
        <w:tc>
          <w:tcPr>
            <w:tcW w:w="4840" w:type="dxa"/>
            <w:vAlign w:val="bottom"/>
            <w:tcBorders>
              <w:bottom w:val="single" w:sz="8" w:color="CCEEFF"/>
            </w:tcBorders>
            <w:gridSpan w:val="9"/>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5"/>
        </w:trPr>
        <w:tc>
          <w:tcPr>
            <w:tcW w:w="980" w:type="dxa"/>
            <w:vAlign w:val="bottom"/>
          </w:tcPr>
          <w:p>
            <w:pPr>
              <w:spacing w:after="0"/>
              <w:rPr>
                <w:sz w:val="15"/>
                <w:szCs w:val="15"/>
                <w:color w:val="auto"/>
              </w:rPr>
            </w:pP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SALES AND MARKETING</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PRODUCT LIABILITY AND INSURANCE</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980" w:type="dxa"/>
            <w:vAlign w:val="bottom"/>
            <w:tcBorders>
              <w:top w:val="single" w:sz="8" w:color="CCEEFF"/>
            </w:tcBorders>
          </w:tcPr>
          <w:p>
            <w:pPr>
              <w:spacing w:after="0"/>
              <w:rPr>
                <w:sz w:val="15"/>
                <w:szCs w:val="15"/>
                <w:color w:val="auto"/>
              </w:rPr>
            </w:pPr>
          </w:p>
        </w:tc>
        <w:tc>
          <w:tcPr>
            <w:tcW w:w="3280" w:type="dxa"/>
            <w:vAlign w:val="bottom"/>
            <w:tcBorders>
              <w:top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COMPETITION</w:t>
            </w:r>
          </w:p>
        </w:tc>
        <w:tc>
          <w:tcPr>
            <w:tcW w:w="4260" w:type="dxa"/>
            <w:vAlign w:val="bottom"/>
            <w:tcBorders>
              <w:top w:val="single" w:sz="8" w:color="CCEEFF"/>
            </w:tcBorders>
            <w:gridSpan w:val="5"/>
          </w:tcPr>
          <w:p>
            <w:pPr>
              <w:spacing w:after="0"/>
              <w:rPr>
                <w:sz w:val="15"/>
                <w:szCs w:val="15"/>
                <w:color w:val="auto"/>
              </w:rPr>
            </w:pPr>
          </w:p>
        </w:tc>
        <w:tc>
          <w:tcPr>
            <w:tcW w:w="2720" w:type="dxa"/>
            <w:vAlign w:val="bottom"/>
            <w:tcBorders>
              <w:top w:val="single" w:sz="8" w:color="CCEEFF"/>
            </w:tcBorders>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INTELLECTUAL PROPERTY</w:t>
            </w:r>
          </w:p>
        </w:tc>
        <w:tc>
          <w:tcPr>
            <w:tcW w:w="5240" w:type="dxa"/>
            <w:vAlign w:val="bottom"/>
            <w:tcBorders>
              <w:bottom w:val="single" w:sz="8" w:color="CCEEFF"/>
            </w:tcBorders>
            <w:gridSpan w:val="13"/>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Patents and Proprietary Rights</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EMPLOYEES</w:t>
            </w:r>
          </w:p>
        </w:tc>
        <w:tc>
          <w:tcPr>
            <w:tcW w:w="6480" w:type="dxa"/>
            <w:vAlign w:val="bottom"/>
            <w:tcBorders>
              <w:bottom w:val="single" w:sz="8" w:color="CCEEFF"/>
            </w:tcBorders>
            <w:gridSpan w:val="26"/>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980" w:type="dxa"/>
            <w:vAlign w:val="bottom"/>
          </w:tcPr>
          <w:p>
            <w:pPr>
              <w:spacing w:after="0"/>
              <w:rPr>
                <w:sz w:val="15"/>
                <w:szCs w:val="15"/>
                <w:color w:val="auto"/>
              </w:rPr>
            </w:pP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COMPANY INFORMATION</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226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280" w:type="dxa"/>
            <w:vAlign w:val="bottom"/>
            <w:tcBorders>
              <w:top w:val="single" w:sz="8" w:color="CCEEFF"/>
            </w:tcBorders>
            <w:gridSpan w:val="14"/>
          </w:tcPr>
          <w:p>
            <w:pPr>
              <w:spacing w:after="0"/>
              <w:rPr>
                <w:sz w:val="15"/>
                <w:szCs w:val="15"/>
                <w:color w:val="auto"/>
              </w:rPr>
            </w:pPr>
          </w:p>
        </w:tc>
        <w:tc>
          <w:tcPr>
            <w:tcW w:w="2720" w:type="dxa"/>
            <w:vAlign w:val="bottom"/>
            <w:tcBorders>
              <w:top w:val="single" w:sz="8" w:color="CCEEFF"/>
            </w:tcBorders>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8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4720" w:type="dxa"/>
            <w:vAlign w:val="bottom"/>
            <w:tcBorders>
              <w:bottom w:val="single" w:sz="8" w:color="CCEEFF"/>
            </w:tcBorders>
            <w:gridSpan w:val="8"/>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754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2720" w:type="dxa"/>
            <w:vAlign w:val="bottom"/>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9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754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2720" w:type="dxa"/>
            <w:vAlign w:val="bottom"/>
            <w:shd w:val="clear" w:color="auto" w:fill="CCEEFF"/>
          </w:tcPr>
          <w:p>
            <w:pPr>
              <w:jc w:val="center"/>
              <w:ind w:left="197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40" w:type="dxa"/>
            <w:vAlign w:val="bottom"/>
            <w:gridSpan w:val="12"/>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80" w:type="dxa"/>
            <w:vAlign w:val="bottom"/>
            <w:gridSpan w:val="11"/>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660" w:type="dxa"/>
            <w:vAlign w:val="bottom"/>
          </w:tcPr>
          <w:p>
            <w:pPr>
              <w:spacing w:after="0"/>
              <w:rPr>
                <w:sz w:val="18"/>
                <w:szCs w:val="18"/>
                <w:color w:val="auto"/>
              </w:rPr>
            </w:pPr>
          </w:p>
        </w:tc>
      </w:tr>
      <w:tr>
        <w:trPr>
          <w:trHeight w:val="238"/>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1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TABLE OF CONTENTS (continued)</w:t>
            </w:r>
          </w:p>
        </w:tc>
        <w:tc>
          <w:tcPr>
            <w:tcW w:w="6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75"/>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w:t>
            </w:r>
          </w:p>
        </w:tc>
        <w:tc>
          <w:tcPr>
            <w:tcW w:w="660" w:type="dxa"/>
            <w:vAlign w:val="bottom"/>
            <w:shd w:val="clear" w:color="auto" w:fill="CCEEFF"/>
          </w:tcPr>
          <w:p>
            <w:pPr>
              <w:spacing w:after="0"/>
              <w:rPr>
                <w:sz w:val="15"/>
                <w:szCs w:val="15"/>
                <w:color w:val="auto"/>
              </w:rPr>
            </w:pP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340" w:type="dxa"/>
            <w:vAlign w:val="bottom"/>
            <w:tcBorders>
              <w:top w:val="single" w:sz="8" w:color="0000EE"/>
            </w:tcBorders>
            <w:gridSpan w:val="3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EQUITY SECURITIES</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Market for Our Common Stock</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Record Holders</w:t>
            </w:r>
          </w:p>
        </w:tc>
        <w:tc>
          <w:tcPr>
            <w:tcW w:w="8280" w:type="dxa"/>
            <w:vAlign w:val="bottom"/>
            <w:tcBorders>
              <w:bottom w:val="single" w:sz="8" w:color="CCEEFF"/>
            </w:tcBorders>
            <w:gridSpan w:val="2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175"/>
        </w:trPr>
        <w:tc>
          <w:tcPr>
            <w:tcW w:w="6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82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Issuer Purchases of Equity Securities</w:t>
            </w:r>
          </w:p>
        </w:tc>
        <w:tc>
          <w:tcPr>
            <w:tcW w:w="6600" w:type="dxa"/>
            <w:vAlign w:val="bottom"/>
            <w:tcBorders>
              <w:top w:val="single" w:sz="8" w:color="CCEEFF"/>
            </w:tcBorders>
            <w:gridSpan w:val="15"/>
          </w:tcPr>
          <w:p>
            <w:pPr>
              <w:spacing w:after="0"/>
              <w:rPr>
                <w:sz w:val="15"/>
                <w:szCs w:val="15"/>
                <w:color w:val="auto"/>
              </w:rPr>
            </w:pPr>
          </w:p>
        </w:tc>
        <w:tc>
          <w:tcPr>
            <w:tcW w:w="660" w:type="dxa"/>
            <w:vAlign w:val="bottom"/>
            <w:tcBorders>
              <w:top w:val="single" w:sz="8" w:color="CCEEFF"/>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SELECTED FINANCIAL DATA</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Overview</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Business Plan</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48</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Financing Overview</w:t>
            </w:r>
          </w:p>
        </w:tc>
        <w:tc>
          <w:tcPr>
            <w:tcW w:w="7940" w:type="dxa"/>
            <w:vAlign w:val="bottom"/>
            <w:tcBorders>
              <w:bottom w:val="single" w:sz="8" w:color="CCEEFF"/>
            </w:tcBorders>
            <w:gridSpan w:val="2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50</w:t>
            </w: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Critical Accounting Policies and Estimates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Results of Operations</w:t>
            </w:r>
          </w:p>
        </w:tc>
        <w:tc>
          <w:tcPr>
            <w:tcW w:w="7860" w:type="dxa"/>
            <w:vAlign w:val="bottom"/>
            <w:tcBorders>
              <w:bottom w:val="single" w:sz="8" w:color="CCEEFF"/>
            </w:tcBorders>
            <w:gridSpan w:val="2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176"/>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2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Financial Condition, Liquidity and Capital Resources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55</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Off-Balance Sheet Arrangements</w:t>
            </w:r>
          </w:p>
        </w:tc>
        <w:tc>
          <w:tcPr>
            <w:tcW w:w="7020" w:type="dxa"/>
            <w:vAlign w:val="bottom"/>
            <w:tcBorders>
              <w:bottom w:val="single" w:sz="8" w:color="CCEEFF"/>
            </w:tcBorders>
            <w:gridSpan w:val="18"/>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56</w:t>
            </w: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56</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6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 AND SUPPLEMENTARY DATA</w:t>
            </w:r>
          </w:p>
        </w:tc>
        <w:tc>
          <w:tcPr>
            <w:tcW w:w="4940" w:type="dxa"/>
            <w:vAlign w:val="bottom"/>
            <w:tcBorders>
              <w:bottom w:val="single" w:sz="8" w:color="CCEEFF"/>
            </w:tcBorders>
            <w:gridSpan w:val="9"/>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56</w:t>
            </w: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26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000" w:type="dxa"/>
            <w:vAlign w:val="bottom"/>
            <w:tcBorders>
              <w:bottom w:val="single" w:sz="8" w:color="CCEEFF"/>
            </w:tcBorders>
            <w:gridSpan w:val="1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56</w:t>
            </w:r>
          </w:p>
        </w:tc>
      </w:tr>
      <w:tr>
        <w:trPr>
          <w:trHeight w:val="176"/>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6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57</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57</w:t>
            </w:r>
          </w:p>
        </w:tc>
      </w:tr>
      <w:tr>
        <w:trPr>
          <w:trHeight w:val="216"/>
        </w:trPr>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580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800" w:type="dxa"/>
            <w:vAlign w:val="bottom"/>
            <w:tcBorders>
              <w:bottom w:val="single" w:sz="8" w:color="CCEEFF"/>
            </w:tcBorders>
            <w:gridSpan w:val="8"/>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57</w:t>
            </w: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660" w:type="dxa"/>
            <w:vAlign w:val="bottom"/>
            <w:shd w:val="clear" w:color="auto" w:fill="CCEEFF"/>
          </w:tcPr>
          <w:p>
            <w:pPr>
              <w:spacing w:after="0"/>
              <w:rPr>
                <w:sz w:val="15"/>
                <w:szCs w:val="15"/>
                <w:color w:val="auto"/>
              </w:rPr>
            </w:pPr>
          </w:p>
        </w:tc>
      </w:tr>
      <w:tr>
        <w:trPr>
          <w:trHeight w:val="216"/>
        </w:trPr>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5"/>
              </w:rPr>
              <w:t>MATTERS</w:t>
            </w:r>
          </w:p>
        </w:tc>
        <w:tc>
          <w:tcPr>
            <w:tcW w:w="8540" w:type="dxa"/>
            <w:vAlign w:val="bottom"/>
            <w:tcBorders>
              <w:top w:val="single" w:sz="8" w:color="0000EE"/>
              <w:bottom w:val="single" w:sz="8" w:color="CCEEFF"/>
            </w:tcBorders>
            <w:gridSpan w:val="30"/>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75"/>
        </w:trPr>
        <w:tc>
          <w:tcPr>
            <w:tcW w:w="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6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16"/>
        </w:trPr>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444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EXHIBITS AND FINANCIAL STATEMENT SCHEDULES</w:t>
            </w:r>
          </w:p>
        </w:tc>
        <w:tc>
          <w:tcPr>
            <w:tcW w:w="5160" w:type="dxa"/>
            <w:vAlign w:val="bottom"/>
            <w:tcBorders>
              <w:bottom w:val="single" w:sz="8" w:color="CCEEFF"/>
            </w:tcBorders>
            <w:gridSpan w:val="10"/>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71</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1. FINANCIAL STATEMENTS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71</w:t>
            </w:r>
          </w:p>
        </w:tc>
      </w:tr>
      <w:tr>
        <w:trPr>
          <w:trHeight w:val="21"/>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3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2. FINANCIAL STATEMENT SCHEDULES</w:t>
            </w:r>
          </w:p>
        </w:tc>
        <w:tc>
          <w:tcPr>
            <w:tcW w:w="6280" w:type="dxa"/>
            <w:vAlign w:val="bottom"/>
            <w:tcBorders>
              <w:bottom w:val="single" w:sz="8" w:color="CCEEFF"/>
            </w:tcBorders>
            <w:gridSpan w:val="1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71</w:t>
            </w:r>
          </w:p>
        </w:tc>
      </w:tr>
      <w:tr>
        <w:trPr>
          <w:trHeight w:val="175"/>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3. EXHIBITS</w:t>
            </w:r>
          </w:p>
        </w:tc>
        <w:tc>
          <w:tcPr>
            <w:tcW w:w="66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9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6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74</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of the statements contained in this Annual Report on Form 10-K (this “Annual Report”) are forward-looking and constitute forward-looking statements within the meaning of Section 27A of the Securities Act of 1933, as amended (the “Securities Act”), and Section 21E of the Securities Exchange Act of 1934, as amended (the “Exchange Act”). Forward-looking statements may relate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collaborators’ ability to obtain and maintain regulatory approval of any of our drug candidates; possible changes in capital structure, financial condition, future working capital needs and other financial items; uncertainties and assumptions regarding the potential worsening global economic conditions and the recent disruptions to, and volatility in, financial markets in the U.S. and worldwide resulting from the COVID-19 pandemic, the Russian invasion of Ukraine and the unrest in the Middle East on our business, operations, clinical trials, supply chain, strategy, goals and anticipated timelines,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drug candidates and our ability to operate our business without infringing the intellectual property rights of others; our reliance on third parties to conduct preclinical studies or clinical trials; the rate and degree of market acceptance of any approved drug candidates; possible actions by customers, suppliers, strategic partners, potential strategic partners, competitors and regulatory authorities; compliance with listing standards of The Nasdaq Capital Market; and those listed under “Risk Factors” below and elsewhere in this Annual Report.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 Unless the context requires otherwise or unless otherwise noted, all references in this Annual Report to “Imunon”, “the Company”, “we”, “us”, or “our” are to Imunon, Inc., a Delaware corporation and its wholly owned subsidiary, CLSN Laboratories, Inc., also a Delaware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Imunon brand and product names contained in this document are trademarks, registered trademarks or service marks of Imunon, Inc. or its subsidiary in the United States (the “U.S.”) and certain other countries. This document also contains references to trademarks and service marks of other companies that are the property of their respective owners.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to treat cancer and infectious diseases. The Company’s common stock continues to trade on the Nasdaq Stock Market under the ticker symbol “IMNN.”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w:t>
      </w:r>
    </w:p>
    <w:p>
      <w:pPr>
        <w:jc w:val="both"/>
        <w:spacing w:after="0" w:line="209" w:lineRule="auto"/>
        <w:rPr>
          <w:sz w:val="20"/>
          <w:szCs w:val="20"/>
          <w:color w:val="auto"/>
        </w:rPr>
      </w:pPr>
      <w:r>
        <w:rPr>
          <w:rFonts w:ascii="Times New Roman" w:cs="Times New Roman" w:eastAsia="Times New Roman" w:hAnsi="Times New Roman"/>
          <w:sz w:val="18"/>
          <w:szCs w:val="18"/>
          <w:color w:val="auto"/>
        </w:rPr>
        <w:t>conventional therapies. Imunon is developing its non-viral DNA technology across four modalities. The first modality, TheraPlas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being developed for the coding of proteins and cytokines in the treatment of solid tumors where an immunological approach is deemed promising. The second modality,</w:t>
      </w:r>
    </w:p>
    <w:p>
      <w:pPr>
        <w:spacing w:after="0" w:line="2"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PlaCCine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being developed for the coding of viral antigens that can elicit a strong immunological response. This technology may represent a promising platform for the development of vaccines in infectious diseases. The third modality, FixPlas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concerns the application of Imunon’s DNA technology to</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produce universal cancer vaccines, also called tumor associated antigen cancer vaccines. The fourth modality, IndiPlas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in the discovery phase and will focus on the development of personalized cancer vaccines, or neoepitope cancer vaccines.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currently in Phase II development. IMNN-001 works by instructing the body to produce durable levels, within certain safety parameters, of powerful cancer-fighting molecules, such as interleukin-12 and interferon gamma, at the tumor site. Additionally, the Company is conducting investigational new drug (“IND”)-enabling preclinical studies for the development of a COVID-19 booster vaccine (IMNN-101) and a treatment candidate for the Lassa virus (IMNN-102). The Company has also initiated preclinical work to develop a Trp2 tumor associated antigen cancer vaccine in melanoma (IMNN-201). Imunon will continue to leverage these modalities and to advance the technological frontier of plasmid DNA to better serve patients with difficult-to-treat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biocompatibility of these polymers reduces the risk of adverse immune response, thus allowing for repeated administration. Compared to naked DNA or cationic lipids, our delivery systems are generally more efficient, and cost effective and have a more favorable safety profile. We believe that these advantages place Imunon in a position to capitalize on this technology platform.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THERAPLAS MODALITY: IMNN-001 DEVELOPMENT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an overall five-year survival rate of 45%. This poor outcome is due in part to the lack of effective prevention and early detection strategies. There were approximately 20,000 new cases of ovarian cancer in the U.S. in 2021 with an estimated 13,000 deaths. Mortality rates for ovarian cancer declined very little in the last 40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39% and 17%, respectively. First-line chemotherapy regimens are typically platinum-based combination therapies. Although this first line of treatment has an approximate 80% response rate, 55% to 75%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bevacizumab are the only approved second-line therapies for platinum-resistant ovarian cancer. The overall response rate for these therapies is 10% to 20% with median overall survival (“OS”) of 11 to 12 months. Additionally, 10% to 15% of ovarian cancer cases nationwide are a result of germline or somatic BRCA mutations. With cognizance of tumor genetics, practice has shifted to include targeted agents in ovarian cancer treatment.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Poly (ADP-ribose) polymerase (“PARP”)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but few treatment options are left for women who are not eligible to receive PARP inhibitors.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Immunotherapy is an attractive, novel approach for the treatment of ovarian cancer particularly since ovarian cancers are considered immunogenic tumors. Interleukin-12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administering an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OVATION 1 Study</w:t>
      </w:r>
      <w:r>
        <w:rPr>
          <w:rFonts w:ascii="Times New Roman" w:cs="Times New Roman" w:eastAsia="Times New Roman" w:hAnsi="Times New Roman"/>
          <w:sz w:val="18"/>
          <w:szCs w:val="18"/>
          <w:color w:val="auto"/>
        </w:rPr>
        <w:t>. In February 2015, we announced that the U.S. Food and Drug Administration (“FDA”) accepted the Phase I dose-escalation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trial of IMNN-001 in combination with the standard of care in neoadjuvant ovarian cancer (the “OVATION 1 Study”). On September 30, 2015, we announced enrollment of the first patient in the OVATION I Study. The OVATION 1 Study was designed to:</w:t>
      </w:r>
    </w:p>
    <w:p>
      <w:pPr>
        <w:spacing w:after="0" w:line="175"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tolerable and therapeutically active dose of IMNN-001 within certain safety parameters by recruiting and maximizing an immune response;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1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2016 and 2017, we announced data from the first 14 patients in the OVATION 1 Study. On October 3, 2017, we announced final translational research and clinical data from the OVATION 1 Study.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were consistent with the earlier reports from partial analysis of the data and are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standard-of-care neoadjuvant chemotherapy (“NACT”) resulted in dose-dependent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were consistent with an IL-12 based immune mechanism;</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 microenvironment from immunosuppressive to pro-immune stimulatory following treatment with IMNN-001. An increase in CD8+ to immunosuppressive T-cell populations was a leading indicator and believed to be a good predictor of improved OS;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showed a treatment-related decrease in the percentage of immunosuppressive T-cell (Foxp3+), which was consistent with the reduction of Foxp3+ T-cells in the primary tumor tissue, and a shift in tumor naïve CD8+ cell population to more efficient tumor killing memory effector CD8+ cells.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reported encouraging clinical data from the first 14 patients who completed treatment in the OVATION 1 Study. IMNN-001 plus standard chemotherapy produced no dose-limiting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14 patients treated in the entire study, two patients demonstrated a complete response, 10 patients demonstrated a partial response, and two patients demonstrated stable disease, as measured by Response Evaluation Criteria in Solid Tumors (“RECIST”) criteria. This translated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was used to monitor certain cancers during and after treatment. CA-125 was present in greater concentrations in ovarian cancer cells than in other cells.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1 Study showed positive results in progression-free survival (“PFS”). The hazard ratio (“HR”) was 0.53 in the intent-to-treat (“ITT”) group, showing strong signals of efficacy. In its March 2019 discussion with the Company, the FDA noted that preliminary findings from the Phase Ib OVATION 1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SCAs have the potential to revolutionize clinical trials in certain oncology indications and some other diseases where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PFS results from the OVATION 1 Study published in the Journal of Clinical Cancer Research. Median PFS in patients treated per protocol (n=14) was 21 months and was 18.4 months for the ITT population (n=18) for all dose cohorts, including three patients who dropped out of the study after 13 days or less, and two patients who did not receive full NACT and IMNN-001 cycles. Under the current standard of care, in women with Stage III/IV ovarian cancer undergoing NACT, their disease progresses within about 12 months on average. The results from the OVATION 1 Study supported continued evaluation of IMNN-001 based on promising tumor response, as reported in the PFS data, and the ability for surgeons to completely remove visible tumors at interval debulking surgery. IMNN-001 was well tolerated, and no dose-limiting toxicities were detected in the OVATION 1 Study. Intraperitoneal administration of IMNN-001 was feasible with broad patient acceptance.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the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1 Study to determine the next steps forward for our IMNN-001 immunotherapy program. On November 13, 2017, the Company filed its Phase I/II clinical trial protocol with the FDA for IMNN-001 for the localized treatment of ovarian cancer. The protocol was designed with a single dose escalation phase to 100 mg/m² to identify a tolerable dose of IMNN-001 within certain safety parameters while maximizing an immune response. The Phase I portion of the study would be followed by a continuation at the selected dose in approximately 110 patients randomized Phase II study.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would receive IMNN-001 plus chemotherapy pre- and post-interval debulking surgery (“IDS”). The OVATION 2 Study was designed to include up to 110 patients with Stage III/IV ovarian cancer, with 12 to 15 patients in the Phase I portion and up to 95 patients in Phase II. The study was powered to show a 33% improvement in the primary endpoint, PFS, when comparing IMNN-001 with neoadjuvant + adjuvant chemotherapy versus neoadjuvant + adjuvant chemotherapy alone. The PFS primary analysis would be conducted after at least 80 events had been observed or after all patients had been followed for at least 16 months, whichever was later.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was designed to combine IMNN-001, the Company’s IL-12 gene-mediated immunotherapy, with standard-of-care NACT. Following NACT, patients would undergo IDS, followed by three additional cycles of chemotherapy.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IMNN-001 plus standard-of-care NACT produced positive dose-dependent efficacy results, with no dose-limiting toxicities, which correlates well with successful surgical outcomes as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IMNN-001 at a dose of 100 mg/m² plus NACT and six patients were treated with NACT only. All 15 patients had successful resections of their tumors, with eight out of nine patients (88%) in the IMNN-001 treatment arm having an R0 resection. Only three out of six patients (50%) in the NACT only treatment arm had a R0 resection.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OVATION 1 Study, a population of patients with inclusion criteria identical to the OVATION 2 Study, the data reflected the strong dose-dependent efficacy of adding IMNN-001 to the current standard of care NACT:</w:t>
      </w:r>
    </w:p>
    <w:p>
      <w:pPr>
        <w:spacing w:after="0" w:line="175" w:lineRule="exact"/>
        <w:rPr>
          <w:rFonts w:ascii="Times New Roman" w:cs="Times New Roman" w:eastAsia="Times New Roman" w:hAnsi="Times New Roman"/>
          <w:sz w:val="18"/>
          <w:szCs w:val="18"/>
          <w:color w:val="auto"/>
        </w:rPr>
      </w:pPr>
    </w:p>
    <w:p>
      <w:pPr>
        <w:ind w:left="9740" w:right="520" w:hanging="243"/>
        <w:spacing w:after="0" w:line="272" w:lineRule="auto"/>
        <w:tabs>
          <w:tab w:leader="none" w:pos="969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Patients R0 Resections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54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55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 36, 47 mg/m² of IMNN-001 plus NACT</w:t>
            </w:r>
          </w:p>
        </w:tc>
        <w:tc>
          <w:tcPr>
            <w:tcW w:w="3640" w:type="dxa"/>
            <w:vAlign w:val="bottom"/>
            <w:shd w:val="clear" w:color="auto" w:fill="CCEEFF"/>
          </w:tcPr>
          <w:p>
            <w:pPr>
              <w:ind w:left="2300"/>
              <w:spacing w:after="0" w:line="203" w:lineRule="exact"/>
              <w:rPr>
                <w:sz w:val="20"/>
                <w:szCs w:val="20"/>
                <w:color w:val="auto"/>
              </w:rPr>
            </w:pPr>
            <w:r>
              <w:rPr>
                <w:rFonts w:ascii="Times New Roman" w:cs="Times New Roman" w:eastAsia="Times New Roman" w:hAnsi="Times New Roman"/>
                <w:sz w:val="18"/>
                <w:szCs w:val="18"/>
                <w:color w:val="auto"/>
              </w:rPr>
              <w:t>N =12</w:t>
            </w:r>
          </w:p>
        </w:tc>
        <w:tc>
          <w:tcPr>
            <w:tcW w:w="206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42%</w:t>
            </w: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61, 79, 100 mg/m² of IMNN-001 plus NACT</w:t>
            </w:r>
          </w:p>
        </w:tc>
        <w:tc>
          <w:tcPr>
            <w:tcW w:w="36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N = 17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RECIST criteria for the 0, 36, 47 mg/m² dose IMNN-001 patients were comparable, as expected, to the higher (61, 79, 100 mg/m²) dose IMNN-001 patients, with both groups demonstrating an approximate 80% ORR.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had recommended that IMNN-001 be designated as an orphan medicinal product for the treatment of ovarian cancer. IMNN-001 previously received orphan designation from the FDA.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the Company announced that it has received Fast Track designation from the FDA for IMNN-001 and also provided an update on the OVATION 2 Study. The Company reported that approximately one-third, or 34 patients, of the anticipated 110 patients had been enrolled into the OVATION 2 Study, of which 20 were in the treatment arm and 14 were in the control. Of the 34 patients enrolled in the trial, 27 patients have had their IDS with the following results:</w:t>
      </w:r>
    </w:p>
    <w:p>
      <w:pPr>
        <w:spacing w:after="0" w:line="180"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IMNN-001 had a R0 resection.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interim data represented a 38% improvement in R0 resection rates for IMNN-001 patients compared with control arm patients and was consistent with the reported improvement in resection scores noted in the encouraging Phase I OVATION 1 Study, the manuscript of which was submitted for peer review publication.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w:t>
      </w:r>
    </w:p>
    <w:p>
      <w:pPr>
        <w:jc w:val="both"/>
        <w:spacing w:after="0" w:line="234" w:lineRule="auto"/>
        <w:rPr>
          <w:sz w:val="20"/>
          <w:szCs w:val="20"/>
          <w:color w:val="auto"/>
        </w:rPr>
      </w:pPr>
      <w:r>
        <w:rPr>
          <w:rFonts w:ascii="Times New Roman" w:cs="Times New Roman" w:eastAsia="Times New Roman" w:hAnsi="Times New Roman"/>
          <w:sz w:val="18"/>
          <w:szCs w:val="18"/>
          <w:color w:val="auto"/>
        </w:rPr>
        <w:t>OVATION 2 Study continue treating patients with the dose of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DSMB also determined that safety was satisfactory, with an acceptable risk/benefit, and that patients tolerated IMNN-001 during a course of treatment that would last up to six months. No dose-limiting toxicities were reported at this point in the OVATION 2 Study. Interim clinical data from patients who had undergone IDS showed that the IMNN-001 treatment arm was continuing to show improvement in R0 surgical resection rates and CRS 3 chemotherapy response scores over the control arm. The chemotherapy response score is a three-tier standardized scoring system for histological tumor regression into complete/near complete (CRS 3), partial (CRS 2) and no/minimal (CRS 1) response based on omental examination.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has completed enrollment with 110 patients.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Company presented a poster at the American Association for Cancer Research Annual Meeting Demonstrating Preclinical Immune Response of IMNN-001. The findings from a mouse model of peritoneally disseminated ovarian cancer suggested biweekly dosing regimen for further evaluation in human clinical studies. This research in mice would underpin the dosing frequency being investigated in the Phase I/II combination study with IMNN-001 and bevacizumab following NACT in advanced ovarian cancer.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the Company announced interim PFS and OS data with IMNN-001 in its Phase I/II OVATION 2 Study. Interim clinical data from the ITT population showed efficacy trends in PFS, demonstrating a delay in disease progression in the treatment arm of approximately 33% compared with the control arm, with the hazard ratio nearing the required value. Preliminary OS data follows a similar trend, showing an approximate 9-month improvement in the treatment arm over the control arm.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Subgroup analyses showed patients treated with a PARP inhibitor (“PARPi”) as maintenance therapy had longer PFS and OS if they were also treated with IMNN-001 compared with patients treated with NACT only. This was not a pre-specified subgroup as PARP inhibitors were approved after the OVATION 2 Study was initiated.</w:t>
      </w:r>
    </w:p>
    <w:p>
      <w:pPr>
        <w:spacing w:after="0" w:line="176"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PFS in the PARPi + NACT group and the PARPi + NACT + IMNN-001 group was 15.7 months and 23.7 months, respectively.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OS in the PARPi + NACT group was 45.6 months and has not yet been reached in the PARPi + NACT + IMNN-001 group.</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the data are still preliminary, the Company believes that patients treated with a combination of NACT + PARPi + IMNN-001 appear to have the greatest benefit and should be the focus of on-going follow-up.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also continues to see benefits in other secondary endpoints including an approximately 20% higher R0 tumor resection score and a doubling of the CRS 3 chemotherapy response score to approximately 30% in the treatment arm versus 14% in the control arm. Chemotherapy response score is considered a good prognostic indicator in ovarian cancer. The DSMB determined that safety analyses continue to show good tolerability of IMNN-001 in this setting. Topline results from the OVATION 2 Study are expected in mid-2024.</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bevacizumab. </w:t>
      </w:r>
      <w:r>
        <w:rPr>
          <w:rFonts w:ascii="Times New Roman" w:cs="Times New Roman" w:eastAsia="Times New Roman" w:hAnsi="Times New Roman"/>
          <w:sz w:val="18"/>
          <w:szCs w:val="18"/>
          <w:color w:val="auto"/>
        </w:rPr>
        <w:t>In February 2023, the Company and Break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announced the commencement of patient enrollment in a collaboration to evaluate IMNN-001 in combination with bevacizumab in patients with advanced ovarian cancer in the frontline, neoadjuvant clinical setting.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Phase I/II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are being randomized 1:1 in a two-arm trial. In October 2023, the first patient began treatment at University of Texas MD Anderson Cancer Center in the Phase I/II Clinical Trial Evaluating IMNN-001 in Combination with Bevacizumab in Advanced Ovarian Cancer. The trial’s primary endpoint is detection of minimal residual disease (MRD) by second look laparoscopy (SLL), and the secondary endpoint is PFS. Initial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MODALITY: IMNN-101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modality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Imunon’s PLACCINE DNA vaccine modality is characterized by a single mono-cistronic or multi-cistronic DNA plasmid vector expressing single or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(“HHS”), to consider certain pathogens BARDA has identified as the most urgent and the most important.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a Phase II trial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4°C to 25°C, making vaccines developed on this platform easily suitable for broad world-wide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have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980" w:right="20" w:hanging="324"/>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plasmid vector.</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viral antigens.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viruses or special equipment to deliver its payload.</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demonstrated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the initiation of a nonhuman primate (“NHP”) challenge study with Imunon’s DNA-based approach for a SARS-CoV-2 vaccine. The NHP pilot study followed the generation of encouraging mouse data and will evaluate the Company’s lead vaccine formulations for safety, immunogenicity and protection against SARS-CoV-2. In completed preclinical studies, Imunon demonstrated a favorable safety profile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Dr. Khursheed Anwer, the Company’s Chief Science Officer, highlighted the Company’s technology platform in his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PLACCINE has demonstrated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six months.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now completed proof-of-concept mouse challenge study confirmed that a PLACCINE DNA-based vaccine can produce robust levels of IgG, neutralizing antibodies, and T-cell responses. The data demonstrated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have a favorable safety profile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the Company reported partial results from an ongoing non-human primate study designed to examine the immunogenicity of its proprietary PLACCINE vaccine which supported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NHP study involving three vaccine-treated non-human primates. The final data were consistent with the earlier data and showed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 recent mouse study, a single dose of PLACCINE vaccine without a booster dose produced longer duration of IgG responses and higher T-cell activation than an mRNA vaccine. A 12-month PLACCINE stability study demonstrated continued drug stability at 4° C (standard refrigerated temperature).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2023, these compelling data were presented at the Vaccine Technology Summit 2023 in Boston. They showed robust immunogenicity and protection in SARS-CoV-2 models, durable cellular or humoral responses detectable for more than 12 months, comparable protection activity to a commercial mRNA vaccine in a booster-dose comparison and superior immune quality versus the mRNA vaccine in a single-dose comparison.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2023, the Company filed with the FDA a pre-IND package in advance of beginning human testing of a SARS-CoV-2 seasonal booster vaccine. In July 2023, the FDA confirmed in a written response our plug and play strategy agreeing that a platform approach to pre-clinical toxicology testing with reference to updated SARS-CoV-2 genes that align with current variant of concern may be used without additional need for toxicology studies. This demonstrated the flexibility and versatility of our platform, which allows for the rapid production and development of any vaccine by simply changing the antigen coding cassette.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announced on March 13, 2024 that it has submitted an IND application for a Phase I/II trial with IMNN-101, a seasonal COVID-19 booster vaccine, following positive feedback from the FDA. Development of our PlaCCine modality reached important milestones with confirmation of its value across pathogens of interest by demonstrating the immunogenicity and safety of our vaccines in animals. The Company has generated compelling data in SARS-CoV-2 and with IMNN-101, a next-generation COVID-19 seasonal booster, and expects to begin patient enrollment in a Phase I/II trial in the second quarter of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2023, the Company chose the Lassa virus as a pathogen target of interest for its PLACCINE modality. In August 2023, the Company announced it had entered into a Cooperative Research and Development Agreement (“CRADA”) with the National Institute of Allergy and Infectious Diseases (“NIAID”) to evaluate the immunogenicity and efficacy of two Imunon DNA-based Lassa virus vaccine candidates. Under the three-year agreement, the NIAID will assess the efficacy of PlaCCine DNA constructs against Lassa virus in guinea pig and non-human primate disease models, including both prime and prime-boost vaccine strategies.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collaboration with the Laboratory of Virology at NIAID to research a potential solution for combatting this life-threatening pathogen will evaluate the hypothesis that a DNA-based vaccine may be an excellent modality for a Lassa virus vaccine. With its durable antigen expression, longer shelf-life at workable, standard refrigerated temperatures and flexible manufacturing, the Company believes that PlaCCine is a potentially superior alternative that can address the limitations of current commercial products particularly in developing countries around the world.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CRADA is an example of one of the Company’s growth strategy pillars, namely, to help defray development costs through non-dilutive sources of capital. Incremental investments to generate novel vaccine designs with optimized antigens will allow Imunon to quickly generate early pre-clinical and clinical data against additional pathogen targets that position the Company to partner with large vaccine companies who Imunon expects may fund remaining clinical development.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02022"/>
        </w:rPr>
        <w:t>During the fourth quarter of 2023, the Company updated data related to IMUNON’s PlaCCine SARS-CoV-2 DNA vaccine, including studies showing PlaCCine expresses spike proteins in mice and primates demonstrating induction of spike-specific neutralizing antibody responses and CD8 and CD4 spike-specific cellular responses. The induced immune responses in vaccinated mice were maintained for up to 14 months after vaccination. Research being presented also shows that in both primates and mice, the induced immune responses reduced lung viral loads by more than 90%. In mouse studies, robust immune responses were observed following a single intramuscular injection of either PlaCCine SARS-CoV-2 DNA vaccine or a novel PlaCCine Lassa Virus DNA vaccine.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eager to advance the FixPlas and IndiPlas modalities into universal and personalized cancer vaccines and have begun preclinical work in melanoma. The Company’s consultants will provide invaluable assistance as we advance along the development pathway and into clinical testing. The FixPlas concerns the application of our DNA technology to produce universal cancer vaccines also called tumor associated antigen cancer vaccines. The IndiPlas modality is in the discovery phase and will focus on the development of personalized cancer vaccines or neoepitope cancer vaccines.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THERMODOX</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 DIRECTED CHEMOTHERAPY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OPTIMA Study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OPTIMA Study was designed to (i) evaluate ThermoDox® in combination with a first line therapy, radiofrequency ablation (“RFA”), for newly diagnosed, intermediate stage HCC patients and (ii) enroll up to 550 patients globally at approximately 65 clinical sites in the U.S., Canada, the European Union (“EU”), China and other countries in the Asia-Pacific region. The primary endpoint for the OPTIMA Study was OS, and the secondary endpoints were progression free survival and safety. The statistical plan called for two interim efficacy analyses by an independent Data Monitoring Committee (“DMC”).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the Company announced that the OPTIMA Study was fully enrolled.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15, 2020, the Company announced that the prescribed minimum number of events of 158 patient deaths had been reached for the second pre-specified interim analysis of the OPTIMA Phase III Study. The hazard ratio for success at 158 deaths was 0.70, which represented a 30% reduction in the risk of death compared with RFA alone.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13, 2020, the Company announced that it had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provided uncertainty, subsequently, the DMC left the final decision of whether or not to stop the OPTIMA Study to the Company. There were no safety concerns noted during the interim analysis. The Company followed the advice of the DMC and considered its options either to stop the study or continue to follow patients after a thorough review of the data, and an evaluation of our probability of success. On August 4, 2020, the Company announced it would continue following patients for OS, noting that the unexpected and marginally crossed futility boundary, suggested by the Kaplan-Meier analysis at the second interim analysis on July 9, 2020, may be associated with a data maturity issue.</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12, 2020, the Company provided an update on the ongoing data analysis from its Phase III OPTIMA Study with ThermoDox® as well as growing interest among clinical investigators in conducting studies with ThermoDox® as a monotherapy or in combination with other therapies.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2021, the Company provided a final update on the Phase III OPTIMA Study and the decision to stop following patients in the Study. Independent analyses conducted by a global biometrics contract research organization and the National Institutes of Health (the “NIH”), did not find any evidence of significance or factors that would justify continuing to follow patients for OS. Therefore, the Company notified all clinical sites to discontinue following patients. The OPTIMA Study database of 556 patients has been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AND DEVELOPMENT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$15.7 million in cash and cash equivalents, short-term investments, and interest receivable to fund its operations. The Company also has a $1.3 million receivable from the sale of the Company’s State of New Jersey net operating losses. The Company’s primary sources of cash have been proceeds from the issuance and sale of its common stock via its at-the-market (“ATM”) program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2023 includes an explanatory paragraph which expresses substantial doubt about our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outside investors via its ATM program and other potential funding sources as mentioned.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a result of the risks and uncertainties discussed in this Annual Report, among others, we are unable to estimate the duration and completion costs of our research and development projects or when, if ever, and to what extent we will receive cash inflows from the commercialization and sale of a product if one of our drug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progress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 See </w:t>
      </w:r>
      <w:r>
        <w:rPr>
          <w:rFonts w:ascii="Times New Roman" w:cs="Times New Roman" w:eastAsia="Times New Roman" w:hAnsi="Times New Roman"/>
          <w:sz w:val="18"/>
          <w:szCs w:val="18"/>
          <w:b w:val="1"/>
          <w:bCs w:val="1"/>
          <w:color w:val="auto"/>
        </w:rPr>
        <w:t>Part II, Item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of this Annual Report for additional information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financial condition, liquidity and capital resources.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EXPENDITURES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engaged in a limited amount of research and development in our own facilities and have sponsored research programs in partnership with various research institutions, including the NIH, the Wistar Institute and Acuitas Therapeutics. The majority of the spending in research and development is for the funding of IMNN-001 clinical trials and our next generation vaccine initiative. Research and development expenses were approximately $11.3 million and $11.7 million for the years ended December 31, 2023 and 2022, respectively. See </w:t>
      </w:r>
      <w:r>
        <w:rPr>
          <w:rFonts w:ascii="Times New Roman" w:cs="Times New Roman" w:eastAsia="Times New Roman" w:hAnsi="Times New Roman"/>
          <w:sz w:val="18"/>
          <w:szCs w:val="18"/>
          <w:b w:val="1"/>
          <w:bCs w:val="1"/>
          <w:color w:val="auto"/>
        </w:rPr>
        <w:t>Part II, Item 7 -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Condition and Results of Operations </w:t>
      </w:r>
      <w:r>
        <w:rPr>
          <w:rFonts w:ascii="Times New Roman" w:cs="Times New Roman" w:eastAsia="Times New Roman" w:hAnsi="Times New Roman"/>
          <w:sz w:val="18"/>
          <w:szCs w:val="18"/>
          <w:color w:val="auto"/>
        </w:rPr>
        <w:t>of this Annual Report for additional information regarding expenditures related to our research and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in the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U.S., the FDA regulates drugs and biological products under the Federal Food, Drug, and Cosmetic Act (the “FDCA”), the Public Health Service Act (the “PHSA”)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vehicle by which FDA approves a new pharmaceutical product or a biologic product for sale and marketing in the U.S. is a New Drug Application (“NDA”) or a Biologics License Application (“BLA”). A new drug or biological product cannot be marketed in the U.S. without FDA’s approval of an NDA/BLA. The steps ordinarily required before a new drug can be marketed in the U.S. include (a) completion of pre-clinical and clinical studies; (b) submission of an IND, which must become effective before human clinical trials may commence; (c) completion of adequate and well-controlled human clinical trials to establish the safety and efficacy of the product to support each of its proposed indications; (d) submission and FDA acceptance of an NDA/BLA; (e) completion of an FDA inspection and potential audits of the facilities where the drug or biological product is manufactured to assess compliance with current Good Manufacturing Practice (“cGMP”) and to assure adequate identity, strength, quality, purity, and potency; and (e) FDA review and approval of the NDA/BLA.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Pre-clinical tests include laboratory evaluations of product chemistry, toxicity, formulation and stability, as well as animal studies, to assess the potential safety and efficacy of the product. Pre-clinical safety tests that support or are intended to support an IND or NDA/BLA must be conducted by laboratories that comply with FDA regulations regarding good laboratory practice. The results of pre-clinical tests are submitted to the FDA as part of an IND for review before the commencement of human clinical trials. The absence of FDA objection to an IND does not necessarily mean that the FDA will ultimately approve an NDA/BLA or that a drug candidate otherwise will come to market.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a qualified principal investigator. Clinical trials must be conducted in accordance with good clinical practices under protocols submitted to the FDA as part of an IND and with informed consent from the patient. Also, each clinical trial must be approved by an Institutional Review Board (“IRB”) and is subject to ongoing IRB monitoring.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but the phases may overlap or be combined. Phase I clinical trials may be conducted in patients or healthy volunteers to evaluate the product’s safety, dosage tolerance and pharmacokinetics and, if possible, seek to gain an early indication of its effectiveness. Phase II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 Phase III clinical trials are typically conducted in a significantly larger patient population and are intended to further evaluate safety and efficacy, establish the overall risk-benefit profile of the product, and provide an adequate basis for physician labeling.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limited circumstances when a patient has a serious or immediately life-threatening disease or condition and certain other conditions apply, a therapeutic drug candidate being studied in clinical trials may be made available for treatment of individual patients. Pursuant to the 21st Century Cures Act, the manufacturer of an investigational product for a serious disease or condition is required to make available, such as by posting on its website, its policy on evaluating and responding to requests for individual patient access to such investigational product.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of our clinical trials will be completed successfully within any specified time period or at all. We may suspend clinical trials at any time, or the FDA or IRB may suspend clinical trials at any time on various grounds, including among other things, if we, the FDA, our independent DMC, or the IRB conclude that clinical subjects are being exposed to an unacceptable health risk.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conduct of clinical trials is complex and difficult, and there can be no assurance that the design or the performance of the clinical trial protocols of any of our current or future drug candidates will be successful.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Review and Approval Process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if successful, are submitted to FDA in the form of an NDA or BLA. Among other things, the FDA reviews an NDA to determine whether the product is safe and effective for its intended use and reviews a BLA to determine whether the product is safe, pure, and potent, and in each case, whether the drug candidate is being manufactured in accordance with cGMP. The testing, submission, and approval process requires substantial time, effort, and financial resources, including substantial application user fees and annual program user fees. There can be no assurance that any approval will be granted for any product at any time, according to any schedule, or at all. The FDA may refuse to accept or approve an application if it determines those applicable regulatory criteria are not satisfied. The FDA may also require additional testing for safety and efficacy. Even if regulatory approval is granted, the approval will be limited to specific indications. There can be no assurance that any of our current drug candidates will receive regulatory approvals for marketing or, if approved, that approval will be for any or all of the indications that we request.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has agreed to certain performance goals in the review of NDAs and BLAs. The FDA has 60 days from its receipt of an NDA or BLA to determine whether the application will be accepted for filing based on the agency’s threshold determination that it is sufficiently complete to permit substantive review. Once the NDA/BLA is accepted for filing, the FDA seeks to complete its review of most standard review applications within ten months of the date of acceptance for filing of an original BLA or an NDA for a new molecular entity; FDA seeks to complete its review of most priority review applications for such an NDA or BLA within six months of the date or acceptance for filing. Priority review is applied to a drug candidate that the FDA determines has the potential to treat a serious or life-threatening condition and, if approved, would provide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FDA Regulations Specific to Gene Therapy Products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regulates gene therapy products, including vaccines based on gene-therapy technologies, as biological products. While biological products intended for therapeutic use may be regulated by either the Center for Biologics Evaluation and Research (“CBER”) or the Center for Drug Evaluation and Research (“CDER”), gene-therapy products and vaccines are regulated by CBER. Biological products are subject to extensive regulation under the FDCA, the PHSA, and implementing regulations. Each clinical trial of an investigational gene therapy must be reviewed and approved by the Institutional Biosafety Committee (“IBC”) for each clinical site if they receive any funding whatsoever from the NIH. IBCs were established under NIH Guidelines for Research Involving Recombinant or Synthetic Nucleic Acid Molecules (“NIH Guidelines”) to provide local review and oversight of nearly all forms of research utilizing recombinant or synthetic nucleic acid molecules. An IBC assesses biosafety issues, specifically, safety practices and containment procedures, related to research involving recombinant or synthetic nucleic acid molecules. While compliance with the NIH Guidelines is only mandatory for investigators at institutions receiving NIH funds for research involving recombinant or synthetic nucleic acid molecules, many companies and other institutions not otherwise subject to the NIH Guidelines voluntarily follow them. Clinical trials subject to IBC oversight nonetheless remain subject other applicable oversight, including by to FDA and IRBs, and only after the applicable submissions, authorizations, or approvals are in place with regulatory authorities can the clinical trials proceed.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Controls for Biological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or other components of HHS to immediately suspend licenses in situations where there exists a danger to public health, to prepare or procure products in the event of shortages and critical public health needs, and create and enforce regulations to prevent the introduction or spread of communicable diseases in the U.S. and between states.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a BLA is approved, the biological product may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products to the FDA together with a release protocol showing the results of the manufacturer’s tests performed on the lot. The FDA may also perform certain confirmatory tests on lots of some products, such as viral vaccines, before releasing the lots for distribution by the manufacturer.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FDA conducts laboratory research related to the regulatory standards on the safety, purity, potency, and effectiveness of biological products. As with drugs, after approval of biological products, manufacturers must address any safety issues that arise, are subject to recalls or a halt in manufacturing, and are subject to periodic inspection after approval.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has various programs, including Fast Track, priority review, accelerated approval and breakthrough therapy, which are intended to facilitate and expedite the development and review of certain drug candidates, or provide for the approval of a drug candidate on the basis of a surrogate or intermediate endpoint. In January 2021, the FDA granted Fast Track designation for IMNN-001 for the treatment of ovarian cancer.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a drug candidate qualifies for one or more of these programs, the FDA may later decide that the drug candidate no longer meets the conditions for qualification or that the time period for FDA review or approval will be lengthened. Generally, drug candidates that are eligible for these programs are those for serious or life-threatening conditions, those with the potential to address unmet medical needs and those that offer significant benefits over existing treatments. For example, Fast Track is a program designed to facilitate the development and expedite the review of drug candidates that are intended to treat serious or life-threatening diseases or conditions and demonstrate the potential to address unmet medical needs.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Fast Track and priority review do not alter the standards for approval, the FDA will attempt to provide opportunities for frequent meetings with a sponsor of a Fast Track-designated drug candidate and expedite review of the application for a drug candidate designated for priority review. Accelerated approval is available for a new drug candidate that meets the following criteria: it is intended to treat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 surrogate endpoint is a laboratory measurement, physical sign or other measure that is thought to predict clinical benefit, but is not itself a measure of clinical benefit. As a condition of approval, the FDA may require that a sponsor of a drug candidate receiving accelerated approval perform post-marketing clinical trials to verify and describe the predicted effect on irreversible morbidity or mortality or other clinical benefit, and the drug may be subject to expedited withdrawal procedures if the sponsor fails to conduct a required post-marketing study with due diligence, a required post-marketing study fails to verify and describe the predicted effect on IMM or other clinical benefit, other evidence demonstrates that the product is not shown to be safe or effective, or the sponsor disseminates false or misleading promotional materials with respect to the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color w:val="auto"/>
        </w:rPr>
        <w:t>A sponsor may seek FDA designation of a drug candidate as a “breakthrough therapy” if the drug candidate is intended, alone or in combination with one or more other therapeutics, to treat a serious or life-threatening disease or condition, and preliminary clinical evidence indicates that the drug candidate may demonstrate substantial improvement over existing therapies on one or more clinically significant endpoints, such as substantial treatment effects observed early in clinical development. A request for breakthrough therapy designation should be submitted concurrently with, or as an amendment to, an IND, but ideally no later than the end-of-Phase II meeting. If a drug receives breakthrough therapy designation, FDA will seek to ensure that the sponsor receives timely advice and interactive communications to help the sponsor design and conduct a drug development program as efficiently as possible. Additionally, FDA seeks to involve senior managers and experienced staff in the review of a breakthrough therapy-designated product. FDA may consider reviewing parts of an NDA or BLA for a breakthrough therapy-designated product on a rolling basis, before the sponsor submits the complete application. Fast Track and breakthrough therapy designations may be rescinded if the drug candidate no longer meets the designation criteria. Fast Track designation, priority review, accelerated approval, and breakthrough therapy designation do not change the standards for approval, but depending on the type of designation, may expedite the development or approval process.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Sponsors of clinical trials of FDA-regulated products are required to register and disclose certain clinical trial information to the NIH. Information related to the product, patient population, phase of investigation, trial sites and investigators, and other aspects of the clinical trial is then made public as part of the registration. Sponsors are also obligated to disclose the results of their clinical trials within one year of completion, although disclosure of the results of these trials can be delayed in certain circumstances for up to two additional years. Competitors may use this publicly available information to gain knowledge regarding the progress of development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2005, the FDA granted orphan drug designation for IMNN-001 for the treatment of ovarian cancer. Orphan drug designation does not convey any advantage in, or shorten the duration of, the regulatory review and approval process. However, if a product which has an orphan drug designation subsequently receives the first FDA approval for a drug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consent by the holder of orphan drug exclusivity to the approval of another application before the expiration of such exclusivity, or a finding by the FDA that the holder of exclusivity cannot ensure the availability of sufficient quantities of the drug to meet the needs of persons with the designated disease or condition. Orphan drug designation can also provide opportunities for grant funding towards clinical trial costs, tax advantages and a potential exemption from certain FDA user fees.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2021, the U.S. Court of Appeals for the Eleventh Circuit held in </w:t>
      </w:r>
      <w:r>
        <w:rPr>
          <w:rFonts w:ascii="Times New Roman" w:cs="Times New Roman" w:eastAsia="Times New Roman" w:hAnsi="Times New Roman"/>
          <w:sz w:val="18"/>
          <w:szCs w:val="18"/>
          <w:i w:val="1"/>
          <w:iCs w:val="1"/>
          <w:color w:val="auto"/>
        </w:rPr>
        <w:t>Catalyst Pharmaceuticals, Inc. v. Becerra</w:t>
      </w:r>
      <w:r>
        <w:rPr>
          <w:rFonts w:ascii="Times New Roman" w:cs="Times New Roman" w:eastAsia="Times New Roman" w:hAnsi="Times New Roman"/>
          <w:sz w:val="18"/>
          <w:szCs w:val="18"/>
          <w:color w:val="auto"/>
        </w:rPr>
        <w:t xml:space="preserve"> that the FDA had erred by limiting the scope of orphan drug exclusivity for FIRDAPSE® (amifampridine) to the product’s approved indication, an action that the FDA took in accordance with its regulations interpreting the Orphan Drug Act. The court held that under the Orphan Drug Act, FIRDAPSE®’s orphan drug exclusivity instead protected the rare disease or condition that received orphan drug designation. Following this court decision in the Catalyst case, the FDA announced in January 2023 that it would continue to apply the FDA’s regulations limiting the scope of orphan drug exclusivity to a product’s approved uses or indications. As a result of the FDA’s announcement, the scope of orphan drug exclusivity and other issues relating to the FDA’s implementation of the Orphan Drug Act with respect to previously approved and future products may be the subject of further litigation or legislation.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Hatch-Waxman Exclusivity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FDCA provides a five-year period of non-patent data exclusivity within the U.S. upon the approval of an NDA for a drug, no active moiety (as defined in FDA’s regulations) of which previously has been approved in an NDA. During the exclusivity period, the FDA generally may not accept for review an abbreviated new drug application (ANDA) or a 505(b)(2) NDA submitted by another company for a drug product containing the same active moiety, except that such applications may be submitted starting four years after approval of the product protected by exclusivity if they contain a certification of patent invalidity, non-infringement or unenforceability.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created an abbreviated approval pathway for biological drug candidates that are biosimilar to or interchangeable with an FDA-licensed reference product. The FDA may approve a biosimilar product if it finds, among other requirements, that the product is highly similar to the reference product notwithstanding minor differences in clinically inactive components and there are no clinically meaningful differences between the proposed biosimilar product and the reference product in terms of safety, purity, and potency; the proposed conditions of use have been previously approved for the reference product; and the route of administration, dosage form, and strength of the proposed biosimilar product are the same as those of the reference product. Biosimilarity must be shown through analytical studies, an assessment of toxicity, and a clinical trial or trials, unless the FDA waives a required element. A biosimilar drug candidate may be deemed interchangeable with a prior approved product if it meets the higher hurdle of demonstrating that it not only is biosimilar to the reference product, but also can be expected to produce the same clinical results as the reference product in any given patient, and, for products administered multiple times, alternating or switching between the biological product and the reference product will not increase safety risks or risks of diminished efficacy relative to exclusive use of the reference product.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will not accept a biosimilar application until four years after the date of first licensure of a biological product licensed under section 351(a) of the PHSA, and the FDA will not approve a biosimilar application until 12 years after such date of first licensure. The first biological drug candidate submitted under the abbreviated approval pathway that is determined to be interchangeable with the reference product has exclusivity against a finding by the FDA of interchangeability for other biological products with respect to the same reference product for the lesser of (i) one year after first commercial marketing of the first interchangeable biosimilar, (ii) 18 months after the first interchangeable biosimilar is approved if there is no patent challenge brought under section 351(l)(6) of the PHSA, (iii) 18 months after resolution of a lawsuit brought under section 351(l)(6) of the PHSA over the patents of the reference product, or (iv) 42 months after the first interchangeable biosimilar’s application has been approved if a patent lawsuit brought under section 351(l)(6) of the PHSA is ongoing within the 42-month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FDA approval of a product is obtained, we and our contract manufacturers are required to comply with various post-approval requirements, including establishment registration and product listing, record-keeping requirements, reporting of adverse reactions and production problems to the FDA, providing updated safety and efficacy information for drugs, or safety, purity, and potency for biological products, and complying with requirements concerning advertising and promotional labeling. As a condition of approval of an NDA/BLA, the FDA may require the applicant to conduct additional clinical trials or other post market testing and surveillance to further monitor and assess the drug’s safety and efficacy. The FDA can also impose other post-marketing controls on us as well as our products including, but not limited to, restrictions on sale and use, through the approval process, regulations and otherwise. The FDA also has the authority to require the recall of our biological products or request a recall of our drug or biological products in the event of material deficiencies or defects in manufacture. A governmentally mandated or requested recall, or a voluntary recall by us, could result from a number of events or factors, including component failures, manufacturing errors, instability of product or defects in labeling.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manufacturing establishments in the U.S. and abroad are subject to periodic inspections by the FDA and must comply with cGMP. To maintain compliance with cGMP, manufacturers must expend funds, time and effort in the areas of production and quality control. The manufacturing process must be capable of consistently producing quality batches of the drug candidate and the manufacturer must develop methods for testing the quality, purity and potency of the drug candidate. Additionally, appropriate packaging must be selected and tested, and stability studies must be conducted to demonstrate that the drug candidate does not undergo unacceptable deterioration over its proposed shelf-life.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Foreign Clinical Studies to Support an IND, NDA, or BLA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will accept as support for an IND, NDA, or BLA a well-designed, well-conducted, non-IND foreign clinical trial if it was conducted in accordance with good clinical practice (“GCP”) and the FDA is able to validate the data from the trial through an on-site inspection, if necessary. A sponsor or applicant who wishes to rely on a non-IND foreign clinical trial to support an IND must submit supporting information to the FDA to demonstrate that the trial conformed to GCP.</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Legislation and Regulations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once approved. It is impossible to predict whether further legislative changes will be enacted or whether FDA regulations, guidance, policies or interpretations will be changed or what the effect of such changes, if any, may be.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drug candidates following product approval, where applicable, or commercialization are also subject to regulation by numerous regulatory authorities in the U.S. in addition to the FDA, which may include the Centers for Medicare &amp; Medicaid Services (“CMS”), other divisions of the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FDA regulations prohibit the promotion of an investigational product for unapproved use. The FDA distinguishes impermissible promotion of an investigational product from the permissible exchange of scientific and medical information among healthcare professionals under certain conditions, which may include company-sponsored scientific and educational activities. The FDA has issued Warning Letters and untitled letters to sponsors and clinical investigators who have claimed, directly or indirectly, that an investigational product is safe and effective for its intended use.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 candidates for which we obtain marketing approval. In the U.S., these laws include, without limitation, state and federal anti-kickback, false claims, physician transparency, and patient data privacy and security laws and regulations, including but not limited to those described below.</w:t>
      </w:r>
    </w:p>
    <w:p>
      <w:pPr>
        <w:spacing w:after="0" w:line="187" w:lineRule="exact"/>
        <w:rPr>
          <w:sz w:val="20"/>
          <w:szCs w:val="20"/>
          <w:color w:val="auto"/>
        </w:rPr>
      </w:pPr>
    </w:p>
    <w:p>
      <w:pPr>
        <w:jc w:val="both"/>
        <w:ind w:left="340" w:hanging="332"/>
        <w:spacing w:after="0" w:line="254"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significant civil and criminal fines and penalties for each violation,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 (“FCA”).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3" w:name="page24"/>
    <w:bookmarkEnd w:id="23"/>
    <w:p>
      <w:pPr>
        <w:jc w:val="both"/>
        <w:ind w:left="340" w:hanging="332"/>
        <w:spacing w:after="0" w:line="254"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Patient Protection and Affordable Care Act, as amended by the Health Care and Education Reconciliation Act of 2010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physicians and their immediate family members. In addition, many states also require reporting of payments or other transfers of value, many of which differ from each other in significant ways and are often not pre-empted, thus further complicating compliance efforts. Effective January 1, 2022, these reporting obligations extended to include transfers of value made in the previous year to certain non-physician providers such as physician assistants and nurse practitioners.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broadly regulate marketplace activities and activities that potentially harm consumers.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 may be broader in scope than their federal equivalents;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and restrict marketing practices or require disclosure of marketing expenditures and pricing information; and state and foreign laws that govern the privacy and security of health information in some circumstances. These data privacy and security laws may differ from each other in significant ways and often are not pre-empted by HIPAA, which may complicate compliance efforts.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time-and resource-consuming, including requiring significant capital allocations, and can divert a company’s attention from its business.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U.S., the collection and use of personal data is increasingly subject to various federal and state privacy and data security laws and regulations, including oversight by various regulatory and other governmental bodies. Those laws and regulations continue to evolve and are increasingly being enforced vigorously by both governmental and private causes of action. For example, following the enactment of the California Consumer Privacy Act of 2018, which was subsequently amended by the Consumer Privacy Rights Act of 2020, other states have established a broad range of privacy obligations for businesses, including robust notice and the right to opt-out from the selling or sharing of personal information, access, correction, portability, deletion, and related obligations. While many of these statutes specifically exempt protected health information that is subject to HIPAA and clinical trial regulations, these statutes have marked the beginning of a trend towards a more stringent state privacy legislative regime in the U.S., which could increase our potential liability and adversely affect our business both from a financial and reputational perspective.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 and Reimbursement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and markets in other countries, patients who are prescribed treatments for their conditions and providers performing the prescribed services generally rely on third-party payors to reimburse all or part of the associated healthcare costs. Thus, even if a drug candidate is approved, sales of the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In the U.S.,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drug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federal level, for example, the Inflation Reduction Act of 2022 (the “IRA”) was signed into law. Key provisions of the IRA include the following, among others: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requires manufacturers to pay rebates for Medicare Part B and Part D drugs where price increases exceed inflation.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delays the rebate rule that would require pass through of pharmacy benefit manager rebates to beneficiaries.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directs CMS to engage in price-capped negotiation for certain Medicare Part B and Part D products. Specifically, the IRA’s Price Negotiation Program applies to high-expenditure single-source drugs and biologics that have been approved for at least 7 or 11 years, respectively, among other negotiation selection criteria, beginning with ten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Manufacturers that fail to comply with the IRA may be subject to various penalties, including civil monetary penalties or a potential excise tax. The IRA permits the Secretary of HHS to implement many of the IRA’s provisions through guidance, as opposed to regulation, for the initial years. The effect of the IRA is anticipated to have significant effects on the pharmaceutical industry and may reduce the prices pharmaceutical manufacturers can charge and reimbursement pharmaceutical manufacturers can receive for approved products, among other effects.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The implementation of the IRA and other state and federal healthcare reform measures may be adopted in the future, any of which may result in additional reductions in Medicare and other healthcare funding and otherwise affect the prices we may obtain for any drug candidates for which we may obtain regulatory approval or the frequency with which any such drug candidate is prescribed or used.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U.S., ensuring coverage and adequate payment for a product also involves challenges, as the pricing of biological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biological products will likely continue as countries attempt to manage healthcare expenditures.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and Future Healthcare Reform Legislation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on May 30, 2018, the Right to Try Act was signed into law. The law, among other things, provides a federal framework for certain patients to access certain IND products that have completed a Phase I clinical trial and that are undergoing investigation for FDA approval or for which a marketing application has been submitted to the FDA. Under certain circumstances, eligible patients can request access to such an investigational drug product for treatment use without enrolling in clinical trials and without obtaining FDA permission under the FDA expanded access regulations. There is no obligation for a drug manufacturer to make its drug products available to eligible patients as a result of the Right to Try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20, 2020, HHS Office of the Inspector General finalized a regulation with the goal of lowering prescription drug prices and out-of-pocket spending for prescription drugs. Specifically, the final rule clarified and amended the discount safe harbor under the federal Anti-Kickback Statute with the effect that rebates paid from drug manufacturers to Medicare Part D prescription drug plan sponsors, or their pharmacy benefit managers (“PBMs”) would be excluded from liability protection under the discount safe harbor. The rule also added a new safe harbor for point-of-sale reductions in price and another that protects certain fixed-fee service arrangements between PBMs and drug manufacturers.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Congress has indicated that it will continue to seek new legislative and/or administrative measures to control drug costs. Any reduction in reimbursement from Medicare and other government programs may result in a similar reduction in payments from private payers. Moreover, 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Regulation Outside of the 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a variety of regulations of other countries governing, among other things, any clinical trials and commercial sales and distribution of our drug candidates. Whether or not we obtain FDA approval (clinical trial or marketing) for a product, we must obtain the requisite approvals from regulatory authorities in countries outside of the U.S., such as the EU and China, prior to the commencement of clinical trials or marketing of the products in those countries. The approval process and requirements governing the conduct of clinical trials, product licensing, pricing and reimbursement vary greatly from place to place, and the time may be longer or shorter than that required for FDA approval.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before starting a clinical trial, it must be authorized by the competent authority of each EU Member State in which the sponsor plans to conduct the clinical trial. Under the new EU Clinical Trials Regulation (EU) 536/2014, which took effect on 31 January 2022, the sponsor must submit an application dossier to the relevant EU Member States through a central portal, known as the Clinical Trial Information System (CTIS). Part I of the application contains the scientific aspects of the trial, including manufacturing, pre-clinical and clinical data on the product. Part II of the application contains the ethical aspects of the trial. A single reporting Member State assesses Part I and reaches a decision in consultation with the other concerned Member States. Each Member State assesses Part II of the application through its own national ethics committee procedure and reaches its own decision. Clinical trials conducted in the EU (or used for marketing authorization application in the EU) must be conducted in accordance with applicable standards of GCP, including the ICH GCP guidelines. The investigational medicinal products used in clinical trials in the EU must have been manufactured in accordance with EU standards of good manufacturing practice (“GMP”).</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in the U.S., no medicinal product may be placed on the EU market unless a marketing authorization has been issued. In the EU, medicinal products may be authorized under the centralized procedure administered by the EMA or one of the procedures administered by competent authorities in the individual EU Member States (decentralized procedure, mutual recognition procedure, or if the product is to be approved in only one member state, the national procedure). The centralized procedure provides for the grant of a single marketing authorization by the European Commission that is valid for all EU Member States. The centralized procedure is compulsory for specific products, including medicines produced by certain biotechnological processes, products designated as orphan medicinal products, advanced therapy medicinal products and products with a new active substance indicated for the treatment of certain diseases, including products for the treatment of cancer and products for the treatment of infectious diseases. For products with a new active substance indicated for the treatment of other diseases and products that are highly innovative or for which a centralized process is in the interest of patients, the centralized procedure is optional.</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centralized procedure in the EU, marketing authorization applications are submitted to the EMA, where they are reviewed by relevant scientific committees, including the Committee for Medicinal Products for Human Use (“CHMP”). The EMA will forward the final CHMP opinion to the European Commission, to use as the basis for deciding whether to grant a marketing authorization. The maximum timeframe for the evaluation of a marketing authorization application by the CHMP is 210 days. However, this timeline excludes clock stops, when additional written or oral information is to be provided by the applicant in response to questions asked by the CHMP, so the overall process typically takes a year or more. Accelerated evaluation might be granted by the CHMP in exceptional cases, when a medicinal product is expected to be of a major interest for public health and therapeutic intervention, defined by the absence or insufficiency of an appropriate alternative therapeutic approach for the disease to be treated and anticipation of high therapeutic benefit of the new product. In this circumstance, the EMA ensures that the opinion of the CHMP is given within 150 days.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Marketing authorization applications for generic of biosimilar medicinal products do not need to include the results of pre-clinical studies and clinical trials, but instead can refer to the data included in the marketing authorization of a reference product for which regulatory data exclusivity has expired. If a marketing authorization is granted for a medicinal product containing a new active substance, that product benefits from eight years of data exclusivity, during which generic or biosimilar applications referring to the data of that product will not be accepted by the regulatory authorities, and a further two years of market exclusivity, during which such generic or biosimilar products may not be placed on the market. The two-year market exclusivity period may be extended to three years if during the first eight years of the product’s authorization, a new therapeutic indication with significant clinical benefit over existing therapies is approved.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In the EU, a medicinal product may be designated as an orphan medicinal product if the sponsor can establish that it is intended for the diagnosis, prevention or treatment of a life-threatening or chronically debilitating condition affecting not more than five in 10 thousand persons in the EU, or that, for the same purposes, it is unlikely that the marketing of the medicinal product would generate sufficient return in the EU to justify the necessary investment; and in either case that there exists no satisfactory method of diagnosis, prevention or treatment of the condition in question that has been authorized in the EU or, if such method exists, that the medicinal product will be of significant benefit to those affected by that condition. Orphan medicinal product designation entitles the sponsor to financial incentives such as reduction of fees or fee waivers and ten years of market exclusivity is granted following marketing authorization for the orphan indication. During this period, the competent authorities may not accept or approve any similar medicinal product for the same therapeutic indication, unless (i) the second medicinal product is safer, more effective or otherwise clinically superior to the authorized orphan product; (ii) the marketing authorization holder for the authorized product consents to a second orphan medicinal product application; or (iii) the marketing authorization holder for the authorized product cannot supply enough orphan medicinal product. This period may be reduced to six years if the orphan medicinal product designation criteria are no longer met, including where it is shown that the product is sufficiently profitable not to justify maintenance of orphan designation.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EU, the requirements for pricing, coverage and reimbursement of any drug candidates for which we obtain regulatory approval are provided for by the national laws of EU Member States. Governments influence the price of pharmaceutical products through their pricing and reimbursement rules and control of national health care systems that fund a large part of the cost of those products to consumers. The downward pressure on healthcare costs in general, particularly prescription medicines, has become very intense. As a result, increasingly high barriers are being erected to the entry of new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preclinical, clinical or commercial quantities of any of our drug candidates. We currently contract with third-party contract manufacturing organizations (“CMOs”) for our preclinical and clinical trial supplies, and we expect to continue to do so to meet the preclinical and any clinical requirements of our drug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Manufacturing is subject to extensive regulations that impose various procedural and documentation requirements, which govern record keeping, manufacturing processes and controls, personnel, quality control and quality assurance, among others. Medical product manufacturers and other entities involved in the manufacture and distribution of approved drug or biologic products are required to register their establishments with the FDA and certain state agencies and are subject to periodic unannounced inspections by the FDA and certain state agencies for compliance with cGMP and other laws. cGMP is a regulatory standard for the production of pharmaceuticals that will be used in humans which is recognized by FDA and many foreign regulatory authorities. Accordingly, manufacturers must continue to expend time, money, and effort in the area of production and quality control to maintain GMP compliance. We use CMOs which manufacture our drug candidates under cGMP conditions.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The FDA has the authority to take a variety of actions to address violations, including suspending the review of a pending application; refusing to approve or withdrawing approval of a marketing application; placing a study on clinical hold; issuing warning or untitled letters; ordering or requesting a product recall; seizing product in distribution; seeking an injunction to stop manufacture and distribution of a product; seeking restitution, disgorgement of profits, and fines; and debarring a company and its executives individually from participation in any capacity in the drug approval process. In addition, the U.S. Department of Justice has the authority to criminally prosecute companies and company executives for violations of the FDCA and the PHSA.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focus is on the development of our existing portfolio, the completion of clinical trials and, if and where appropriate, the registration of our drug candidates. We currently do not have marketing, sales and distribution capabilities. If we receive marketing and commercialization approval for any of our drug candidates, we intend to market the product either directly or through strategic alliances and distribution agreements with third parties. The ultimate implementation of our strategy for realizing the financial value of our drug candidates is dependent on the results of clinical trials for our drug candidates, the availability of regulatory approvals and the ability to negotiate acceptable commercial terms with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AND 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in the discovery and development of new methods for treating and preventing disease is intense. We face, and will continue to face,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drug candidates.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our competitors, either alone or together with their collaborative partners, have substantially greater financial resources and larger research and development staffs than we do. In addition, most of these organizations, either alone or together with their collaborators, have significantly greater experience than we do in developing products, undertaking preclinical testing and clinical trials,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IMNN-001 Immunotherapy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Studied indications for IMNN-001 currently include newly diagnosed Stage III/IV ovarian cancer. In evaluating the competitive landscape for this indication, neo-adjuvant and/or adjuvant chemotherapy to debulking surgery (carboplatin and paclitaxel for ovarian cancer) is the standard of care. Bevacizumab, an angiogenesis inhibitor, can be used in conjunction with the adjuvant chemotherapy and prolonged until progression (the maintenance phase of the treatment).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IMNN-001 is being studied as an adjuvant to both chemotherapy standard of care regimens, as well as anti-angiogenesis compounds. To support these cases, we are conducting clinical studies in combination with chemotherapy, chemotherapy and bevacizumab for newly diagnosed ovarian cancer.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Technology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and will continue to encounter competition with an array of existing or development-stage drug approaches targeting diseases we are pursuing. We are aware of various established enterprises, including major pharmaceutical companies, broadly engaged in vaccine/immunotherapy research and development. These include Janssen Pharmaceuticals (part of J&amp;J), Sanofi-Aventis, GlaxoSmithKline plc, Merck, Pfizer, and AstraZeneca. There are also various development-stage biotechnology companies involved in different vaccine and immunotherapy technologies including but not limited to Advaxis, Bavarian Nordic, CureVac, Dynavax, Hookipa, Iovance, Nektar, Translate Bio, Zydus, and Vir Biotechnology. If these companies are successful in developing their technologies, it could materially and adversely affect our business and our future growth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A large number of companies are actively advancing COVID-19 vaccines through the clinic. Pfizer and BioNTech, Moderna Therapeutics, Janssen (J&amp;J), Novavax, Zydus, and AstraZeneca have received conditional or complete approval for their COVID-19 vaccines from either the U.S., WHO, or European regulatory authorities. Additionally, several companies are currently developing vaccine candidates in Phase 2 or Phase 3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also compete more specifically with companies seeking to utilize antigen-encoding DNA delivered with electroporation or other DNA delivery technologies such as viral vectors or lipid vectors to induce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generated antigen production and immune responses to prevent or treat various diseases. These competitive technologies have shown promise, but they each also have their unique obstacles to overcome.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competitors develop products with efficacy or safety profiles significantly better than our drug candidates, we may not be able to commercialize our products, if approved, and sales of any of our commercialized products, if any, could be harmed. Some of our competitors and potential competitors have substantially greater product development capabilities and financial, scientific, marketing and human resources than we do. Competitors may develop products earlier, obtain regulatory approvals for products more rapidly, or develop products that are more effective than those under development by us. We will seek to expand our technological capabilities to remain competitive; however, research and development by others may render our technologies or products obsolete or noncompetitive or result in treatments or cures superior to ours.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competitive position will be affected by the disease indications addressed by our drug candidates and those of our competitors, the timing of market introduction for these products and the stage of development of other technologies to address these disease indications. For us and our competitors, proprietary technologies, the ability to complete clinical trials on a timely basis and with the desired results, and the ability to obtain timely regulatory approvals to market these drug candidates are likely to be significant competitive factors. Other important competitive factors will include efficacy, safety, ease of use, reliability, availability and price of products and the ability to fund operations during the period between technological conception and commercial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TheraPlas technology, we own five patents in U.S. and international patents and related applications with claims on methods and compositions of matter that cover various aspects of TheraPlas and IMNN-001 technologies. The issued patents have expiration dates ranging from 2025 to 2028. Four new patents of the TheraPlas family were filed in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PlaCCine technology, we have filed four patent applications in the U.S. and abroad between 2021 and 2023 with claims on methods and compositions of matter that cover various aspect of the Company’s prophylactic and therapeutic vaccine technologies.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mentioned above, the FDA granted orphan drug designation to IMNN-001 for the treatment of ovarian cancer.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if approved,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rights available to us under completed or pending license agreements, we rely on our proprietary know-how and experience in the development and use of heat for medical therapies,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xml:space="preserve"> of this Annual Report, including, but not limited to, “We rely on trade secret protection and other unpatented proprietary rights for important proprietary 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xml:space="preserve"> of this Annual Report, including, but not limited to, “Our business depends on license agreements with third parties to permit us to use patented technologies. The loss of any of our rights under these agreements could impair our ability to develop and market our products, if approved.”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28, 2024, we employed 33 full-time employees. We also maintain active independent contractor relationships with various individuals, most of whom have month-to-month or annual consulting agreements. None of our employees are covered by a collective bargaining agreement, and we consider our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to treat cancer and infectious diseases. The Company’s common stock continues to trade on the Nasdaq Stock Market under the ticker symbol “IMNN.”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founded in 1982 and is a Delaware corporation. Our principal executive offices are located at 997 Lenox Drive, Suite 100, Lawrenceville, NJ 08648. Our telephone number is (609) 896-9100. The Company’s website is www.Imunon.com. The information contained in, or that can be accessed through, our website is not part of, and is not incorporated into,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make available free of charge through our website, www.Imunon.com, our Annual Report, Quarterly Reports on Form 10-Q, Current Reports on Form 8-K, and all amendments to those reports as soon as reasonably practicable after such material is electronically filed with or furnished to the Securities and Exchange Commission (the “SEC”). In addition, our website, </w:t>
      </w:r>
      <w:r>
        <w:rPr>
          <w:rFonts w:ascii="Times New Roman" w:cs="Times New Roman" w:eastAsia="Times New Roman" w:hAnsi="Times New Roman"/>
          <w:sz w:val="18"/>
          <w:szCs w:val="18"/>
          <w:i w:val="1"/>
          <w:iCs w:val="1"/>
          <w:color w:val="auto"/>
        </w:rPr>
        <w:t>www.imunon.com</w:t>
      </w:r>
      <w:r>
        <w:rPr>
          <w:rFonts w:ascii="Times New Roman" w:cs="Times New Roman" w:eastAsia="Times New Roman" w:hAnsi="Times New Roman"/>
          <w:sz w:val="18"/>
          <w:szCs w:val="18"/>
          <w:color w:val="auto"/>
        </w:rPr>
        <w:t xml:space="preserv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The SEC also maintains an internet site that contains reports, proxy and information statements and other information regarding issuers that file periodic and other reports electronically with the Securities and Exchange Commission.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available on or through our website is not a part of this Annual Report and should not be relied upon.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We are providing the following cautionary discussion of risk factors and uncertainties that we believe are relevant to our business. These are factors that, individually or in the aggregate, we think could cause our actual results to differ materially from expected or historical results and our forward-looking statements. We note these factors for investors as permitted by Section 21E of the Exchange Act and Section 27A of the Securities Act.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is a summary of some of the Company’s most important risks and uncertainties that could materially adversely affect our business, financial condition, and results of operations. You should read this summary together with a more detailed description of each risk factor. Additional discussion of the risks summarized in this Risk Factors Summary, and other risks that we face, can be found below under the heading “Risk Factors” and should be carefully considered, together with other information in this Annual Report on Form 10-K and our other filings with the SEC, before making an investment in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Related to Our Business and Operations</w:t>
      </w:r>
    </w:p>
    <w:p>
      <w:pPr>
        <w:spacing w:after="0" w:line="225" w:lineRule="exact"/>
        <w:rPr>
          <w:sz w:val="20"/>
          <w:szCs w:val="20"/>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significant losses from operations and expect to continue to incur significant losses for the foreseeable future and we may never achieve or maintain profitability.</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continue as a going concern, which could cause our stockholders to lose most or all of their investment.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drug candidates.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an inherently uncertain process with a high risk of failure at every stage of development.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all of our clinical trials.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rely on third-party manufacturing and supply partners, our supply of research and development, preclinical and clinical development materials may become limited or interrupted or may not be of satisfactory quantity or quality.</w:t>
      </w: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obtained Orphan Drug Designation for GEN-1 ThermoDox® and may seek Orphan Drug Designation for other drug candidates, but we may be unsuccessful or may be unable to maintain the benefits associated with Orphan Drug Designation, including the potential for market exclusivity.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Track designation may not actually lead to a faster development or regulatory review or approval process.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healthcare providers and physicians and third-party payors will be subject to applicable false claims act, anti-kickback, transparency, fraud and abuse and other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legislative and regulatory changes affecting the healthcare industry could have a material adverse effect on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evolving European and other privacy laws.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products, if approved may be harmed if the government, private health insurers and other third-party payers do not provide sufficient coverage or reimbursement.</w:t>
      </w: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current or future drug candidate will depend upon the degree of market acceptance by physicians, patients, payors and others in the medical community.</w:t>
      </w: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if approved, successfully.</w:t>
      </w: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or retain key officers or employees that we need to implement our business strategy and develop our drug candidates and business.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in part on our ability to grow and diversify, which in turn will require that we manage and control our growth effectively.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the failure to compete effectively could adversely affect our ability to develop and market our products, if approved.</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significant product liability claims and litigation.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clinical research organizations (“CROs”) or other contractors or consultants, may fail or suffer security breaches, which could result in a material disruption of our product development programs.</w:t>
      </w:r>
    </w:p>
    <w:p>
      <w:pPr>
        <w:jc w:val="both"/>
        <w:ind w:left="660" w:hanging="328"/>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225"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license agreements with third parties to permit us to use patented technologies. The loss of any of our rights under these agreements could impair our ability to develop and market our products, if approved.</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pending patent applications do not issue, or are deemed invalid following issuance, we may lose valuable intellectual property protection.</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trade secret protection and other unpatented proprietary rights for important proprietary technologies, and any loss of such rights could harm our business, results of operations and financial condition.</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patent and other intellectual property rights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Our Securities</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significantly volatile.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delisted from The Nasdaq Capital Market if we fail to comply with continued listing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 the public market could cause our stock price to fall.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experience significant dilution as a result of future equity offerings or issuances and exercise of outstanding options and warrants.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 to offset future taxable income are subject to certain limitations.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paid cash dividends on our common stock and do not anticipate paying dividends in the foreseeable future.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a history of significant losses from operations and expect to continue to incur significant losses for the foreseeable future, and we may never achieve or maintain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our inception, our expenses have substantially exceeded our revenue, resulting in continuing losses and an accumulated deficit of $388 million at December 31, 2023. For the years ended December 31, 2023 and 2022, we incurred net losses of $19.5 million and $35.9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IMNN-001 and other new drug candidates and these drug candidates have been clinically tested, approved by the FDA and successfully marketed. The amount of future losses is uncertain. Our ability to achieve profitability, if ever, will depend on, among other things, the following, which we cannot guarantee:, us or our collaborators successfully developing drug candidates, obtaining regulatory approvals to market and commercialize drug candidates, manufacturing any approved products on commercially reasonable terms, establishing a sales and marketing organization or suitable third-party alternatives for any approved product, generating sufficient sales revenue from our drug candidates, and raising sufficient funds to finance business activities.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might not be able to continue as a going concern, which could cause our stockholders to lose most or all of their investment.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audited financial statements for the year ended December 31, 2023 were prepared under the assumption that we would continue as a going concern. However, we have concluded that there is substantial doubt about our ability to continue as a going concern, therefore our independent registered public accounting firm included a “going concern” explanatory paragraph in its report on our financial statements for the year ended December 31, 2023, indicating that, without additional sources of funding, our cash at December 31, 2023 is not sufficient for us to operate as a going concern for a period of at least one year from the date that the financial statements included in this Annual Report on Form 10-K are issued. Management’s plans concerning these matters, including our need to raise additional capital, are described in Note 2 of our financial statements included within this Annual Report on Form 10-K, however, management cannot assure you that its plans will be successful. If we cannot continue as a viable entity, our stockholders would likely lose most or all of their investment in us.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drug candidates.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year ended December 31, 2023, we incurred a net loss of $19.5 million. We have incurred approximately $388 million of cumulative net losses. As of December 31, 2023, we had cash and cash equivalents, short-term investments, interest receivable and net proceeds on the sale of net operating losses of $17.0 million.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substantial future capital requirements to continue our research and development activities and advance our drug candidates through various development stages.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obtain regulatory approvals from the FDA and foreign regulatory agencies, we must conduct clinical trials demonstrating that our drug candidates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obtain approvals is also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receive regulatory approval of a product, the approval may limit the indicated uses for which the drug may be marketed. The failure to obtain timely regulatory approval of drug candidates, the imposition of marketing limitations, or a product withdrawal would negatively impact our business.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drug candidates, when and if approved. Finally, even if we obtain FDA approval of any of our drug candidates, we may never obtain approval or commercialize such products outside of the U.S., given that we may be subject to additional regulatory burdens in other markets. This could limit our ability to realize their full market potential.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development is an inherently uncertain process with a high risk of failure at every stage of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Securing FDA or comparable foreign regulatory approval requires the submission of extensive preclinical and clinical data and supporting information for each therapeutic indication to establish the drug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80" w:lineRule="exact"/>
        <w:rPr>
          <w:sz w:val="20"/>
          <w:szCs w:val="20"/>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related to the ongoing effects of the COVID-19 pandemic, including regulators or institutional review boards, or IRBs, or ethics committees may not authorize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preclinical test or clinical trial may fail to produce safety and efficacy results satisfactory to the FDA or comparable foreign regulatory authorities;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data can be interpreted in different ways, which could delay, limit, or prevent marketing approval;</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rejections based on changes in FDA policies or the policies of comparable foreign regulatory authorities during the period in which we develop a drug candidate, or the period required for review of any final marketing approval before we are able to market any drug candidate.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information generated during the clinical trial process is susceptible to varying interpretations that could delay, limit, or prevent marketing approval. Moreover, early positive preclinical or clinical trial results may not be replicated in later clinical trials. As more drug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drug candidates would delay or prevent marketing approval.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regulatory approval process for novel drug candidates such as ours can be significantly more expensive and take longer than for other, better known or more extensively studied drug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Therapeutic Products within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drug candidates in either the U.S. or the European Union or how long it will take to commercialize our drug candidates.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Adverse events or the perception of adverse events in the field of gene therapy generally, or with respect to our drug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involving recombinant or nucleic acid molecules, we may be subject to review by an IBC and, in some cases, the NIH. Such review can delay the initiation of a clinical trial, even if the FDA has reviewed the trial design and details and approved its initiation. Conversely, the FDA can put an IND application on a clinical hold even if the IBC or the NIH has provided a favorable review. Such reviews and any new guidelines may lengthen the regulatory review process, require us to perform additional studies, increase our development costs, lead to changes in regulatory positions and interpretations, delay or prevent approval and commercialization of our drug candidates or lead to significant post-approval limitations or restrictions. Any increased scrutiny could delay or increase the costs of our product development efforts or clinical trials.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products receive regulatory approval, they may still face future development and regulatory difficulties. Government regulators may impose ongoing requirements for potentially costly post-approval studies. This governmental oversight may be particularly strict with respect to gene-based therapies.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encounter difficulties enrolling patients in our clinical trials, our clinical development activities could be delayed or otherwise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 and the process for identifying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research programs resulting from factors related to the COVID-19 pandemic;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availability of patients to participate in our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drug candidate being studied in relation to other available therapies, including any new products that may be approved for the indications we are investigating;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drug candidates’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informed consents;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drug candidates, delay or halt the development of and approval processes for our drug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drug candidates. Any of the foregoing could cause the value of our company to decline and limit our ability to obtain additional financing, if needed.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drug candidates in a timely or cost-effective manner.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independently conduct clinical trials for our drug candidates. We rely, and expect to continue to rely, on third-party clinical investigators, CROs, clinical data management organizations and consultants to design, conduct, supervise and monitor our clinical trials.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drug candidates.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and that the rights, integrity and confidentiality of clinical trial participants are protected.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rely on third-party manufacturing and supply partners, our supply of research and development, preclinical and clinical development materials may become limited or interrupted or may not be of satisfactory quantity or quality.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or restricted in certain geographic regions or will be of satisfactory quality or will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cGMP.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any of our third-party manufacturers or testing contractors fail to maintain regulatory compliance, this could cause the delay of clinical trials, regulatory submissions, required approvals or commercialization of our drug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the manufacturing facilities of our third-party manufacturers.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our third-party manufacturers to implement and that may include the temporary or permanent suspension of a clinical trial or commercial sales or the temporary or permanent closure of a manufacturing facility. Any such remedial measures imposed upon third parties with whom we contract could materially harm our business.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enter into and maintain successful strategic alliances for our drug candidates, we may have to reduce or delay our drug candidate development or increase our expenditures. To the extent we are able to enter into strategic transactions, we will be exposed to risks related to those collaborations and alliances.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important element of our strategy for developing, manufacturing and commercializing our drug candidates is entering into strategic alliances with pharmaceutical companies, research institutions or other industry participants to advance our programs and enable us to maintain our financial and operational capacity.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seeking appropriate alliances. We may not be able to negotiate alliances on acceptable terms, if at all. In addition, these alliances may be unsuccessful. If we fail to create and maintain suitable alliances, we may have to limit the size or scope of, or delay, one or more of our drug development or research programs. If we elect to fund drug development or research programs on our own, we will have to increase our expenditures and will need to obtain additional funding, which may be unavailable or available only on unfavorable terms.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successfully engage in future strategic transactions, which could adversely affect our ability to develop and commercialize drug candidates, impact our cash position, increase our expenses and present significant distractions to our management.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future, we may consider strategic alternatives intended to further the development of our business, which may include acquiring businesses, technologies, or products, out- or in-licensing drug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drug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drug candidates and have a negative impact on the competitiveness of any drug candidate that reaches market.</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obtained Orphan Drug Designation for IMNN-001 and may seek Orphan Drug Designation for other drug candidates, but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IMNN-001 has been granted orphan drug designation for ovarian cancer in both the U.S. and Europe. Regulatory authorities in some jurisdictions, including the U.S. and Europe, may designate drugs or biologics for relatively small patient populations as orphan drugs. Under the Orphan Drug Act, the FDA may designate a drug or biologic as an orphan drug if the disease or condition for which the drug is intended affects fewer than 200,000 individuals in the U.S., or, if the drug is intended for a disease or condition affecting 200,000 or more people in the U.S., there is no reasonable expectation that the cost of developing and making available in the U.S. the drug or biologic for the disease or condition will be recovered from sales of the drug in the U.S.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though we have obtained Orphan Drug Designation for IMNN-001 and may obtain such designation for other drug candidates in specific indications, we may not be the first to obtain marketing approval of these drug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indication. Even after an orphan product is approved, the FDA can subsequently approve a different sponsor’s application for the same drug for the same indication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IMNN-001 received U.S. FDA Fast Track designation in 2021. However, we may not experience a faster development process, review, or approval compared to a product that lacks Fast Track designation.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healthcare providers and physicians and third-party payors will be subject to applicable false claims act, anti-kickback, transparency, fraud and abuse and other healthcare laws and regulations, which could expose us to criminal sanctions, civil penalties, contractual damages, administrative burdens, reputational harm and diminished profits and future earnings.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biopharmaceutical products. In particular, the research of our drug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legislative and regulatory changes affecting the healthcare industry could have a material adverse effect on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to potential fundamental changes that could substantially affect our results of operations by requiring, for example: (i) changes to our manufacturing arrangements; (ii) additions or modifications to product labeling; (iii) the recall or discontinuation of our products, if approved; or (iv) additional record-keeping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what healthcare reform initiatives may be adopted in the future. Further, federal and state legislative and regulatory developments are likely, and we expect ongoing initiatives in the U.S. to increase pressure on drug pricing. Such reforms could have an adverse effect on anticipated revenues for any drug candidates that we may successfully develop and for which we may obtain regulatory approval and may affect our overall financial condition and ability to develop drug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varying degrees of privacy regulation in the countries in which we operate operations, and the general trend is toward increasingly stringent regulation and enforcement. We are, for example, subject to costly and complex U.S. and foreign laws governing the collection, use, disclosure, and cross-border transfer of information about patients and other individuals that may materially adversely affect our financial condition and business operations. Since we have conducted and may conduct clinical trials in the European Economic Area (“EEA”), we are subject to additional data protection and clinical trial laws in the European Union. The General Data Protection Regulation, (EU) 2016/679 (“GDPR”), for example, governs the processing of personal data, and imposes numerous requirements on companies that process personal data, including requirements relating to processing health and other sensitive data, obtaining consent of the individuals to whom the personal data relates, providing notices to individuals regarding data processing activities, implementing safeguards to protect the security and confidentiality of personal data, alerting data subjects and authorities about data breaches, and taking specific measures when engaging third-party processors. The GDPR also imposes strict rules on the transfer of personal data to countries outside the EEA, including the U.S., and confers on data subjects the right to lodge complaints with supervisory authorities, and seek certain judicial review for violations of the GDPR. In addition, the GDPR includes restrictions on cross-border data transfers. Under the GDPR, competent regulatory authorities have the power to impose fines up to EUR 20 million or 4% of the global annual turnover (whichever is higher), depending on the nature of the violation (see Art. 83, GDPR). Further consequences of non-compliance could be cease and desist claims by certain organizations/competitors, damage claims and reputational damage. Further, Regulation (EU) No 536/2014 of the European Parliament and of the Council of 16 April 2014 on clinical trials on medicinal products for human use and repealing Directive 2001/20/EC governs how we conduct clinical trials in the European Union together with Good Clinical Practices. As a result of Brexit, moreover, we also have independent obligations, similar to those already imposed on us by GDPR, under the United Kingdom’s Data Protection Act, 2018. Additionally, there are other local data protection laws, industry-specific requirements, regulations, or applicable codes of conduct which may impact our operations. We have taken steps to implement privacy compliance programs and controls, but our business remains subject to potential risks of controls imposed on cross border data flows, unauthorized access, and loss of personal data through internal and external threats that could impact our business operations and research activities.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products, if approved, may be harmed if the government, private health insurers and other third-party payers do not provide sufficient coverage or reimbursement.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commercialize our new cancer treatment systems successfully will depend in part on the extent to which reimbursement for the costs of such products, if approved, and related treatments will be available from third-party payors, which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Patients are unlikely to use our drug candidates unless coverage is provided, and reimbursement is adequate to cover a significant portion of the cost. We cannot be sure that coverage and reimbursement will be available for, or accurately estimate the potential revenue from, our drug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if approved,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commercial success of our products, if approved, will depend upon their acceptance by the medical community and third-party payors as clinically useful, cost effective and safe. Any of our drug candidates or similar drug candidates being investigated by our competitors may prove not to be effective in trial or in practice, cause adverse events or other undesirable side effects. Our testing and clinical practice may not confirm the safety and efficacy of our drug candidates or even if further testing and clinical practice produce positive results, the medical community may view these new forms of treatment as effective and desirable or our efforts to market our new products, if approved, may fail. Market acceptance depends upon physicians and hospitals obtaining adequate reimbursement rates from third-party payors to make our products, if approved, commercially viable. Any of these factors could have an adverse effect on our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if approved, successfully.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including providing adequate training on such topics.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will depend in part on our ability to grow and diversify, which in turn will require that we manage and control our growth effectively.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face intense competition and the failure to compete effectively could adversely affect our ability to develop and market our products, if approved.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and malicious software that could attack our networks and data centers or those of our service providers; unauthorized parties may attempt to gain access to our systems, networks, or facilities, or those of third parties with whom we do business, through fraud, trickery, or other forms of deceiving our employees or contractors, direct social engineering, phishing, credential stuffing, ransomware, denial or degradation of service attacks and similar types of attacks against any or all of us, our patients and our services providers; inadvertent security breaches or theft, misuse, unauthorized access or other improper actions by our employees, patients, service providers and other business partners; natural disasters, terrorism, war and telecommunication and electrical failures. These extensive information security and cybersecurity threats, which affect companies globally, pose a risk to the security and availability of our systems and networks, and the confidentiality, integrity, and availability of our sensitive data. We continually assess these threats and make investments to increase internal protection, detection, and response capabilities, as well as ensure that our third-party providers have required capabilities and controls, to address those risks. Even so, such events could cause significant interruptions of our operations. For instance, the loss of preclinical data or data from any clinical trial involving our drug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drug candidates could be delayed. In addition, such interruptions and cyber security incidents and faults can cause reputational damage.</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 (1) FDA regulations or similar regulations of comparable non-U.S. regulatory authorities, including those laws requiring the reporting of true, complete and accurate information to such authorities, (2) manufacturing standards, (3) federal and state healthcare fraud and abuse laws and regulations and similar laws and regulations established and enforced by comparable non-U.S. regulatory authorities, and (4) laws that require the reporting of financial information or data accurately. In particular, sales, marketing and business arrangements in the healthcare industry are subject to extensive laws and regulations intended to prevent fraud, misconduct, kickbacks, self- dealing, bribery and other abusive practices. These laws and regulations restrict or prohibit a wide range of pricing, discounting, marketing and promotion, sales commission, customer incentive programs and other business arrangements. Employee or collaborator misconduct could also involve the improper use of, including trading on, information obtained in the course of clinical trials, which could result in regulatory sanctions and serious harm to our reputation. While we have a code of conduct and business ethics,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imprisonment, contractual damages, reputational harm, diminished profits and future earnings, and curtailment of our operations, any of which could have a material adverse effect on our ability to operate our business and our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 if approved.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any of our pending patent applications are not issued, or are deemed invalid following issuance, we may lose valuable intellectual property protection.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been issued will be held valid and enforceable in a court of law through the entire patent term. Even for patents that are held valid and enforceable, the legal process associated with obtaining such a judgment is time-consuming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if approved, encompassed by our patents. We may have to participate in interference proceedings declared by the U.S. Patent and Trademark Office, which could result in a loss of the patent and/or substantial cost to us.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patent applications, and plan to file additional patent applications, covering various aspects of our technologies and our proprietary drug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substantial costs as a result of litigation or other proceedings relating to patent and other intellectual property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infringing the patents and other proprietary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 In addition, there is a risk that the court will decide that such patents are not valid and that we do not have the right to stop the other party from using the inventions.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price for our common stock has been, and we expect it to continue to be, volatile. The price at which our common stock trades depends upon a number of factors, some of these factors are beyond our control. Broad market fluctuations may lower the market price of our common stock and affect the volume of trading in our stock, regardless of our financial condition, results of operations, business or prospects. In addition to the factors discussed in this “Risk Factors” section and elsewhere in this Annual Report, these factors include:</w:t>
      </w:r>
    </w:p>
    <w:p>
      <w:pPr>
        <w:spacing w:after="0" w:line="18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actual or potential clinical results with respect to drug candidates we are developing;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both the United States and abroad;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about the safety or efficacy of our drug candidates or technology, or related technology, or new technologies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 about the safety or efficacy of our drug candidates or technology, or related technology, or new technologies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announcements by our competitors or others;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comments by securities analysts and investors.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may be delisted from The Nasdaq Capital Market if we fail to comply with continued listing standards.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under the symbol “IMNN.” If we fail to comply with Nasdaq’s continued listing standards, we may be delisted and our common stock will trade, if at all, only on the over-the-counter market, such as the OTC Bulletin Board or OTCQX market, and then only if one or more registered broker-dealer market makers comply with quotation requirements. In addition, delisting of our common stock could depress our stock price, substantially limit liquidity of our common stock and materially adversely affect our ability to raise capital on terms acceptable to us, or at all. Further, delisting of our common stock would likely result in our common stock becoming a “penny stock” under the Exchange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26, 2023, we received a notice from the staff of the Nasdaq Stock Market LLC (the “Staff”) notifying us that, based upon the closing bid price of our common stock, for the 30 consecutive business days prior to the notice, we no longer met the requirement to maintain a minimum closing bid price of $1.00 per share, as set forth in Nasdaq Listing Rule 5550(a)(2). In accordance with Nasdaq Listing Rule 5810(c)(3)(A), we were granted 180 calendar days, or until June 24, 2024, to regain compliance with the minimum bid price rule.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regain compliance, the closing bid price of our common stock must be $1.00 per share or more for a minimum of 10 consecutive business days at any time before June 24, 2024. If we do not regain compliance with Rule 5550(a)(2) by June 24, 2024, we may be eligible for an additional 180 calendar day compliance period. To qualify, we will be required to meet the continued listing requirement for market value of publicly held shares and all other Nasdaq initial listing standards, except the bid price requirement, and would need to provide written notice to Nasdaq of our intention to cure the deficiency during the second compliance period. If it appears to the Staff that we will not be able to cure the deficiency, or if we are otherwise not eligible, Nasdaq would notify us that our securities will be subject to delisting. In the event of such notification, we may appeal the Staff’s determination to delist our securities, but there can be no assurance the Staff would grant our request for continued listing.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common stock is delisted by Nasdaq, it may be eligible for quotation on an over-the-counter quotation system or on the pink sheets. Upon any such delisting, our common stock would become subject to the regulations of the SEC relating to the market for penny stocks. A penny stock is any equity security not traded on a national securities exchange that has a market price of less than $5.00 per share. The regulations applicable to penny stocks may severely affect the market liquidity for our common stock and could limit the ability of stockholders to sell securities in the secondary market. In such a case, an investor may find it more difficult to dispose of or obtain accurate quotations as to the market value of our common stock, and there can be no assurance that our common stock will be eligible for trading or quotation on any alternative exchanges or markets.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Delisting from Nasdaq could adversely affect our ability to raise additional financing through public or private sales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March 26, 2024, we had 9,399,789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stockholders may experience significant dilution as a result of future equity offerings or issuances and exercise of outstanding options and warrants.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December 31, 2023, we had the following number of securities convertible into, or allowing the purchase of, our common stock, including 160,060 shares of common stock issuable upon exercise of warrants outstanding, 1,095,582 options to purchase shares of our common stock and restricted stock awards outstanding, and 1,206,342 shares of common stock reserved for future issuance under our stock incentive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Unstable global market and economic conditions may have serious adverse consequences on our business, financial condition and share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ongoing conflict between Ukraine and Russia has created extreme volatility in the global capital markets and is expected to have further global economic consequences, including with respect to global supply chain and energy concerns.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such volatility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2017, the then President of the U.S. signed into law the Tax Reform Act. The Tax Reform Act significantly changed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reduced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2022, 2021 and years prior, we performed analyses to determine if there were changes in ownership, as defined by Section 382 of the Code, that would limit our ability to utilize certain net operating loss and tax credit carry forwards. We determined we experienced ownership changes, as defined by Section 382, in connection with certain common stock offerings in 2011, 2013, 2015, 2017, 2018, 2020 and 2021. As a result, the utilization of our federal tax net operating loss carry-forwards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 Future changes in tax laws could also impair our corporate tax rate and/or our ability to utilize our NOLs.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never paid cash dividends on our common stock in the past and do not anticipate paying cash dividends on our common stock in the foreseeable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staggered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processes for assessing, identifying and managing cybersecurity risks, which are built into our information technology (“IT”) function and are designed to help protect our information assets and operations from internal and external cyber threats, protect employee and clinical trial information from unauthorized access or attack, as well as secure our networks and systems. Such processes include physical, procedural and technical safeguards, response plans, and routine review of our policies and procedures to identify risks and refine our practices. We engage certain external parties, including a full service managed IT service provider, to enhance our cybersecurity oversight.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of the Board of Directors (the “Audit Committee”) is responsible for overseeing cybersecurity risk and periodically updates our Board of Directors on such matters. The Audit Committee receives periodic updates from management regarding cybersecurity matters and is notified between such updates regarding any significant new cybersecurity threats or incidents. We do not believe that there are currently any known risks from cybersecurity threats that are reasonably likely to materially affect us or our business strategy, results of operations or financial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is responsible for the operational oversight of company-wide cybersecurity strategy, policy, and standards across relevant departments to assess and help prepare us to address cybersecurity risks.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effort to deter and detect cyber threats, we annually provide all employees with cybersecurity and prevention training, which covers timely and relevant topics, including social engineering, phishing, password protection, confidential data protection, and mobile security, and educates employees on the importance of reporting all incidents immediately. We also use technology-based tools to mitigate cybersecurity risks and to bolster our employee-based cybersecurity programs.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no real property and have no plans to acquire any real property in the future.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Lawrenceville, NJ Lease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 renewed its Lawrenceville office lease for a 24-month agreement for 9,850 square feet with monthly rent payments of approximately $22,983 and $23,394.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Huntsville, AL Lease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renewed its Huntsville facility lease for a 60-month lease agreement for 11,420 square feet with monthly rent payments of approximately $28,550 to $30,903.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existing facilities are suitable and adequate to conduct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of future payments and maturity of our operating lease liabilities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620" w:type="dxa"/>
            <w:vAlign w:val="bottom"/>
            <w:gridSpan w:val="4"/>
          </w:tcPr>
          <w:p>
            <w:pPr>
              <w:ind w:left="3940"/>
              <w:spacing w:after="0"/>
              <w:rPr>
                <w:sz w:val="20"/>
                <w:szCs w:val="20"/>
                <w:color w:val="auto"/>
              </w:rPr>
            </w:pPr>
            <w:r>
              <w:rPr>
                <w:rFonts w:ascii="Times New Roman" w:cs="Times New Roman" w:eastAsia="Times New Roman" w:hAnsi="Times New Roman"/>
                <w:sz w:val="18"/>
                <w:szCs w:val="18"/>
                <w:b w:val="1"/>
                <w:bCs w:val="1"/>
                <w:color w:val="auto"/>
              </w:rPr>
              <w:t>For the year ending</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626,323</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543,009</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362,976</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370,236</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3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3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Subtotal future lease payments</w:t>
            </w:r>
          </w:p>
        </w:tc>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1,933,447</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(308,733)</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liabilities</w:t>
            </w:r>
          </w:p>
        </w:tc>
        <w:tc>
          <w:tcPr>
            <w:tcW w:w="39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1,624,714</w:t>
            </w:r>
          </w:p>
        </w:tc>
        <w:tc>
          <w:tcPr>
            <w:tcW w:w="160" w:type="dxa"/>
            <w:vAlign w:val="bottom"/>
            <w:tcBorders>
              <w:top w:val="single" w:sz="8" w:color="CCEEFF"/>
              <w:bottom w:val="single" w:sz="8" w:color="CCEEFF"/>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vMerge w:val="continue"/>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 years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94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For 2023, operating lease expense was $646,633 and cash paid for operating leases included in operating cash flows was $644,593. For 2022, operating lease expense was $587,744 and cash paid for operating leases included in operating cash flows was $601,495.</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Times New Roman" w:cs="Times New Roman" w:eastAsia="Times New Roman" w:hAnsi="Times New Roman"/>
          <w:sz w:val="18"/>
          <w:szCs w:val="18"/>
          <w:i w:val="1"/>
          <w:iCs w:val="1"/>
          <w:color w:val="auto"/>
        </w:rPr>
        <w:t>Spar v. Celsion Corporation, et al.</w:t>
      </w:r>
      <w:r>
        <w:rPr>
          <w:rFonts w:ascii="Times New Roman" w:cs="Times New Roman" w:eastAsia="Times New Roman" w:hAnsi="Times New Roman"/>
          <w:sz w:val="18"/>
          <w:szCs w:val="18"/>
          <w:color w:val="auto"/>
        </w:rPr>
        <w:t>, Case No. 1:20-cv-15228. The plaintiff alleged that the Company and Spar Individual Defendants made false and misleading statements regarding one of the Company’s drug candidates, ThermoDox®, and brought claims for damages under Section 10(b) of the Exchange Act and Rule 10b-5 promulgated thereunder against all defendants, and under Section 20(a) of the Exchange Act against the Spar Individual Defendants. On February 6, 2023, the U.S. District Court granted a Motion to Dismiss filed by the Company and Spar Individual Defendants and granted the plaintiff leave to file an amended complaint within 30 days. The plaintiff did not file an amended complaint within the 30-day deadline. In September 2023, the U.S. District Court issued an Order for Dismissal without prejudice.</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alleged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1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80" w:right="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“IMNN.”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28, 2024, there were approximately 28,000 stockholders of record of our common stock. The actual number of stockholders may be greater than this number of record stockholders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7, 2023, we granted (i) an option to purchase 80,000 shares of the Company’s common stock with an exercise price of $0.88 per share and</w:t>
      </w:r>
    </w:p>
    <w:p>
      <w:pPr>
        <w:spacing w:after="0" w:line="27" w:lineRule="exact"/>
        <w:rPr>
          <w:sz w:val="20"/>
          <w:szCs w:val="20"/>
          <w:color w:val="auto"/>
        </w:rPr>
      </w:pPr>
    </w:p>
    <w:p>
      <w:pPr>
        <w:jc w:val="both"/>
        <w:ind w:firstLine="8"/>
        <w:spacing w:after="0" w:line="255" w:lineRule="auto"/>
        <w:tabs>
          <w:tab w:leader="none" w:pos="3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stock award of 20,000 restricted shares to Dr. Sébastien Hazard, our Executive Vice President and Chief Medical Officer, as an “inducement” grant pursuant to Rule 5635(c)(4) of the Nasdaq Listing Rules. The grant of the option was exempt from registration under the Securities Act, pursuant to Section 4(a)(2) thereof as a transaction by an issuer not involving a public offering.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discussions should be read in conjunction with the financial statements and related notes thereto included in this Annual Report. The following discussion contains forward-looking statements made pursuant to the safe harbor provisions of Section 27A of the Securities Act and Section 21E of the Exchange Act and the Private Securities Litigation Reform Act of 1995. These statements are based on the Company’s beliefs and expectations about future outcomes and are subject to risks and uncertainties that could cause actual results to differ materially from anticipated results. Factors that could cause or contribute to such differences include those described under </w:t>
      </w:r>
      <w:r>
        <w:rPr>
          <w:rFonts w:ascii="Times New Roman" w:cs="Times New Roman" w:eastAsia="Times New Roman" w:hAnsi="Times New Roman"/>
          <w:sz w:val="18"/>
          <w:szCs w:val="18"/>
          <w:b w:val="1"/>
          <w:bCs w:val="1"/>
          <w:i w:val="1"/>
          <w:iCs w:val="1"/>
          <w:color w:val="auto"/>
        </w:rPr>
        <w:t>“Part I, Item 1A - Risk Factors”</w:t>
      </w:r>
      <w:r>
        <w:rPr>
          <w:rFonts w:ascii="Times New Roman" w:cs="Times New Roman" w:eastAsia="Times New Roman" w:hAnsi="Times New Roman"/>
          <w:sz w:val="18"/>
          <w:szCs w:val="18"/>
          <w:i w:val="1"/>
          <w:iCs w:val="1"/>
          <w:color w:val="auto"/>
        </w:rPr>
        <w:t xml:space="preserve"> appearing in this Annual Report and factors described in other cautionary statements, cautionary language and risk factors set forth in other documents that the Company files with the SEC. The Company undertakes no obligation to publicly update forward-looking statements,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to treat cancer and infectious diseases. The Company’s common stock continues to trade on the Nasdaq Stock Market under the new ticker symbol “IMNN.”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is a fully integrated, clinical-stage biotechnology company focused on advancing a portfolio of innovative treatments that harness the body’s natural mechanisms with the aim to generate safe, effective and durable responses across a broad array of human diseases, constituting a differentiating</w:t>
      </w:r>
    </w:p>
    <w:p>
      <w:pPr>
        <w:jc w:val="both"/>
        <w:spacing w:after="0" w:line="209" w:lineRule="auto"/>
        <w:rPr>
          <w:sz w:val="20"/>
          <w:szCs w:val="20"/>
          <w:color w:val="auto"/>
        </w:rPr>
      </w:pPr>
      <w:r>
        <w:rPr>
          <w:rFonts w:ascii="Times New Roman" w:cs="Times New Roman" w:eastAsia="Times New Roman" w:hAnsi="Times New Roman"/>
          <w:sz w:val="18"/>
          <w:szCs w:val="18"/>
          <w:color w:val="auto"/>
        </w:rPr>
        <w:t>approach from conventional therapies. Imunon is developing its non-viral DNA technology across four modalities. The first modality, TheraPlas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being developed for the coding of proteins and cytokines in the treatment of solid tumors where an immunological approach is deemed promising. The second</w:t>
      </w:r>
    </w:p>
    <w:p>
      <w:pPr>
        <w:spacing w:after="0" w:line="2"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modality, PlaCCine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being developed for the coding of viral antigens that can elicit a strong immunological response. This technology may represent a promising platform for the development of vaccines in infectious diseases. The third modality, FixPlas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concerns the application of Imunon’s DNA</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technology to produce universal cancer vaccines, also called tumor associated antigen cancer vaccines. The fourth modality, IndiPlas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in the discovery phase and will focus on the development of personalized cancer vaccines, or neoepitope cancer vaccines.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currently in Phase II development. IMNN-001 works by instructing the body to produce safe and durable levels of powerful cancer-fighting molecules, such as IL-12 and interferon gamma, at the tumor site. Additionally, the Company is conducting IND-enabling preclinical studies for the development of a COVID-19 booster vaccine (IMNN-101) and a treatment for the Lassa virus (IMNN-102). The Company has also initiated preclinical work to develop a Trp2 tumor associated antigen cancer vaccine in melanoma (IMNN-201). Imunon will continue to leverage these modalities and to advance the technological frontier of plasmid DNA to better serve patients with difficult-to-treat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 and Going Concern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business and our ability to execute our strategy to achieve our corporate goals are subject to numerous risks and uncertainties. Material risks and uncertainties relating to our business and our industry are described in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in this Annual Report on Form 10-K.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our inception. As of December 31, 2023, the Company has incurred approximately $388 million of cumulative net losses and had $15.7 million in cash and cash equivalents, short-term investments and interest receivable to fund its operations. The Company also has a $1.3 million receivable from the sale of the Company’s State of New Jersey net operating losses. We have substantial future capital requirements to continue our research and development activities and advance our drug candidates through various development stages. The Company believes these expenditures are essential for the commercialization of its drug candidates and technologies. The Company’s primary sources of cash have been proceeds from the issuance and sale of its common stock via its ATM program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our development plans, we anticipate cash resources will be sufficient to fund our operations into the fourth quarter of 2024. The Company has no committed sources of additional capital. 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commercialized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 management has determined there is substantial doubt regarding our ability to continue as a going concern. The report of our independent registered public accounting firm for the year ended December 31, 2023 includes an explanatory paragraph which expresses substantial doubt about our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outside investors via its ATM program and other potential funding sources as mentioned.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ongoing effects of the COVID-19 pandemic and the Russian invasion of Ukraine. These disruptions may also disrupt the clinical trials process and enrollment of patients. This may delay commercialization efforts. The Company continues to monitor its operating activities in light of these events, and it is reasonably possible that the virus could have a negative effect on the Company’s financial condition and results of operations. The specific impact, if any, is not readily determinable as of the date of the financial statements included in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2018, the Company has annually submitted applications to sell a portion of the Company’s State of New Jersey net operating losses (“NOLs”) as part of the Technology Business Tax Certificate Program (the “NOL Program”) sponsored by The New Jersey Economic Development Authority. Under the program, emerging biotechnology companies with unused NOLs and unused research and development credits are allowed to sell these benefits to other New Jersey-based companies. In 2018, 2019 and 2020, the Company sold cumulative NOLs from 2011 to 2019 totaling $15 million and received net proceeds of $14 million. As part of the NOL Program, the Company sold $1.3 million and $1.6 million of its New Jersey NOLs in 2023 and 2022, respectively. The sale of these net operating losses resulted in net proceeds to the Company of approximately $1.3 million in 2023 and $1.6 million in 2022. During 2021, the New Jersey State Legislature increased the maximum lifetime benefit per company from $15 million to $20 million, which will allow the Company to participate in this funding program in future years for up to an additional $0.3 million in net operating losses under this maximum lifetime benefit.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discussed in Note 8 to our financial statements included in this Annual Report, in June 2021, the Company entered into a $10 million loan facility with Silicon Valley Bank (the “SVB Loan Facility”). The Company immediately used $6 million from this facility to retire all outstanding indebtedness with Horizon Technology Finance Corporation. The funding was in the form of money market secured indebtedness bearing interest at a calculated WSJ Prime-based variable rate. The SVB Loan Facility was repaid in full during the quarter ended June 30,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19, 2021, the Company filed with the SEC a shelf registration statement on Form S-3 (the “2021 Registration Statement”) that allows the Company to issue any combination of common stock, preferred stock or warrants to purchase common stock or preferred stock in an amount up to $100 million. The 2021 Registration Statement was declared effective on March 30, 2021. The 2021 Registration Statement was intended to provide us with flexibility to raise capital in the future for general corporate purposes. However, as of the date of this filing and so long as our public float remains below $75 million, we are subject to limitations with respect to the use of the 2021 Registration Statement and any other shelf registration statement that we file with the SEC pursuant to General Instruction I.B.6 of Form S-3 (the “Baby Shelf Limitation”), which limits the amount we can offer to up to one-third of our public float during any trailing 12-month period. We would be no longer subject to the Baby Shelf Limitation if our public float exceeds $75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and 2023, we issued a total of 3.5 million shares of common stock as discussed below for an aggregate $9.5 million in gross proceeds.</w:t>
      </w:r>
    </w:p>
    <w:p>
      <w:pPr>
        <w:spacing w:after="0" w:line="225" w:lineRule="exact"/>
        <w:rPr>
          <w:sz w:val="20"/>
          <w:szCs w:val="20"/>
          <w:color w:val="auto"/>
        </w:rPr>
      </w:pPr>
    </w:p>
    <w:p>
      <w:pPr>
        <w:jc w:val="both"/>
        <w:ind w:left="660" w:hanging="328"/>
        <w:spacing w:after="0" w:line="25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10, 2022, the Company entered into the Preferred Stock Purchase Agreement with several institutional investors, pursuant to which the Company agreed to issue and sell (i) 50,000 shares of Series A Preferred Stock and (ii) 50,000 shares of Series B Preferred Stock, in each case at an offering price of $285 per share, representing a 5% original issue discount to the stated value of $300 per share, for gross proceeds from each offering of $14.25 million, or approximately $28.50 million in the aggregate (the “Preferred Offerings”), before the deduction of the Placement Agent’s (as defined below) fee and offering expenses. The shares of Series A Preferred Stock have a stated value of $300 per share and are convertible, at a conversion price of $13.65 per share, into 1,098,901 shares of common stock (subject in certain circumstances to adjustments). The shares of Series B Preferred Stock have a stated value of $300 per share and are convertible, at a conversion price of $15.00 per share, into 1,000,000 shares of common stock (subject in certain circumstances to adjustments). The closing of the Preferred Offerings occurred on January 13, 2022.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On February 28, 2022, the Company effected a 15-for-1 reverse stock split of its common stock, which was made effective for trading purposes as of the commencement of trading on March 31, 2022.</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connection with the Preferred Offerings, the Company entered into a placement agent agreement (the “Placement Agent Agreement”) with AGP, as placement agent pursuant to which the Company agreed to pay AGP an aggregate cash fee equal to $1,000,000 and reimburse AGP for certain of their expenses in an amount not to exceed $110,000.</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of all of its 50,000 outstanding shares of Series A Preferred Stock and its 50,000 outstanding Series B Preferred Stock. As a result, all shares of the Preferred Stock have been retired and are no longer outstanding and Imunon’s only class of outstanding stock is its common stock.</w:t>
      </w:r>
    </w:p>
    <w:p>
      <w:pPr>
        <w:spacing w:after="0" w:line="176" w:lineRule="exact"/>
        <w:rPr>
          <w:sz w:val="20"/>
          <w:szCs w:val="20"/>
          <w:color w:val="auto"/>
        </w:rPr>
      </w:pPr>
    </w:p>
    <w:p>
      <w:pPr>
        <w:jc w:val="both"/>
        <w:ind w:left="660" w:hanging="328"/>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closing of the April 2022 Offering occurred on April 8, 2022.</w:t>
      </w:r>
    </w:p>
    <w:p>
      <w:pPr>
        <w:spacing w:after="0" w:line="183"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25, 2022, the Company entered into an At the Market Offering Agreement (the “Agreement”) with H.C. Wainwright &amp; Co., LLC, as sales agent (“Wainwright”), pursuant to which the Company may offer and sell, from time to time, through Wainwright, shares of the Company’s common stock having an aggregate offering price of up to $7,500,000. The Company intends to use the net proceeds from the offering, if any, for general corporate purposes, including research and development activities, capital expenditures and working capital. The Company did not sell any shares under the Agreement with Wainwright in the first nine months of 2022. From October 1, 2022 through December 31, 2022, the Company sold 336,075 shares of common stock for net proceeds of $503,798. During the year ended December 31, 2023, the Company sold 1,878,488 shares of common stock for net proceeds of $2.8 million.</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Please refer to Note 2 to our financial statements included in this Annual Report. Also refer to </w:t>
      </w:r>
      <w:r>
        <w:rPr>
          <w:rFonts w:ascii="Times New Roman" w:cs="Times New Roman" w:eastAsia="Times New Roman" w:hAnsi="Times New Roman"/>
          <w:sz w:val="18"/>
          <w:szCs w:val="18"/>
          <w:b w:val="1"/>
          <w:bCs w:val="1"/>
          <w:color w:val="auto"/>
        </w:rPr>
        <w:t>Part I, Item 1A, Risk Factors</w:t>
      </w:r>
      <w:r>
        <w:rPr>
          <w:rFonts w:ascii="Times New Roman" w:cs="Times New Roman" w:eastAsia="Times New Roman" w:hAnsi="Times New Roman"/>
          <w:sz w:val="18"/>
          <w:szCs w:val="18"/>
          <w:color w:val="auto"/>
        </w:rPr>
        <w:t>, in this Annual Report, including, but not limited to</w:t>
      </w:r>
      <w:r>
        <w:rPr>
          <w:rFonts w:ascii="Times New Roman" w:cs="Times New Roman" w:eastAsia="Times New Roman" w:hAnsi="Times New Roman"/>
          <w:sz w:val="18"/>
          <w:szCs w:val="18"/>
          <w:i w:val="1"/>
          <w:iCs w:val="1"/>
          <w:color w:val="auto"/>
        </w:rPr>
        <w:t>, “We will need to raise substantial additional capital to fund our planned future operations, and we may be unable to secure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such capital without dilutive financing transactions. If we are not able to raise additional capital, we may not be able to complete the development, testing and commercialization of our drug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statements included in this Annual Report have been prepared in accordance with accounting principles generally accepted in the U.S. (“GAAP”), which require that we make certain assumptions and estimates and, in connection therewith, adopt certain accounting policies. Our significant accounting policies are set forth in Note 1 to our financial statements included in this Annual Report. Of those policies, we believe that the policies discussed below may involve a higher degree of judgment and may be more critical to an accurate reflection of our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In-Process Research and Development, Other Intangible Assets and Goodwill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2014, the Company acquired certain assets of EGEN, Inc. As more fully described in Note 6 to our financial statements included in this Annual Report,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 As further discussed in Note 6 to our financial statements included in this Annual Report, during the year ended December 31, 2022, the Company recorded a $13.4 million IPR&amp;D impairment charge.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GAAP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 Ended December 31, 2023 and Fiscal Year Ended December 31, 2022.</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2023, our net loss was $19.5 million compared to a net loss of $35.9 million for the year ended December 31, 2022. The Company recognized $1.3 million and $1.6 million in tax benefits from the sale of its New Jersey NOLs under the NOL Program in each of the fourth quarters of 2023 and 2022, respectively. As of December 31, 2023, the Company had $15.7 million in cash and cash equivalents, short-term investments, and interest receivable to fund its operations. The Company also has a $1.3 million receivable from the sale of the Company’s State of New Jersey NOLs. The Company’s primary sources of cash have been proceeds from the issuance and sale of its common stock via its ATM program and other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2023 includes an explanatory paragraph which expresses substantial doubt about our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45"/>
        </w:trPr>
        <w:tc>
          <w:tcPr>
            <w:tcW w:w="4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6"/>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1,197</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1,536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OPTIMA</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1,793</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1,906</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vMerge w:val="restart"/>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2,990</w:t>
            </w:r>
          </w:p>
        </w:tc>
        <w:tc>
          <w:tcPr>
            <w:tcW w:w="3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4,392</w:t>
            </w:r>
          </w:p>
        </w:tc>
        <w:tc>
          <w:tcPr>
            <w:tcW w:w="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(1,402)</w:t>
            </w:r>
          </w:p>
        </w:tc>
        <w:tc>
          <w:tcPr>
            <w:tcW w:w="320" w:type="dxa"/>
            <w:vAlign w:val="bottom"/>
            <w:vMerge w:val="continue"/>
          </w:tcPr>
          <w:p>
            <w:pPr>
              <w:spacing w:after="0"/>
              <w:rPr>
                <w:sz w:val="17"/>
                <w:szCs w:val="17"/>
                <w:color w:val="auto"/>
              </w:rPr>
            </w:pPr>
          </w:p>
        </w:tc>
        <w:tc>
          <w:tcPr>
            <w:tcW w:w="14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1,504</w:t>
            </w:r>
          </w:p>
        </w:tc>
        <w:tc>
          <w:tcPr>
            <w:tcW w:w="400" w:type="dxa"/>
            <w:vAlign w:val="bottom"/>
          </w:tcPr>
          <w:p>
            <w:pPr>
              <w:spacing w:after="0"/>
              <w:rPr>
                <w:sz w:val="18"/>
                <w:szCs w:val="18"/>
                <w:color w:val="auto"/>
              </w:rPr>
            </w:pP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3,659</w:t>
            </w: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4,511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2,439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2,072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37"/>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2,283</w:t>
            </w:r>
          </w:p>
        </w:tc>
        <w:tc>
          <w:tcPr>
            <w:tcW w:w="400" w:type="dxa"/>
            <w:vAlign w:val="bottom"/>
          </w:tcPr>
          <w:p>
            <w:pPr>
              <w:spacing w:after="0"/>
              <w:rPr>
                <w:sz w:val="20"/>
                <w:szCs w:val="20"/>
                <w:color w:val="auto"/>
              </w:rPr>
            </w:pP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1,244</w:t>
            </w:r>
          </w:p>
        </w:tc>
        <w:tc>
          <w:tcPr>
            <w:tcW w:w="220" w:type="dxa"/>
            <w:vAlign w:val="bottom"/>
          </w:tcPr>
          <w:p>
            <w:pPr>
              <w:spacing w:after="0"/>
              <w:rPr>
                <w:sz w:val="20"/>
                <w:szCs w:val="20"/>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1,039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36"/>
        </w:trPr>
        <w:tc>
          <w:tcPr>
            <w:tcW w:w="4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11,288</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11,733</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(446)</w:t>
            </w:r>
          </w:p>
        </w:tc>
        <w:tc>
          <w:tcPr>
            <w:tcW w:w="320" w:type="dxa"/>
            <w:vAlign w:val="bottom"/>
          </w:tcPr>
          <w:p>
            <w:pPr>
              <w:spacing w:after="0"/>
              <w:rPr>
                <w:sz w:val="17"/>
                <w:szCs w:val="17"/>
                <w:color w:val="auto"/>
              </w:rPr>
            </w:pPr>
          </w:p>
        </w:tc>
        <w:tc>
          <w:tcPr>
            <w:tcW w:w="14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9,742</w:t>
            </w:r>
          </w:p>
        </w:tc>
        <w:tc>
          <w:tcPr>
            <w:tcW w:w="4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13,688</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(3,946)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21,030</w:t>
            </w:r>
          </w:p>
        </w:tc>
        <w:tc>
          <w:tcPr>
            <w:tcW w:w="36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25,422</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(4,392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36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January 2013, we entered into a technology development contract with Zhejiang Hisun Pharmaceutical Co. Ltd. (“Hisun”), pursuant to which Hisun paid us a non-refundable technology transfer fee of $5.0 million to support our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The $5.0 million received as a non-refundable payment from Hisun in the first quarter 2013 has been recorded to deferred revenue and was amortized over the ten-year term of the agreement; therefore, we recognized revenue of $500,000 in the year 2022. As of December 31, 2022, this contract has been fully amortized and recognized as revenue.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(“R&amp;D”) expenses decreased $0.4 million to $11.3 million in 2023 from $11.7 million in 2022. Costs associated with the OVATION 2 Study were $1.2 and $1.5 million in 2023 and 2022, respectively. Costs associated with the OPTIMA Study were insignificant in 2023 compared to $1.0 million in 2022. Other clinical and regulatory costs were $1.8 million in 2023 compared to $1.9 million in 2022. R&amp;D costs associated with the development of IMNN-001 to support the OVATION 2 Study were $1.5 million in 2023, a decrease from $3.7 million in same period of 2022. The development of the PLACCINE DNA vaccine technology platform increased to $4.5 million in 2023 compared to $2.4 million in 2022. CMC costs increased to $2.2 million in 2023 compared to $1.2 million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to $9.7 million in 2023 compared to $13.7 million in 2022. This decrease is primarily attributable to lower non-cash stock compensation expenses of $1.3 million, employee related costs of $0.8 million, legal expenses of $1.0 million, insurance costs of $0.6 million, public company expenses of $0.2 million offset by higher consulting fees of $0.2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Earn-out Milestone Liability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 milestone liability is fair valued at the end of each quarter and any change in the value is recognized in our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2019, the Company and EGWU, Inc, entered into an amendment to the Asset Purchase Agreement discussed in Note 13 to our financial statements included in this Annual Report. Pursuant to the Amended Asset Purchase Agreement, payment of the earnout milestone liability related to the Ovarian Cancer Indication of $12.4 million has been modified. The Company has the option to make the payment as follows:</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the Company wrote off the earn-out milestone liability as a result of the requirements not being achieved and recognized a non-cash gain of $5.4 million during 2022 as a result of the change in the fair value of the earn-out milestone liability. The Company fair value of the milestone liability was zero at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Goodwill and IPR&amp;D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continuing deterioration of public capital markets in the biotech industry and its impact on market capitalization rates in this sector, IPR&amp;D was reviewed for impairment. Having conducted a quantitative analysis of the company’s IPR&amp;D assets, the Company concluded the IPR&amp;D asset was impaired during the fourth quarter of 2022. As of December 31, 2022, the Company wrote off the $13.4 million carrying value of this asset, thereby recognizing a non-cash charge of $13.4 million in the fourth quarter of 2022. The Company fair value of the IPR&amp;D was zero at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income and interest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interest expense of $0.2 million in 2023 compared to $5.0 million in 2022. As more fully discussed in Note 9 to our financial statements included in this Annual Report, in June 2021, the Company entered into a $10 million loan facility with Silicon Valley Bank. The Company immediately used $6 million from this facility to retire all outstanding indebtedness with Horizon Technology Finance Corporation.</w:t>
      </w:r>
    </w:p>
    <w:p>
      <w:pPr>
        <w:spacing w:after="0" w:line="176" w:lineRule="exact"/>
        <w:rPr>
          <w:sz w:val="20"/>
          <w:szCs w:val="20"/>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SVB Loan Facility, the Company incurred $0.2 million in interest expense in 2023 compared to $0.5 million in 2022. In connection with the termination of the SVB Loan Facility in the second quarter of 2023, the Company paid early termination and end-of-term charges to SVB and recognized $0.3 million as a loss on debt extinguishment.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discussed in Note 10 to our financial statements included in this Annual Report, in the first quarter of 2022, the Company incurred interest expense totaling $4.6 million attributed to the Preferred Offerings.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from the Company’s short-term investments was $1.2 million in 2023 compared to $0.5 million in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Benefit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Annually, the State of New Jersey enables approved technology and biotechnology businesses with New Jersey NOLs the opportunity to sell these losses through the NOL Program, thereby providing cash to companies to help fund their research and development and business operations. During 2021, the New Jersey State Legislature increased the maximum lifetime benefit per company from $15 million to $20 million, which will allow the Company to participate in this innovative funding program in future years. After the cumulative NOL sales through 2023, the Company has approximately $0.4 million remaining under the NOL Program.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to sell the approved portion of the New Jersey NOLs applied for in 2023 for $1.3 million. At December 31, 2023, the Company evaluated the valuation reserve for its NOLs associated with its New Jersey NOLs and reduced the valuation reserve and recognized $1.3 million as a deferred tax asset and an income tax benefit. The Company completed the sale of these NOLs in March of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the Company entered into an agreement to sell the approved portion of the New Jersey NOLs applied for in 2022 for $1.6 million. At December 31, 2022, the Company evaluated the valuation reserve for its tax net operating losses associated with its New Jersey NOLs and reduced the valuation reserve and recognized $1.6 million as a deferred tax asset and an income tax benefit. The Company completed the sale of these NOLs in January of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$388 million at December 31, 2023.</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2023 we had total current assets of $18.2 million and current liabilities of $7.4 million, resulting in net working capital of $10.8 million. At December 31, 2023, we had cash and cash equivalents, short-term investments, interest receivable on short-term investments, net proceeds on the sale of net operating losses and money market investments of $17.0 million. At December 31, 2022 we had total current assets of $37.2 million and current liabilities of $10.1 million, resulting in net working capital of $27.1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2023 was $19.0 million. Our net loss of $19.5 million for 2023 included the following non-cash transactions of $0.8 million in non-cash stock-based compensation expense. At December 31, 2023, we had cash and cash equivalents, short-term investments, interest receivable on short term investments, receivable from the sale of New Jersey NOLs and money market investments of $17.0 million. See Financing Overview.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drug candidates, or products we would otherwise seek to develop or commercialize on our own, or to license the rights to our technologies, drug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drug candidates, or products on terms not favorable to 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utilize off-balance sheet financing arrangements as a source of liquidity or financing.</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financial statements, supplementary data and report of independent registered public accounting firm required to be filed pursuant to this Item 8 are appended to this Annual Report beginning on page F-1.</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conducted an evaluation of the effectiveness of the design and operation of our disclosure controls and procedures (as such term is defined in Rules 13a-15(e) and 15d-15(e) under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2023, which is the end of the period covered by this Annual Report, our disclosure controls and procedures were effective.</w:t>
      </w:r>
    </w:p>
    <w:p>
      <w:pPr>
        <w:spacing w:after="0" w:line="180"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2023. In making this assessment, management used the criteria set forth by the Committee of Sponsoring Organizations of the Treadway Commission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Based on its evaluation, management has concluded that the Company’s internal control over financial reporting is effective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Regulation S-K Item 308(b), this Annual Report does not include an attestation report of the Company’s registered public accounting firm regarding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3"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in the fiscal quarter ended December 31, 2023 that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six members and is divided into three classes of directors serving staggered three-year terms. Directors for each class are elected at the Annual Meeting of Stockholders held in the year in which the term for their class expires and hold office for a three-year term and until their successors are duly elected and qualified, or their earlier death, resignation or removal. In accordance with our amended and restated certificate of incorporation and bylaws, our Board may fill any vacancy on the Board by appointment.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information regarding our Company’s current directors, as well as our non-director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AGE</w:t>
            </w:r>
          </w:p>
        </w:tc>
        <w:tc>
          <w:tcPr>
            <w:tcW w:w="240" w:type="dxa"/>
            <w:vAlign w:val="bottom"/>
          </w:tcPr>
          <w:p>
            <w:pPr>
              <w:spacing w:after="0"/>
              <w:rPr>
                <w:sz w:val="21"/>
                <w:szCs w:val="21"/>
                <w:color w:val="auto"/>
              </w:rPr>
            </w:pPr>
          </w:p>
        </w:tc>
        <w:tc>
          <w:tcPr>
            <w:tcW w:w="52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w:t>
            </w:r>
          </w:p>
        </w:tc>
      </w:tr>
      <w:tr>
        <w:trPr>
          <w:trHeight w:val="198"/>
        </w:trPr>
        <w:tc>
          <w:tcPr>
            <w:tcW w:w="3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Frederick J. Fritz</w:t>
            </w:r>
          </w:p>
        </w:tc>
        <w:tc>
          <w:tcPr>
            <w:tcW w:w="240" w:type="dxa"/>
            <w:vAlign w:val="bottom"/>
          </w:tcPr>
          <w:p>
            <w:pPr>
              <w:spacing w:after="0"/>
              <w:rPr>
                <w:sz w:val="17"/>
                <w:szCs w:val="17"/>
                <w:color w:val="auto"/>
              </w:rPr>
            </w:pPr>
          </w:p>
        </w:tc>
        <w:tc>
          <w:tcPr>
            <w:tcW w:w="13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73</w:t>
            </w:r>
          </w:p>
        </w:tc>
        <w:tc>
          <w:tcPr>
            <w:tcW w:w="240" w:type="dxa"/>
            <w:vAlign w:val="bottom"/>
          </w:tcPr>
          <w:p>
            <w:pPr>
              <w:spacing w:after="0"/>
              <w:rPr>
                <w:sz w:val="17"/>
                <w:szCs w:val="17"/>
                <w:color w:val="auto"/>
              </w:rPr>
            </w:pPr>
          </w:p>
        </w:tc>
        <w:tc>
          <w:tcPr>
            <w:tcW w:w="5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Pellizzari</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5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5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Stacy R. Lindborg, Ph.D.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P. Braun, Ph.D.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5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5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Chairman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Khursheed Anwer, Ph.D.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5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Scientific Officer</w:t>
            </w:r>
          </w:p>
        </w:tc>
        <w:tc>
          <w:tcPr>
            <w:tcW w:w="112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Sébastien Hazard, M.D.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5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Medical Officer</w:t>
            </w:r>
          </w:p>
        </w:tc>
        <w:tc>
          <w:tcPr>
            <w:tcW w:w="1120" w:type="dxa"/>
            <w:vAlign w:val="bottom"/>
          </w:tcPr>
          <w:p>
            <w:pPr>
              <w:spacing w:after="0"/>
              <w:rPr>
                <w:sz w:val="18"/>
                <w:szCs w:val="18"/>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5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120" w:type="dxa"/>
            <w:vAlign w:val="bottom"/>
          </w:tcPr>
          <w:p>
            <w:pPr>
              <w:spacing w:after="0"/>
              <w:rPr>
                <w:sz w:val="20"/>
                <w:szCs w:val="20"/>
                <w:color w:val="auto"/>
              </w:rPr>
            </w:pPr>
          </w:p>
        </w:tc>
      </w:tr>
      <w:tr>
        <w:trPr>
          <w:trHeight w:val="439"/>
        </w:trPr>
        <w:tc>
          <w:tcPr>
            <w:tcW w:w="3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in 2026)</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Frederick J. Fritz. </w:t>
      </w:r>
      <w:r>
        <w:rPr>
          <w:rFonts w:ascii="Times New Roman" w:cs="Times New Roman" w:eastAsia="Times New Roman" w:hAnsi="Times New Roman"/>
          <w:sz w:val="18"/>
          <w:szCs w:val="18"/>
          <w:color w:val="auto"/>
        </w:rPr>
        <w:t>Mr. Fritz was appointed to our Board of Directors in July 2011. Mr. Fritz has served as CEO and Founder of NeuroDx,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stage diagnostic device company focused on the neurosurgery market, since 2006. Mr. Fritz joined NeuroDx from Valeo Medical, a biotechnology company he founded in 2003 to develop the world’s first non-invasive diagnostic test for endometriosis. Prior to that, Mr. Fritz was President and CEO of Songbird Hearing, Inc., a medical device company spun out of Sarnoff Corporation. Mr. Fritz began his career in marketing management and new product development. He joined Schering Plough’s Wesley Jessen in 1985 as VP Marketing and Sales in 1986. He was promoted to general manager of Schering’s Over the Counter pharmaceutical business in 1988 and of the podiatric products business in 1990. He was President of Coleman North America from 1995 to 1997. Mr. Fritz holds a bachelor’s degree in engineering (summa cum laude) from University of Illinois and an MBA degree from Harvard University.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Ms. Christine A. Pellizzari. </w:t>
      </w:r>
      <w:r>
        <w:rPr>
          <w:rFonts w:ascii="Times New Roman" w:cs="Times New Roman" w:eastAsia="Times New Roman" w:hAnsi="Times New Roman"/>
          <w:sz w:val="18"/>
          <w:szCs w:val="18"/>
          <w:color w:val="auto"/>
        </w:rPr>
        <w:t>Ms. Pellizzari was appointed to our Board of Directors in June 2021. Ms. Pellizzari has served as the Chief Legal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Science 37 since July 2021. Prior to joining Science 37, Ms. Pellizzari served as the General Counsel and Corporate Secretary of Insmed, Inc., (Nasdaq: INSM) a publicly traded biotech company focused on serious and rare diseases, from 2013 to 2018 and as Chief Legal Officer from 2018 to 2021. From 2007 through 2012 Ms. Pellizzari held various legal positions of increasing responsibility at Aegerion Pharmaceuticals, most recently as Executive Vice President, General Counsel and Corporate Secretary. Prior to Aegerion, Ms. Pellizzari was Senior Vice President, General Counsel and Secretary at Dendrite International, Inc., a formerly publicly traded company that provided sales effectiveness, promotional and compliance solutions to the pharmaceutical industry. Ms. Pellizzari joined Dendrite from the law firm of Wilentz, Goldman &amp; Spitzer, where she specialized in health care transactions and related regulatory matters. Ms. Pellizzari has nearly three decades of relevant experience, including having served for over 25 years as Chief Legal Officer and General Counsel of publicly traded companies in biopharmaceutical and related industries. Ms. Pellizzari also serves on the board of directors of Tempest Therapeutics, a public clinical-stage oncology company and Neurosense Therapeutics, a public clinical-stage development company advancing treatments for severe neurodegenerative diseases. Ms. Pellizzari received her Bachelor of Arts, cum laude, from the University of Massachusetts (Amherst) and her Juris Doctor degree from the University of Colorado School of Law. She is a member of Global Leaders in Law, Executive Women in Bio, Women Corporate Directors, National Association of Corporate Directors, Association of Corporate Counsel, Society for Corporate Governance and National Association of Stock Plan Professionals.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in 2024)</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James E. Dentzer. </w:t>
      </w:r>
      <w:r>
        <w:rPr>
          <w:rFonts w:ascii="Times New Roman" w:cs="Times New Roman" w:eastAsia="Times New Roman" w:hAnsi="Times New Roman"/>
          <w:sz w:val="18"/>
          <w:szCs w:val="18"/>
          <w:color w:val="auto"/>
        </w:rPr>
        <w:t>Mr. Dentzer was appointed to our Board of Directors in September 2022. He has been President and Chief Executive Officer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Board of Directors of Curis, Inc. (Nasdaq: CRIS) since September 2018. From March 2018 to September 2018, Mr. Dentzer served as Curis’ Chief Operating Officer and Chief Financial Officer. From March 2016 to March 2018, Mr. Dentzer served as Curis’ Chief Administrative Officer and Chief Financial Officer. Mr. Dentzer has also held the positions of secretary and treasurer from March 2016 to March 2019. Prior to joining Curis, Mr. Dentzer served as Chief Financial Officer of Dicerna Pharmaceuticals, Inc., a formerly publicly traded biotechnology company, from December 2013 to December 2015. Prior to that, he was the Chief Financial Officer of Valeritas, Inc., a formerly publicly traded medical technology company, from March 2010 to December 2013. Prior to joining Valeritas, Inc., he was the Chief Financial Officer of Amicus Therapeutics, Inc. (Nasdaq: FOLD), a biotechnology company, from October 2006 to October 2009. In prior positions, he spent six years as Corporate Controller of Biogen Inc. (Nasdaq: BIIB), a biotechnology company, and six years in various senior financial roles at E.I. du Pont de Nemours and Company, a chemical, petroleum and biotechnology company, in the U.S. and Asia. Mr. Dentzer holds a B.A. degree in Philosophy from Boston College and an M.B.A. from the University of Chicago.</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Dr. Stacy R. Lindborg</w:t>
      </w:r>
      <w:r>
        <w:rPr>
          <w:rFonts w:ascii="Times New Roman" w:cs="Times New Roman" w:eastAsia="Times New Roman" w:hAnsi="Times New Roman"/>
          <w:sz w:val="18"/>
          <w:szCs w:val="18"/>
          <w:color w:val="auto"/>
        </w:rPr>
        <w:t>. Dr. Lindborg was appointed to our Board of Directors in June 2021. Dr. Lindborg brings to Imunon more than 25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industry experience with a particular focus on R&amp;D, executive management and strategy. She has worked with biologics, small molecules and cell therapies to address a broad range of diseases and disorders, including multiple Orphan drug products, along with extensive experience in early-stage development having taken molecules from first in man studies into the clinic through approval and launch. Dr. Lindborg’s holds the position of co-Chief Executive Officer at Brainstorm Cell Therapeutics (Nasdaq: BCLI), which she joined in 2020. From 2012 to 2020 she held positions of increasing responsibility at Biogen, where she worked in biostatistics and biometrics, and served as Vice President for Global Analytics and Data Sciences. Dr. Lindborg joined Eli Lilly and Company (NYSE: LLY) in 1996 moving through the organization to serve from 2010 to 2012 as Head of R&amp;D Strategy with responsibility for characterizing the productivity of the portfolio and driving key R&amp;D strategy projects including the annual R&amp;D Long-Range Plan. Dr. Lindborg is a graduate of Baylor University where she received a Ph.D. and M.A. in statistics and a B.A. in psychology with a minor in mathematics. She has authored more than fifty abstracts, 200 presentations and 45 manuscripts that have been published in peer-reviewed journals. She serves on several industry advisory boards related to statistics and biotechnology.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in 2025)</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Donald P. Braun. </w:t>
      </w:r>
      <w:r>
        <w:rPr>
          <w:rFonts w:ascii="Times New Roman" w:cs="Times New Roman" w:eastAsia="Times New Roman" w:hAnsi="Times New Roman"/>
          <w:sz w:val="18"/>
          <w:szCs w:val="18"/>
          <w:color w:val="auto"/>
        </w:rPr>
        <w:t>Dr. Braun was appointed to our Board of Directors in December 2015. Dr. Braun has over 35 years of research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oncology, cancer immunology, cancer immunotherapy, and inflammatory diseases. He is the author of more than 120 published peer-reviewed manuscripts, twenty-five reviews and book chapters, and co-editor of a book on the role of prostaglandins and other COX 2 metabolites in cancer patient immunity and immunotherapy. He served from 2006 to 2014 as Vice President Clinical Research, after which he served as Vice President Translational Research and Chief Science Officer at the Cancer Treatment Centers of America until his retirement in May 2016. Prior to this role, he was the Scientific Director of the Cancer Center and Professor of Medicine and Immunology at Rush Medical College in Chicago from 1978 to 1999, and the Administrative Director of the Cancer Institute and a Professor of Surgery with tenure at the Medical College of Ohio from 1999 to 2006. He received his Ph.D. in Immunology and Microbiology from the University of Illinois at the Medical Center in Chicago. Dr. Braun has served as an advisor to numerous public agencies and private corporations concerned with cancer therapeutics and diagnostics. At the National Cancer Institute, Dr. Braun served as a member of the Experimental Therapeutics Study Section; the Small Business Innovation Grant Review Study Section; and the Experimental Therapy program for “Molecular Targets in Lung Cancer.” He served as a member of the Immunology and Immunotherapy Study Section of the American Cancer Society-National Division; as a Member of the Ohio Cancer Incidence Surveillance System; as a Member of the Biomedical Research Technology Transfer Commission for the State of Ohio; and as an advisor to the State of Arizona’s Disease Research Control Commission. Dr. Braun has also served as a consultant to numerous pharmaceutical and biotechnology companies developing cancer treatments and diagnostics including Pfizer Inc. (NYSE: PFE), Sterling Winthrop, Abbott Laboratories (NYSE: ABT), Boehringer Mannheim, Serono Corporation, Biomira Inc., Centocor and Merck KGA.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Michael H. Tardugno. </w:t>
      </w:r>
      <w:r>
        <w:rPr>
          <w:rFonts w:ascii="Times New Roman" w:cs="Times New Roman" w:eastAsia="Times New Roman" w:hAnsi="Times New Roman"/>
          <w:sz w:val="18"/>
          <w:szCs w:val="18"/>
          <w:color w:val="auto"/>
        </w:rPr>
        <w:t>Mr. Tardugno was appointed President and Chief Executive Officer of the Company on January 3, 2007, and was elected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on January 22, 2007. In October of 2014, Mr. Tardugno was appointed by our Board of Directors as our Chairman. Effective July 18, 2022, Mr. Tardugno transitioned from the roles of President, Chief Executive Officer and Chairman to the position of Executive Chairman of the Board. Prior to joining the Company and for the period from February 2005 to December 2006, Mr. Tardugno served as Senior Vice President and General Manager of Mylan Technologies, Inc., a subsidiary of Mylan Inc. From 1998 to 2005, Mr. Tardugno was Executive Vice President of Songbird Hearing, Inc., a medical device company spun out of Sarnoff Corporation. From 1996 to 1998, he was Senior Vice President of Technical Operations worldwide for a division of Bristol-Myers Squibb (NYSE: BMY), and from 1977 to 1995, he held increasingly senior executive positions including Senior Vice President of Worldwide Technology Development with Bausch &amp; Lomb (NYSE, TSX: BLCO) and Abbott Laboratories (NYSE: ABT). Mr. Tardugno holds a B.S. degree from St. Bonaventure University and completed the Harvard Business School Program for Management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biographical summaries for each of our executive officers. Each executive officer is elected by, and serves at the pleasure of, our Board of Directors.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Khursheed Anwer, Ph.D. </w:t>
      </w:r>
      <w:r>
        <w:rPr>
          <w:rFonts w:ascii="Times New Roman" w:cs="Times New Roman" w:eastAsia="Times New Roman" w:hAnsi="Times New Roman"/>
          <w:sz w:val="18"/>
          <w:szCs w:val="18"/>
          <w:color w:val="auto"/>
        </w:rPr>
        <w:t>Dr. Anwer joined us in June 2014 as Executive Vice President and Chief Scientific Officer, in connection with our acquisition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the assets of EGWU, Inc. (formerly known as Egen, Inc.), an Alabama corporation (or “EGEN”). Before joining the Company, Dr. Anwer served as EGEN’s President and Chief Scientific Officer, a position he held since 2009. He joined EGEN in July 2002 as Vice President of Research and Development and directed EGEN’s clinical and research and development functions. Before joining EGEN, Dr. Anwer was Director of Pre-Clinical Development at Valentis, Inc. from July 2000 to June 2002. From 1993 to 1999, he served in several positions at GeneMedicine, Inc., where he led several research projects in the area of non-viral gene therapy. He has authored more than 40 publications in the area of non-viral gene therapy, resulting from his active career in research and development. Dr. Anwer holds a Ph.D. in physiology/pharmacology from Ohio University and received post-doctoral training from the University of Texas Health Science Center at Houston. Dr. Anwer also has a master’s in business administration from the University of Alabama.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Sébastien Hazard, M.D. </w:t>
      </w:r>
      <w:r>
        <w:rPr>
          <w:rFonts w:ascii="Times New Roman" w:cs="Times New Roman" w:eastAsia="Times New Roman" w:hAnsi="Times New Roman"/>
          <w:sz w:val="18"/>
          <w:szCs w:val="18"/>
          <w:color w:val="auto"/>
        </w:rPr>
        <w:t>On December 7, 2023, Dr. Hazard was appointed as Executive Vice President and Chief Medical Officer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December 11, 2023. Immediately prior to joining the Company, Dr. Hazard served as Senior Vice President, Head of Clinical Development at Bicycle Therapeutics plc (Nasdaq: BCYC) from April 2021 through September 2023. Prior to joining Bicycle Therapeutics, Dr. Hazard served as Clinical Development Lead at GSK from June 2019 to April 2021. He also served as Senior Medical Director of Clinical Development from July 2018 to May 2019, and Senior Medical Director of Global Medical Affairs from August 2016 to July 2018 at TESARO, Inc. Dr. Hazard held various positions within Genentech, including Medical Director in Lung Cancer of U.S. Medical Affairs from November 2012 to July 2016. Earlier in his career Dr. Hazard served as an advisor to the head of the French Drug Agency and to the French Health Minister’s cabinet. Dr. Hazard holds a Doctorate in Medicine, Internal Medicine and Public Health from Paris VI Pitie Salpetriere, an Executive M.B.A. from INSEAD and a master’s degree in epidemiology and statistics applied to clinical research from Paris VI University.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Mr. Jeffrey W. Church. </w:t>
      </w:r>
      <w:r>
        <w:rPr>
          <w:rFonts w:ascii="Times New Roman" w:cs="Times New Roman" w:eastAsia="Times New Roman" w:hAnsi="Times New Roman"/>
          <w:sz w:val="18"/>
          <w:szCs w:val="18"/>
          <w:color w:val="auto"/>
        </w:rPr>
        <w:t>Mr. Church joined us in July 2010 as Vice President, Chief Financial Officer and Corporate Secretary. Mr. Church was appointed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our Senior Vice President, Corporate Strategy and Investor Relations in July 2011. In July 2013, Mr. Church was reappointed as Senior Vice President and Chief Financial Officer. In December 2018, Mr. Church was promoted to Executive Vice President. Immediately prior to joining the Company, Mr. Church served as Chief Financial Officer and Corporate Secretary of Alba Therapeutics Corporation, a privately held life science company from 2007 until 2010. From 2006 until 2007, he served as Vice President, Chief Financial Officer and Corporate Secretary for Novavax, Inc. (Nasdaq: NVAX), a vaccine development company listed on The Nasdaq Global Select Market. From 1998 until 2006, he served as Vice President, CFO and Corporate Secretary for GenVec, Inc., a biotechnology company formerly listed on The Nasdaq Capital Market. Prior to that, he held senior financial positions at BioSpherics Corporation and Meridian Medical Technologies, both formerly publicly traded companies. He started his career with Price Waterhouse from 1979 until 1986. Mr. Church holds a B.S. degree in accounting from the University of Maryland.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our common stock to file reports of ownership and reports of changes in ownership of common stock and other equity securities of the Company with the SEC. Executive officers, directors and greater than 10% stockholders are required by SEC regulations to furnish us with copies of all Section 16(a) forms they file.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reports furnished to us, we believe that during the year ended December 31, 2023, our executive officers, directors and greater than 10% stockholders complied with all Section 16(a) filing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Code of Ethics and Business Conduct is applicable to all employees, including the principal executive officer, principal financial officer and principal accounting officer or controller, or persons performing similar functions. The Code of Ethics and Business Conduct is posted on our website at </w:t>
      </w:r>
      <w:r>
        <w:rPr>
          <w:rFonts w:ascii="Times New Roman" w:cs="Times New Roman" w:eastAsia="Times New Roman" w:hAnsi="Times New Roman"/>
          <w:sz w:val="18"/>
          <w:szCs w:val="18"/>
          <w:i w:val="1"/>
          <w:iCs w:val="1"/>
          <w:u w:val="single" w:color="auto"/>
          <w:color w:val="auto"/>
        </w:rPr>
        <w:t>www.imunon.com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Audit Committee consists of Mr. James A. Dentzer (Chair), Mr. Frederick J. Fritz and Ms. Christine Pellizzari. Our Audit Committee operates under a written charter as amended and restated effective January 24, 2023. A copy of that charter, as may be amended from time to time, is available on our web site, located at </w:t>
      </w:r>
      <w:r>
        <w:rPr>
          <w:rFonts w:ascii="Times New Roman" w:cs="Times New Roman" w:eastAsia="Times New Roman" w:hAnsi="Times New Roman"/>
          <w:sz w:val="18"/>
          <w:szCs w:val="18"/>
          <w:i w:val="1"/>
          <w:iCs w:val="1"/>
          <w:u w:val="single" w:color="auto"/>
          <w:color w:val="auto"/>
        </w:rPr>
        <w:t>http://www.imunon.com</w:t>
      </w:r>
      <w:r>
        <w:rPr>
          <w:rFonts w:ascii="Times New Roman" w:cs="Times New Roman" w:eastAsia="Times New Roman" w:hAnsi="Times New Roman"/>
          <w:sz w:val="18"/>
          <w:szCs w:val="18"/>
          <w:color w:val="auto"/>
        </w:rPr>
        <w:t>. Additional copies of the charter are available upon written request to 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assists our Board of Directors in fulfilling its responsibility to oversee management’s implementation of our financial reporting process. In discharging its oversight role, the Audit Committee reviewed and discussed the audited financial statements contained in our 2023 Annual Report on Form 10-K with our management and independent registered public accounting firm. Management is responsible for the financial statements and the reporting process, including the system of internal controls. Our independent registered public accounting firm is responsible for expressing an opinion on the conformity of those financial statements with accounting principles generally accepted in the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has determined that all members of the Audit Committee meet the independence standards established by the SEC and Nasdaq. Our Board has determined that Mr. Dentzer is qualified to serve as the “audit committee financial expert” as defined by Item 407(d)(5) of Regulation S-K and that Mr. Fritz and Ms. Pellizzari meet the financial literacy requirements under applicable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the procedures by which stockholders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insider trading policy is designed to promote compliance with insider trading laws, rules and regulations and, among other things, prohibits our officers, directors, and employees from, among other things, engaging in short sales, transactions in derivative securities (including put and call options) or other forms of hedging transactions (i.e., zero-cost collars, equity swaps, exchange funds and forward sale contracts) that are designed to hedge or offset any decrease in the market value of equity securities (1) granted to the executive officer or director by the Company as part of the compensation of such individual, or (2) held, directly or indirectly, by the executive officer or director.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for services rendered in all capacities during the years ended December 31, 2023 and 2022, awarded to, paid to, or earned by each “Named Executive Officer” serving as of December 31, 2023. All compensation awarded to, earned by, or paid to IMUNON’s Named Executive Officers are included in the table below for the years ended December 31,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1"/>
                <w:szCs w:val="21"/>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40" w:type="dxa"/>
            <w:vAlign w:val="bottom"/>
          </w:tcPr>
          <w:p>
            <w:pPr>
              <w:spacing w:after="0"/>
              <w:rPr>
                <w:sz w:val="21"/>
                <w:szCs w:val="21"/>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0" w:type="dxa"/>
            <w:vAlign w:val="bottom"/>
          </w:tcPr>
          <w:p>
            <w:pPr>
              <w:spacing w:after="0"/>
              <w:rPr>
                <w:sz w:val="21"/>
                <w:szCs w:val="21"/>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Corinne Le Goff (4)</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$ 658,080</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107,775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274,959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1,055,814</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&amp; CEO</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$ 264,000</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308,564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157,250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56,480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883,794</w:t>
            </w: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Khursheed Anwer (5)</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$ 412,760</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47,900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125,281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94,218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680,159</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VP &amp; CSO</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$ 382,629</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118,286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139,737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18,506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678,658</w:t>
            </w: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Jeffrey Church (6)</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$ 441,296</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47,900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115,726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679,922</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VP &amp; CFO</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$ 409,822</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87,715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139,094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636,631</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option awards is the aggregate grant date fair value of stock options granted to the Named Executive Officers in the years shown, determined in accordance with FASB ASC Topic 718, disregarding adjustments for forfeiture assumptions. The assumptions for making the valuation determinations are set forth in Note 12 to the Company’s financial statements for the year ended December 31, 2022</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bonuses under our annual incentive program are based on the achievement of specific performance measures established at the beginning of the fiscal year by our Compensation Committee. Historically, our Compensation Committee has awarded the annual incentive bonus for each year in the first quarter of the following year. In the first quarter of 2024, our Compensation Committee approved the amount and the payment of the incentive bonus for 2023 for each of the Named Executive Officers in the form of Non-Equity (Cash) Incentive Plan Compensation and stock awards.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other compensation as indicated below and matching and discretionary contributions made by the Company for the Named Executive Officers under our 401(k) plan. Our matching contribution is equal to 50% of the employee’s deferrals under the plan up to 6% of the employee’s compensation, subject to applicable IRS limitations, and are made in shares of our common stock.</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Le Goff joined the Company as President and Chief Executive Officer and as a director effective as of July 18, 2022 and stepped down from these positions, effective March 15, 2024. For Dr. Le Goff, “All Other Compensation” for 2023 consists of a 401(k)-plan matching contribution of $15,000 in our common stock.</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Anwer, “All Other Compensation” for 2023 consists of $75,000 retention bonus paid in July 2023, $6,237 for discretionary spending allowance and a 401(k)-plan matching contribution of $12,981 in our common stock.</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Church “All Other Compensation” for 2023 consists of $75,000 for a retention bonus paid in July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Narrative Disclosure to 2023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Corinne Le Goff</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Dr. Le Goff entered into an employment agreement effective as of July 18, 2022, in connection with her appointment as President and Chief Executive Officer, Pursuant to the employment agreement, the Company agreed to pay Dr. Le Goff an initial salary of $624,000 and a signing bonus $50,000. Dr. Le Goff’s targeted annual performance bonus was 72% of her annual base salary (pro-rated for the year ended December 31, 2022). Dr. Le Goff also received (i) an option to purchase 177,000 shares of the Company’s common stock that vested with respect to 25% of the subject shares on July 18, 2023 and the remaining 75% percent to vest in equal quarterly installments thereafter such that the stock option would be fully vested and exercisable as of the fourth anniversary of July 18, 2022, and (ii) a restricted stock award of 53,000 restricted shares that vested on July 18, 2023. Dr. Le Goff did not receive any additional compensation for her service on the Board. The agreement had no set term of employment and provided that in the event of termination by the Company other than for cause, Dr. Le Goff would receive an amount equal to one year’s salary as a severance payment. Effective March 15, 2024, Dr. Le Goff resigned from her positions as President, Chief Executive Officer and Director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Other Named Executive Officers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Jeffrey Church</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Mr. Church entered into an employment offer letter on June 15, 2010. Mr. Church’s employment is “at-will;” however, subject to Mr. Church’s promotion to Executive Vice President in January 2019, if we terminate Mr. Church’s employment for any reason other than just cause, we will pay Mr. Church a salary continuation and COBRA premiums for up to twelve months. The salary and COBRA premiums will cease at the end of the twelve-month period or if he finds new employment prior to the twelve-month period, the benefit will be reduced by the amount of compensation which he will receive from any new employer. Mr. Church’s right to receive these severance benefits is subject to his providing a release of claims in favor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Khursheed Anwer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Dr. Anwer entered into an employment offer letter effective as of June 20, 2014. Dr. Anwer’s employment with us is “at-will”; however, subject to the retention and severance agreement between the Company and Dr. Anwer dated as of May 28, 2014, if we terminate Dr. Anwer’s employment without cause (as such term is defined in the retention and severance agreement), he will be entitled to receive cash severance equal to 12 months of his base salary and reimbursement of his COBRA premiums for up to 12 months. Dr. Anwer’s right to receive these severance benefits is subject to his providing a release of claims in favor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CIC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amended and restated double-trigger change in control severance agreements (CIC Agreements) with each of the Named Executive Officers (other than Dr. Anwer, who is not subject to such an agreement) to provide severance benefits to these executives should their employment terminate in certain circumstances in connection with a change in control of the Company (a “CIC”).</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amended and restated CIC Agreements, in the event that, on or within two years after a CIC, we terminate the executive’s employment without cause or in the event that the executive terminates his employment for good reason, the executive would be entitled to receive a cash lump sum payment equal to two (2) times the sum of (1) the executive’s annual base salary and (2) the executive’s target annual bonus for the fiscal year in which the termination occurs. (For these purposes, the terms “cause,” “good reason” and “change in control” are each defined in the CIC Agreement.) In addition, we will pay or reimburse the executive for the cost of COBRA premiums and life insurance coverage for the executive and his eligible dependents, in each case for a period of up to two years following the termination. The executive would also be entitled to full acceleration of his then-outstanding equity awards granted to him by us. However, as to any equity award agreement that is subject to performance-based vesting requirements, the vesting of such an award will continue to be governed by its terms. In the case of options or similar awards, the award would generally remain exercisable for the remainder of the original term of the award (or, in the case of awards that vested after the date of the CIC, for the lesser of 12 months following the last day such award would have been exercisable under the applicable award agreement and the remainder of the original term). The benefits provided under the CIC Agreement are in addition to, and not in lieu of, any severance benefits the executive may be entitled to receive in connection with the termination of his employment under any other agreement with the Company. The executive’s right to benefits under the CIC Agreement is subject to his execution of a release of claims in favor of the Company upon the termination of his employment. The CIC Agreements do not provide for any tax gross ups.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above under “Narrative Disclosure to 2023 Summary Compensation Table,” the Company entered into agreements with each of the Named Executive Officers providing for benefits payable to the executives in connection with a termination of their employment. The Company also entered into agreements with Dr. Le Goff and Mr. Church providing for benefits payable to the executives in connection with a termination of employment following a CIC of the Company. If in the event the Named Executive Officer is entitled to receive severance benefits in connection with a termination of employment under both their severance agreement and their CIC agreement, the executive shall be entitled to receive the benefits from both agreements. The first table below indicates the benefits that would have been payable to each executive if a termination of employment in the circumstances described above had occurred on December 31, 2023, outside of a CIC. The second table below indicates the benefits that would have been payable to each executive if a change in control of the Company and such a termination of employment had occurred on that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Severance Benefits (Outside of a Change in Control)</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Continuation</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6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of Health/Life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Severance</w:t>
            </w:r>
          </w:p>
        </w:tc>
        <w:tc>
          <w:tcPr>
            <w:tcW w:w="160" w:type="dxa"/>
            <w:vAlign w:val="bottom"/>
          </w:tcPr>
          <w:p>
            <w:pPr>
              <w:spacing w:after="0"/>
              <w:rPr>
                <w:sz w:val="21"/>
                <w:szCs w:val="21"/>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Acceleration</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Corinne Le Goff</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477,360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30,189</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Khursheed Anwer</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400,899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28,242</w:t>
            </w:r>
          </w:p>
        </w:tc>
        <w:tc>
          <w:tcPr>
            <w:tcW w:w="16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429,141</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428,615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12,921</w:t>
            </w:r>
          </w:p>
        </w:tc>
        <w:tc>
          <w:tcPr>
            <w:tcW w:w="16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441,536</w:t>
            </w:r>
          </w:p>
        </w:tc>
      </w:tr>
      <w:tr>
        <w:trPr>
          <w:trHeight w:val="432"/>
        </w:trPr>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Change of Control Severance Benefits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Continuation</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60" w:type="dxa"/>
            <w:vAlign w:val="bottom"/>
          </w:tcPr>
          <w:p>
            <w:pPr>
              <w:spacing w:after="0"/>
              <w:rPr>
                <w:sz w:val="18"/>
                <w:szCs w:val="18"/>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of Health/Life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Severance</w:t>
            </w:r>
          </w:p>
        </w:tc>
        <w:tc>
          <w:tcPr>
            <w:tcW w:w="160" w:type="dxa"/>
            <w:vAlign w:val="bottom"/>
          </w:tcPr>
          <w:p>
            <w:pPr>
              <w:spacing w:after="0"/>
              <w:rPr>
                <w:sz w:val="21"/>
                <w:szCs w:val="21"/>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Acceleration</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Corinne Le Goff</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477,360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30,189</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1,242,984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25,842</w:t>
            </w:r>
          </w:p>
        </w:tc>
        <w:tc>
          <w:tcPr>
            <w:tcW w:w="16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1,268,826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Option Grants During 202</w:t>
      </w:r>
      <w:r>
        <w:rPr>
          <w:rFonts w:ascii="Times New Roman" w:cs="Times New Roman" w:eastAsia="Times New Roman" w:hAnsi="Times New Roman"/>
          <w:sz w:val="18"/>
          <w:szCs w:val="18"/>
          <w:b w:val="1"/>
          <w:bCs w:val="1"/>
          <w:color w:val="auto"/>
        </w:rPr>
        <w:t>3</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the stock options awarded to the Named Executive Officers in 2023 was granted under, and is subject to, the terms of the IMUNON, INC. 2018 Stock Incentive Plan (the “2018 Plan”). The 2018 Plan is administered by the Compensation Committee, which has authority to interpret the plan provisions and make all required determinations under the plan. This authority includes making required proportionate adjustments to outstanding awards upon the occurrence of certain corporate events such as reorganizations, mergers, and stock splits, and making provision to ensure that any tax withholding obligations incurred in respect of awards are satisfied. Awards granted under the plan are generally only transferable to a beneficiary of a Named Executive Officer upon his death. Under the terms of the 2018 Plan, if there is a change in control of the Company, each Named Executive Officer’s outstanding awards granted under the plan will generally terminate, unless the Compensation Committee provides for the substitution, assumption, exchange or other continuation or settlement (in cash, securities, or property) of the outstanding awards. The Compensation Committee has the discretion to provide for outstanding awards to become vested in connection with a change in control.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option granted to the Named Executive Officers in 2023 was granted with a per-share exercise price equal to the closing price of our common stock on the grant date. Each option is scheduled to vest in three installments, with one-third vesting on the date of grant and the balance vesting in equal annual installments over each of the next two years, subject in each case to the executive’s continued employment through the applicable vesting date and has a maximum term of ten years. However, vested options may terminate earlier in connection with a change in control transaction or a termination of the Named Executive Officer’s employment. Subject to any accelerated vesting that may apply in the circumstances, the unvested portion of the option will immediately terminate upon a termination of the Named Executive Officer’s -employment.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2023 Outstanding Equity Awards at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unexercised stock options held by each of the Named Executive Officers as of December 31, 2023. None of the Named Executive Officers held any other outstanding stock awards as of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No. of Securities</w:t>
            </w:r>
          </w:p>
        </w:tc>
        <w:tc>
          <w:tcPr>
            <w:tcW w:w="1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No. of Securities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220" w:type="dxa"/>
            <w:vAlign w:val="bottom"/>
          </w:tcPr>
          <w:p>
            <w:pPr>
              <w:spacing w:after="0"/>
              <w:rPr>
                <w:sz w:val="21"/>
                <w:szCs w:val="21"/>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center"/>
              <w:ind w:right="203"/>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6"/>
        </w:trPr>
        <w:tc>
          <w:tcPr>
            <w:tcW w:w="1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Corinne Le Goff</w:t>
            </w:r>
          </w:p>
        </w:tc>
        <w:tc>
          <w:tcPr>
            <w:tcW w:w="1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
                <w:szCs w:val="1"/>
                <w:color w:val="auto"/>
              </w:rPr>
              <w:t>7/18/2022</w:t>
            </w:r>
          </w:p>
        </w:tc>
        <w:tc>
          <w:tcPr>
            <w:tcW w:w="2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
                <w:szCs w:val="1"/>
                <w:color w:val="auto"/>
              </w:rPr>
              <w:t>44,250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
                <w:szCs w:val="1"/>
                <w:color w:val="auto"/>
              </w:rPr>
              <w:t>132,750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1.95</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7/18/2032</w:t>
            </w:r>
          </w:p>
        </w:tc>
        <w:tc>
          <w:tcPr>
            <w:tcW w:w="0" w:type="dxa"/>
            <w:vAlign w:val="bottom"/>
          </w:tcPr>
          <w:p>
            <w:pPr>
              <w:spacing w:after="0" w:line="20" w:lineRule="exact"/>
              <w:rPr>
                <w:sz w:val="1"/>
                <w:szCs w:val="1"/>
                <w:color w:val="auto"/>
              </w:rPr>
            </w:pPr>
          </w:p>
        </w:tc>
      </w:tr>
      <w:tr>
        <w:trPr>
          <w:trHeight w:val="194"/>
        </w:trPr>
        <w:tc>
          <w:tcPr>
            <w:tcW w:w="1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2"/>
        </w:trPr>
        <w:tc>
          <w:tcPr>
            <w:tcW w:w="1660" w:type="dxa"/>
            <w:vAlign w:val="bottom"/>
            <w:shd w:val="clear" w:color="auto" w:fill="CCEEFF"/>
          </w:tcPr>
          <w:p>
            <w:pPr>
              <w:spacing w:after="0" w:line="20" w:lineRule="exact"/>
              <w:rPr>
                <w:sz w:val="1"/>
                <w:szCs w:val="1"/>
                <w:color w:val="auto"/>
              </w:rPr>
            </w:pPr>
          </w:p>
        </w:tc>
        <w:tc>
          <w:tcPr>
            <w:tcW w:w="1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2"/>
                <w:szCs w:val="2"/>
                <w:color w:val="auto"/>
              </w:rPr>
              <w:t>3/17/2023</w:t>
            </w:r>
          </w:p>
        </w:tc>
        <w:tc>
          <w:tcPr>
            <w:tcW w:w="2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2"/>
                <w:szCs w:val="2"/>
                <w:color w:val="auto"/>
              </w:rPr>
              <w:t>30,000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
                <w:szCs w:val="2"/>
                <w:color w:val="auto"/>
              </w:rPr>
              <w:t>60,000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
                <w:szCs w:val="2"/>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2"/>
                <w:szCs w:val="2"/>
                <w:color w:val="auto"/>
              </w:rPr>
              <w:t>1.32</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
                <w:szCs w:val="2"/>
                <w:color w:val="auto"/>
              </w:rPr>
              <w:t>3/17/2033</w:t>
            </w:r>
          </w:p>
        </w:tc>
        <w:tc>
          <w:tcPr>
            <w:tcW w:w="0" w:type="dxa"/>
            <w:vAlign w:val="bottom"/>
          </w:tcPr>
          <w:p>
            <w:pPr>
              <w:spacing w:after="0" w:line="20" w:lineRule="exact"/>
              <w:rPr>
                <w:sz w:val="1"/>
                <w:szCs w:val="1"/>
                <w:color w:val="auto"/>
              </w:rPr>
            </w:pPr>
          </w:p>
        </w:tc>
      </w:tr>
      <w:tr>
        <w:trPr>
          <w:trHeight w:val="201"/>
        </w:trPr>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Khursheed Anwer</w:t>
            </w:r>
          </w:p>
        </w:tc>
        <w:tc>
          <w:tcPr>
            <w:tcW w:w="1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rPr>
              <w:t>10/3/2019</w:t>
            </w:r>
          </w:p>
        </w:tc>
        <w:tc>
          <w:tcPr>
            <w:tcW w:w="2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2,832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25.80</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10/3/2029</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3/04/2022</w:t>
            </w:r>
          </w:p>
        </w:tc>
        <w:tc>
          <w:tcPr>
            <w:tcW w:w="2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13,333</w:t>
            </w:r>
          </w:p>
        </w:tc>
        <w:tc>
          <w:tcPr>
            <w:tcW w:w="18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6,667</w:t>
            </w:r>
            <w:r>
              <w:rPr>
                <w:rFonts w:ascii="Times New Roman" w:cs="Times New Roman" w:eastAsia="Times New Roman" w:hAnsi="Times New Roman"/>
                <w:sz w:val="14"/>
                <w:szCs w:val="14"/>
                <w:color w:val="auto"/>
              </w:rPr>
              <w:t>(1)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3/04/2032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6/13/2022</w:t>
            </w:r>
          </w:p>
        </w:tc>
        <w:tc>
          <w:tcPr>
            <w:tcW w:w="2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13,333</w:t>
            </w:r>
          </w:p>
        </w:tc>
        <w:tc>
          <w:tcPr>
            <w:tcW w:w="18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6,667</w:t>
            </w:r>
            <w:r>
              <w:rPr>
                <w:rFonts w:ascii="Times New Roman" w:cs="Times New Roman" w:eastAsia="Times New Roman" w:hAnsi="Times New Roman"/>
                <w:sz w:val="14"/>
                <w:szCs w:val="14"/>
                <w:color w:val="auto"/>
              </w:rPr>
              <w:t>(1)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6/13/2032</w:t>
            </w: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3/17/2023</w:t>
            </w:r>
          </w:p>
        </w:tc>
        <w:tc>
          <w:tcPr>
            <w:tcW w:w="21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7"/>
                <w:szCs w:val="17"/>
                <w:color w:val="auto"/>
              </w:rPr>
              <w:t>13,334</w:t>
            </w: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26,666</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3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1.32</w:t>
            </w:r>
          </w:p>
        </w:tc>
        <w:tc>
          <w:tcPr>
            <w:tcW w:w="1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7"/>
                <w:szCs w:val="17"/>
                <w:color w:val="auto"/>
              </w:rPr>
              <w:t>3/17/2033</w:t>
            </w:r>
          </w:p>
        </w:tc>
        <w:tc>
          <w:tcPr>
            <w:tcW w:w="0" w:type="dxa"/>
            <w:vAlign w:val="bottom"/>
          </w:tcPr>
          <w:p>
            <w:pPr>
              <w:spacing w:after="0"/>
              <w:rPr>
                <w:sz w:val="1"/>
                <w:szCs w:val="1"/>
                <w:color w:val="auto"/>
              </w:rPr>
            </w:pPr>
          </w:p>
        </w:tc>
      </w:tr>
      <w:tr>
        <w:trPr>
          <w:trHeight w:val="48"/>
        </w:trPr>
        <w:tc>
          <w:tcPr>
            <w:tcW w:w="16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6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5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56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3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56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188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rPr>
              <w:t>10/3/2019</w:t>
            </w:r>
          </w:p>
        </w:tc>
        <w:tc>
          <w:tcPr>
            <w:tcW w:w="2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25.80</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10/3/2029</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6/13/2022</w:t>
            </w:r>
          </w:p>
        </w:tc>
        <w:tc>
          <w:tcPr>
            <w:tcW w:w="2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33,333</w:t>
            </w:r>
          </w:p>
        </w:tc>
        <w:tc>
          <w:tcPr>
            <w:tcW w:w="18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16,6673</w:t>
            </w:r>
            <w:r>
              <w:rPr>
                <w:rFonts w:ascii="Times New Roman" w:cs="Times New Roman" w:eastAsia="Times New Roman" w:hAnsi="Times New Roman"/>
                <w:sz w:val="14"/>
                <w:szCs w:val="14"/>
                <w:color w:val="auto"/>
              </w:rPr>
              <w:t>(1)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6/13/2032</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3/17/2023</w:t>
            </w:r>
          </w:p>
        </w:tc>
        <w:tc>
          <w:tcPr>
            <w:tcW w:w="21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7"/>
                <w:szCs w:val="17"/>
                <w:color w:val="auto"/>
              </w:rPr>
              <w:t>13,334</w:t>
            </w:r>
          </w:p>
        </w:tc>
        <w:tc>
          <w:tcPr>
            <w:tcW w:w="1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26,666</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3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1.32</w:t>
            </w:r>
          </w:p>
        </w:tc>
        <w:tc>
          <w:tcPr>
            <w:tcW w:w="1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7"/>
                <w:szCs w:val="17"/>
                <w:color w:val="auto"/>
              </w:rPr>
              <w:t>3/17/2033</w:t>
            </w:r>
          </w:p>
        </w:tc>
        <w:tc>
          <w:tcPr>
            <w:tcW w:w="0" w:type="dxa"/>
            <w:vAlign w:val="bottom"/>
          </w:tcPr>
          <w:p>
            <w:pPr>
              <w:spacing w:after="0"/>
              <w:rPr>
                <w:sz w:val="1"/>
                <w:szCs w:val="1"/>
                <w:color w:val="auto"/>
              </w:rPr>
            </w:pPr>
          </w:p>
        </w:tc>
      </w:tr>
      <w:tr>
        <w:trPr>
          <w:trHeight w:val="45"/>
        </w:trPr>
        <w:tc>
          <w:tcPr>
            <w:tcW w:w="1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1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 in three equal installments, with one-third of the grant vesting each immediately, on the first anniversary, and on the second anniversary of the date of grant.</w:t>
      </w:r>
    </w:p>
    <w:p>
      <w:pPr>
        <w:ind w:left="340" w:right="2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 in four equal installments, with one-fourth of the grant vesting each on the first, second, third, and fourth anniversary of the date of grant.</w:t>
      </w:r>
    </w:p>
    <w:p>
      <w:pPr>
        <w:jc w:val="both"/>
        <w:ind w:left="340" w:hanging="332"/>
        <w:spacing w:after="0" w:line="255"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Le Goff served as President and Chief Executive Officer of the Company until March 15, 2024. All of the equity awards held by Dr. Le Goff that had vested prior to March 15, 2024 may be exercised by Dr. Le Goff until September 11, 2024, at which time they will automatically be forfeited if not exercised. All stock options and stock awards (and similar equity rights) that had not vested as of March 15, 2024 were forfeited by Dr. Le Goff.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Non-Employee Director Compensation Table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cash and non-cash compensation paid to the Company’s directors who were not employed by the Company or any of its subsidiaries (“Non-Employee Directors”) for the year ended December 31, 2023. Other than as set forth in the table, we did not pay any compensation, make any equity awards or non-equity awards to, or pay any other compensation to any of the Non-Employee Directors in 2023. The compensation paid to any director who was also one of our employees during fiscal year 2023 is presented in the “2023 Summary Compensation Table” and the information that follows that table. Such employee directors did not receive separate compensation for their service on the Board of Directors or any of its Committees. Mr. Tardugno and Dr. Le Goff are not shown in this table because they were compensated as officers for the years shown and did not receive any additional director compensation.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2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7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(1)</w:t>
            </w:r>
          </w:p>
        </w:tc>
        <w:tc>
          <w:tcPr>
            <w:tcW w:w="320" w:type="dxa"/>
            <w:vAlign w:val="bottom"/>
          </w:tcPr>
          <w:p>
            <w:pPr>
              <w:spacing w:after="0"/>
              <w:rPr>
                <w:sz w:val="21"/>
                <w:szCs w:val="21"/>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103,800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106,195</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70,500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72,895</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Stacy R. Lindborg</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41,700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44,095</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A. Pellizzari</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45,300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47,695</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Option Awards is the aggregate grant date fair value of stock options granted to each Director in 2023, determined in accordance with FASB ASC Topic 718. The assumptions for making the valuation determinations are set forth in Note 12 to our financial statements. As of December 31, 2023, Mr. Dentzer had 4,667 option awards outstanding; Mr. Fritz had 18,333 option awards outstanding; Dr. Braun had 15,833 option awards outstanding; and Dr. Lindborg and Ms. Pellizzari each had 9,666 option awards outstanding.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stock option grants awarded to the Company’s Non-Employee Directors for the year ended December 31, 2023. Employee directors do not receive separate equity awards for service on the Board of Directors or any of the Board committees.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40" w:type="dxa"/>
            <w:vAlign w:val="bottom"/>
            <w:gridSpan w:val="9"/>
          </w:tcPr>
          <w:p>
            <w:pPr>
              <w:ind w:left="840"/>
              <w:spacing w:after="0"/>
              <w:rPr>
                <w:sz w:val="20"/>
                <w:szCs w:val="20"/>
                <w:color w:val="auto"/>
              </w:rPr>
            </w:pPr>
            <w:r>
              <w:rPr>
                <w:rFonts w:ascii="Times New Roman" w:cs="Times New Roman" w:eastAsia="Times New Roman" w:hAnsi="Times New Roman"/>
                <w:sz w:val="18"/>
                <w:szCs w:val="18"/>
                <w:b w:val="1"/>
                <w:bCs w:val="1"/>
                <w:color w:val="auto"/>
              </w:rPr>
              <w:t>Non-Employee Director Stock Option and Grant Awards Table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60" w:type="dxa"/>
            <w:vAlign w:val="bottom"/>
          </w:tcPr>
          <w:p>
            <w:pPr>
              <w:spacing w:after="0"/>
              <w:rPr>
                <w:sz w:val="18"/>
                <w:szCs w:val="18"/>
                <w:color w:val="auto"/>
              </w:rPr>
            </w:pPr>
          </w:p>
        </w:tc>
        <w:tc>
          <w:tcPr>
            <w:tcW w:w="15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60" w:type="dxa"/>
            <w:vAlign w:val="bottom"/>
          </w:tcPr>
          <w:p>
            <w:pPr>
              <w:spacing w:after="0"/>
              <w:rPr>
                <w:sz w:val="18"/>
                <w:szCs w:val="18"/>
                <w:color w:val="auto"/>
              </w:rPr>
            </w:pPr>
          </w:p>
        </w:tc>
        <w:tc>
          <w:tcPr>
            <w:tcW w:w="15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45"/>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40" w:type="dxa"/>
            <w:vAlign w:val="bottom"/>
          </w:tcPr>
          <w:p>
            <w:pPr>
              <w:spacing w:after="0"/>
              <w:rPr>
                <w:sz w:val="21"/>
                <w:szCs w:val="21"/>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2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3/17/2023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3/17/2033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3/17/2023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3/17/2033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 Braun</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3/17/2023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3/17/2033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Stacy R. Lindborg</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3/17/2023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3/17/2033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A. Pellizzari</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3/17/2023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3/17/2033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stock option grants vest in three equal installments, with one-third of the grant vesting on the date of grant and one third of the grant vesting on each of the first and second anniversary of the date of grant, subject to the applicable director’s continued service as a member of our Board through each applicable vesting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each Non-Employee Director of the Company received annual cash compensation in the amount of $30,500 payable in quarterly installments, and an additional $2,200 for attendance at regular meetings of the Board of Directors and $1,200 for each meeting of a committee of the Board of Directors that was not held in conjunction with a meeting of the Board of Directors. Each Non-Employee director is reimbursed for the out-of-pocket costs of attending meetings of the Board of Directors and of committees of the Board of Directors. In 2023, the Chairman of the Audit Committee received an additional annual cash fee of $13,500 and the Chairman of the Compensation Committee received an additional annual cash fee of $10,500.</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18"/>
          <w:szCs w:val="18"/>
          <w:color w:val="auto"/>
        </w:rPr>
        <w:t>Acting on behalf of the Board of Directors, Mr. Fritz also received fees totaling $48,000 in 2023 for his role as a Board Liaison to our Board of Directors. Mr. Fritz’s responsibilities as Board Liaison include the following: (i) serve as an initial sounding board for our management regarding issues, matters, or communications to be brought or potentially to be brought before the Board of Directors; (ii) provide input and feedback to management regarding strategic matters, business matters, major scientific, clinical, collaboration, or corporate development matters, key personnel matters, or other items of significance regarding which management would like to obtain initial or further Board guidance, including, but not limited to, guidance regarding timing and content of communications regarding such matters or items with the full Board or any of its committees; (iii) remain accessible to management to provide guidance on business or strategy issues or other issues of significance on an as-needed basis; (iv) participate in meetings and relevant discussions as requested by management; (v) conduct general advisory or liaison services to the Board, including relaying to management requests from other members of the Board regarding desired additional information or clarification or suggestions or feedback regarding improvement in Board processes or communications; (vi) serve as a conduit for informal communications between management and the Board; and (vii) any other such services established by the Board from time to time.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Acting on behalf of our Board of Directors, Dr. Braun also received fees totaling $30,000 in 2023 for his role as a strategic advisor to our Executive Chairman and our Chief Executive Officer. Dr. Braun’s responsibilities as a strategic advisor include the following: (i) provide strategic and tactical advice to our Chief Executive Officer; (ii) evaluate international subsidiary options; (iii) develop strategies to secure business relationships other than in the U.S.; and (iv) having done both (ii) and (iii), develop high potential ex-US market strategies that address the objectives for broad and profitable sales of its commercial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 for Non-Employee and Executive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believes that, as a matter of sound corporate governance, non-employee and executive directors should have a significant personal financial stake in our performance. Consequently, in February 2011, our Board of Directors adopted stock ownership guidelines for non-employee and executive directors. Our corporate governance guidelines require that each non-employee director acquire and hold shares of our common stock having an aggregate value equal to two times the director’s total compensation in the first year of service and that our executive director acquire and hold shares of our common stock having an aggregate value equal to the executive director’s total compensation in the first year of service. Each director is expected to satisfy the applicable ownership guideline within three years after his or her appointment to the Board.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our common stock that count toward satisfaction of these ownership guidelines include, unless beneficial ownership therein is disclaimed: (i) shares owned outright by the director or executive officer or their immediate family members residing in the same household, whether held individually or jointly; (ii) shares held in a trust, family limited partnership or similar entity solely for the benefit of the director or executive officer and/or their immediate family members; (iii) shares of restricted stock and restricted stock units awarded under our equity incentive plans, including vested and unvested awards; and (iv) shares acquired upon stock option exercise, but not shares underlying unexercised stock options.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furnished by the Company and sets forth certain information known to the Company regarding the beneficial ownership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as of March 26, 2024 by:</w:t>
      </w:r>
    </w:p>
    <w:p>
      <w:pPr>
        <w:spacing w:after="0" w:line="20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us to own beneficially more than 5% of the Company’s outstanding common stock;</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as well as each executive officer named in the Summary Compensation Table appearing under the heading “Executive Compensation;” and</w:t>
      </w: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 beneficial ownership in accordance with the rules of the SEC. Under SEC rules, beneficial ownership for purposes of this table takes into account shares as to which the individual has voting or investment power as well as shares that may be acquired within 60 days of March 26, 2024. Shares of common stock subject to options that are currently exercisable or that become exercisable within 60 days of March 26, 2024, are treated as outstanding and beneficially owned by the holder of such options. However, these shares are not treated as outstanding for purposes of computing the percentage ownership of any other person. Unless otherwise indicated or as to the interests of spouses, the persons included in the table have sole voting and investment power with respect to all shares beneficially owned thereby. Percentage ownership calculations are based on 9,399,789 shares outstanding as of March 26,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SHARES OF</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STOCK</w:t>
            </w:r>
          </w:p>
        </w:tc>
      </w:tr>
      <w:tr>
        <w:trPr>
          <w:trHeight w:val="245"/>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r>
      <w:tr>
        <w:trPr>
          <w:trHeight w:val="216"/>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Dentzer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Stacy R. Lindborg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10,416</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Frederick J. Fritz</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28,682</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P. Braun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15,430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Pellizzari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10,416</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 Tardugno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183,763</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Corinne Le Goff* (7)</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127,250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Khursheed Anwer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78,188</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W. Church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78,450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 (9 persons) (10)</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410,707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r>
    </w:tbl>
    <w:p>
      <w:pPr>
        <w:spacing w:after="0" w:line="179" w:lineRule="exact"/>
        <w:rPr>
          <w:sz w:val="20"/>
          <w:szCs w:val="20"/>
          <w:color w:val="auto"/>
        </w:rPr>
      </w:pPr>
    </w:p>
    <w:p>
      <w:pPr>
        <w:ind w:right="1940" w:firstLine="8"/>
        <w:spacing w:after="0" w:line="516" w:lineRule="auto"/>
        <w:tabs>
          <w:tab w:leader="none" w:pos="3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individuals named is c/o IMUNON, INC., 997 Lenox Drive, Suite 100, Lawrenceville, NJ 08648. ** Less than one percent.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Includes 5,361 shares of common stock underlying options currently exercisable or exercisable within 60 days of March 26, 2024.</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Includes 10,416 shares of common stock underlying options currently exercisable or exercisable within 60 days of March 26, 2024.</w:t>
      </w:r>
    </w:p>
    <w:p>
      <w:pPr>
        <w:spacing w:after="0" w:line="225" w:lineRule="exact"/>
        <w:rPr>
          <w:sz w:val="20"/>
          <w:szCs w:val="20"/>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11,766 shares of common stock and 16,916 shares of common stock underlying options currently exercisable or exercisable within 60 days of March 26,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597 shares of common stock (reflecting the reverse stock split effected by the Company on February 28, 2022 at a ratio of 15:1) and 14,833 shares of common stock underlying options currently exercisable or exercisable within 60 days of March 26, 2024.</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10,416 shares of common stock underlying options currently exercisable or exercisable within 60 days of March 26, 2024.</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16,513 shares of common stock and 167,250 shares of common stock underlying options currently exercisable or exercisable within 60 days of March 26, 2024.</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53,000 shares of common stock and 74,250 shares of common stock underlying options currently exercisable or exercisable within 60 days of March 26, 2024. Dr. Le Goff served as President and Chief Executive Officer of the Company until March 15, 2024. All of the options held by Dr. Le Goff that had vested prior to March 15, 2024 may be exercised by Dr. Le Goff until September 11, 2024, at which time they will automatically be forfeited if not exercised. All stock options and stock awards (and similar equity rights) that had not vested as of March 15, 2024 were forfeited by Dr. Le Goff.</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2,855 shares of common stock (reflecting the reverse stock split effected by the Company on February 28, 2022 at a ratio of 15:1) and 75,333 shares of common stock underlying options currently exercisable or exercisable within 60 days of March 26,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3,617 shares of common stock (reflecting the reverse stock split effected by the Company on February 28, 2022 at a ratio of 15:1) and 74,833 shares of common stock underlying options currently exercisable or exercisable within 60 days of March 26, 2024.</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375,359 shares of common stock underlying options currently exercisable or exercisable within 60 days of March 26,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as of December 31, 2023</w:t>
            </w:r>
          </w:p>
        </w:tc>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0"/>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remaining</w:t>
            </w: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r>
      <w:tr>
        <w:trPr>
          <w:trHeight w:val="245"/>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 (a)</w:t>
            </w:r>
          </w:p>
        </w:tc>
        <w:tc>
          <w:tcPr>
            <w:tcW w:w="400" w:type="dxa"/>
            <w:vAlign w:val="bottom"/>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rights (b)</w:t>
            </w:r>
          </w:p>
        </w:tc>
        <w:tc>
          <w:tcPr>
            <w:tcW w:w="340" w:type="dxa"/>
            <w:vAlign w:val="bottom"/>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 (c)</w:t>
            </w:r>
          </w:p>
        </w:tc>
      </w:tr>
    </w:tbl>
    <w:p>
      <w:pPr>
        <w:spacing w:after="0" w:line="24"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line="174"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Equity compensation plans approved by securityholders Equity compensation plans not approved by securityholders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772,297</w:t>
            </w:r>
          </w:p>
        </w:tc>
        <w:tc>
          <w:tcPr>
            <w:tcW w:w="2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84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3.09</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44"/>
        </w:trPr>
        <w:tc>
          <w:tcPr>
            <w:tcW w:w="1960" w:type="dxa"/>
            <w:vAlign w:val="bottom"/>
            <w:gridSpan w:val="2"/>
          </w:tcPr>
          <w:p>
            <w:pPr>
              <w:jc w:val="right"/>
              <w:ind w:right="25"/>
              <w:spacing w:after="0" w:line="237" w:lineRule="exact"/>
              <w:rPr>
                <w:sz w:val="20"/>
                <w:szCs w:val="20"/>
                <w:color w:val="auto"/>
              </w:rPr>
            </w:pPr>
            <w:r>
              <w:rPr>
                <w:rFonts w:ascii="Times New Roman" w:cs="Times New Roman" w:eastAsia="Times New Roman" w:hAnsi="Times New Roman"/>
                <w:sz w:val="17"/>
                <w:szCs w:val="17"/>
                <w:color w:val="auto"/>
              </w:rPr>
              <w:t>294,751</w:t>
            </w:r>
            <w:r>
              <w:rPr>
                <w:rFonts w:ascii="Times New Roman" w:cs="Times New Roman" w:eastAsia="Times New Roman" w:hAnsi="Times New Roman"/>
                <w:sz w:val="27"/>
                <w:szCs w:val="27"/>
                <w:color w:val="auto"/>
                <w:vertAlign w:val="superscript"/>
              </w:rPr>
              <w:t>(3)</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1.59</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1,067,048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4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-471170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-179070</wp:posOffset>
            </wp:positionV>
            <wp:extent cx="713232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00" w:space="720"/>
            <w:col w:w="5920"/>
          </w:cols>
          <w:pgMar w:left="320" w:top="688" w:right="339" w:bottom="1440" w:gutter="0" w:footer="0" w:header="0"/>
          <w:type w:val="continuous"/>
        </w:sect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vested and unvested options to purchase common stock and unvested stock grants under the 2018 Plan. These awards have a weighted average remaining term of 8.7 years.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available for award grant purposes under the 2018 Plan. Subject to certain express limits of the plan, shares available under the plan generally may be used for any type of award authorized under that plan including options, stock appreciation rights, restricted stock and other forms of awards granted or denominated in shares of our common stock or units of our common stock.</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vested and unvested options to purchase common stock and unvested stock grants under inducement grants provided certain employees as an inducement to accept employment with the Company. These awards have a weighted average remaining term of 9.0 years. These grants are similar to those granted under the 2018 Plan.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3" w:name="page74"/>
    <w:bookmarkEnd w:id="7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Code of Ethics requires all of our directors, officers and employees to give their complete loyalty to the best interests of the Company and to avoid any action that may involve, or that even may appear to involve, a conflict of interest with the Company. The Code of Ethics also requires any of our directors, officers or employees who become aware of a conflict or potential conflict to bring it to the attention of supervisor, manager or other appropriate personnel or consult the compliance procedures provided in the Code of Ethics. The Board of Directors reviews and approves or ratifies all relationships and transactions between us and (i) any of our directors or executive officers, (ii) any nominee for election as a director, (iii) any securityholder who is known to us to own beneficially or of record more than five percent of our common stock or (iv) any member of the immediate family of any of the foregoing.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16, 2022, the Company entered into a Convertible Note Purchase Agreement with Transomic Technologies, Inc. (“Transomic”) whereby the Company purchased $375,000 of convertible notes secured by certain assets held by Transomic and warrants. As a result of this investment in Transomic, Imunon’s executive chairman, Mr. Michael Tardugno, was appointed to the Board of Directors of Transomic. The Company is disclosing the notes receivable as a related party transaction. In December 2023, Transomic filed a formal certificate of dissolution of the company resulting in a complete write off of the convertible note and related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SEC and Nasdaq, the Company requires that at least a majority of the directors serving at any time on the Board of Directors be independent. The Board has determined that of the six currently serving directors, five directors (Drs. Braun and Lindborg, Messrs. Dentzer and Fritz and Ms. Pellizzari) are independent under applicable SEC and Nasdaq rules.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Withum, Brown + Smith PC (“Withum”) has served as our independent accountants since 2017 and has advised us that neither Withum nor any of its members has, or has had in the past three years, any financial interest in the Company or any relation to the Company other than as auditors and accountants.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as invoiced for professional audit services rendered for the fiscal years ended December 31, 2023 and December 31, 2022, and fees for other services rendered during those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3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65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45"/>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OF TOTAL</w:t>
            </w:r>
          </w:p>
        </w:tc>
        <w:tc>
          <w:tcPr>
            <w:tcW w:w="320" w:type="dxa"/>
            <w:vAlign w:val="bottom"/>
            <w:tcBorders>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160" w:type="dxa"/>
            <w:vAlign w:val="bottom"/>
            <w:tcBorders>
              <w:bottom w:val="single" w:sz="8" w:color="CCEEFF"/>
            </w:tcBorders>
          </w:tcPr>
          <w:p>
            <w:pPr>
              <w:spacing w:after="0"/>
              <w:rPr>
                <w:sz w:val="21"/>
                <w:szCs w:val="2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9,705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14,246</w:t>
            </w:r>
          </w:p>
        </w:tc>
        <w:tc>
          <w:tcPr>
            <w:tcW w:w="240" w:type="dxa"/>
            <w:vAlign w:val="bottom"/>
          </w:tcPr>
          <w:p>
            <w:pPr>
              <w:spacing w:after="0"/>
              <w:rPr>
                <w:sz w:val="18"/>
                <w:szCs w:val="18"/>
                <w:color w:val="auto"/>
              </w:rPr>
            </w:pPr>
          </w:p>
        </w:tc>
        <w:tc>
          <w:tcPr>
            <w:tcW w:w="1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13,750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10.800</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6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78,885</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11,850</w:t>
            </w:r>
          </w:p>
        </w:tc>
        <w:tc>
          <w:tcPr>
            <w:tcW w:w="240" w:type="dxa"/>
            <w:vAlign w:val="bottom"/>
          </w:tcPr>
          <w:p>
            <w:pPr>
              <w:spacing w:after="0"/>
              <w:rPr>
                <w:sz w:val="20"/>
                <w:szCs w:val="20"/>
                <w:color w:val="auto"/>
              </w:rPr>
            </w:pPr>
          </w:p>
        </w:tc>
        <w:tc>
          <w:tcPr>
            <w:tcW w:w="1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3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0"/>
        </w:trPr>
        <w:tc>
          <w:tcPr>
            <w:tcW w:w="3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t>Audit fees consist of fees for professional services rendered by Withum for the audits of our annual financial statements in our Annual Reports on Form 10-K and for reviews of the quarterly financial statements included in the Company’s Quarterly Reports on Form 10-Q. Audit related fees pertain to the work performed during our equity offerings in 2023 and 2022. Tax fees consist of fees for preparation of the Company’s federal and state tax returns. All other fees consist of fees for attendance at the Company’s annual meetings, review of registration statements and similar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by Employees of Withum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part of Withum’s engagement to audit the Company’s financial statements for the years ended December 31, 2023 and 2022 was attributable to work performed by persons other than Withum’s full-time, permanent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Policy on Approval of Audit and Non-Audit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the policy of the Audit Committee to pre-approve all audit and permissible non-audit services provided by our independent accountants, in accordance with rules prescribed by the SEC. These services may include audit services, audit-related services, tax services, and other services. Pre-approval is based on a written proposal, accompanied by a cost estimate, and estimated budget. The Audit Committee has delegated to its chairman the authority to pre-approve audit and non-audit services with an estimated cost of up to $25,000, provided the exercise of such authority is reported to the Audit Committee at its next regular meeting. The Audit Committee reserves the right, from time to time, to delegate pre-approval authority to other of its members, so long as such members are independent directors. All audit and permissible non-audit services during 2023 and 2022 were approved by the Audit Committee in accordance with its pre-approval policy and the approval requirements of the SEC.</w:t>
      </w:r>
    </w:p>
    <w:p>
      <w:pPr>
        <w:spacing w:after="0" w:line="1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list of the consolidated financial statements of Imunon, Inc. filed with this Annual Report, together with the reports of our independent registered public accountants and Management’s Report on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1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58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9"/>
        </w:trPr>
        <w:tc>
          <w:tcPr>
            <w:tcW w:w="10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REPORTS</w:t>
            </w: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Reports of Independent Registered Public Accounting Firm</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640" w:type="dxa"/>
            <w:vAlign w:val="bottom"/>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850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75"/>
        </w:trPr>
        <w:tc>
          <w:tcPr>
            <w:tcW w:w="106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354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70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216"/>
        </w:trPr>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F-11</w:t>
            </w:r>
          </w:p>
        </w:tc>
      </w:tr>
      <w:tr>
        <w:trPr>
          <w:trHeight w:val="432"/>
        </w:trPr>
        <w:tc>
          <w:tcPr>
            <w:tcW w:w="47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tc>
        <w:tc>
          <w:tcPr>
            <w:tcW w:w="58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All financial statement schedules are omitted because the information is inapplicable or presented in the 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included as exhibits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392"/>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20"/>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Asset Purchase Agreement dated as of June 6, 2014, by and between Imunon, Inc. and EGEN, Inc., incorporated herein by reference to</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Exhibit 2.1 to the Quarterly Report on Form 10-Q of the Company for the quarter ended June 30, 2014 (SEC File No. 001-15911).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Amendment to Asset Purchase Agreement between Celsion Corporation and EGWU, Inc., dated March 28, 2019 incorporated herein by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reference to Exhibit 10.1 to the Current Report on Form 8-K of the Company filed on April 1, 2019 (SEC File No. 001-15911).</w:t>
              </w:r>
            </w:hyperlink>
          </w:p>
        </w:tc>
        <w:tc>
          <w:tcPr>
            <w:tcW w:w="9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Amended and Restated Certificate of Incorporation of Imunon, dated March 24, 2023, incorporated herein by reference to Exhibit 3.1 to the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Current Report on Form 8-K of the Company filed on March 24, 2023 (SEC File No. 001-15911).</w:t>
              </w:r>
            </w:hyperlink>
          </w:p>
        </w:tc>
        <w:tc>
          <w:tcPr>
            <w:tcW w:w="30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Amended and Restated Bylaws of the Company, effective on March 15, 2024, incorporated by reference to Exhibit 3.1 to the Current Report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on Form 8-K of the Company, filed on March 18, 2024 (SEC File No. 001-15911).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140" w:type="dxa"/>
            <w:vAlign w:val="bottom"/>
            <w:gridSpan w:val="20"/>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Representative’s Common Stock Purchase Warrant, incorporated herein by reference to Exhibit 4.2 to the Current Report on Form</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8-K of the Company, filed on October 31, 2017 (SEC File No. 001-15911).</w:t>
              </w:r>
            </w:hyperlink>
          </w:p>
        </w:tc>
        <w:tc>
          <w:tcPr>
            <w:tcW w:w="470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140" w:type="dxa"/>
            <w:vAlign w:val="bottom"/>
            <w:gridSpan w:val="20"/>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Placement Agent Common Stock Purchase Warrant incorporated herein by reference to Exhibit 4.4 to the Current Report on Form</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8-K of the Company, filed on July 11, 2017 (SEC File No. 001-15911).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Amended and Restated Warrant (issued under First Amendment of Venture Loan and Security Agreement, dated as of August 1,</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2020, by and among Imunon, Inc., Horizon Funding I, LLC, Horizon Funding Trust 2019-1, and Horizon Technology Finance Corporation,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as Collateral Agent), incorporated herein by reference to Exhibit 4.1 to the Current Report on Form 8-K of the Company, filed on September</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4, 2020 (SEC File No. 001-15911).</w:t>
              </w:r>
            </w:hyperlink>
          </w:p>
        </w:tc>
        <w:tc>
          <w:tcPr>
            <w:tcW w:w="76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Exchange Warrant, incorporated herein by reference to Exhibit 4.1 to the Current Report on Form 8-K of the Company, filed on</w:t>
              </w:r>
            </w:hyperlink>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gridSpan w:val="4"/>
            <w:vMerge w:val="restart"/>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March 13, 2020 (SEC File No. 001-15911).</w:t>
              </w:r>
            </w:hyperlink>
          </w:p>
        </w:tc>
        <w:tc>
          <w:tcPr>
            <w:tcW w:w="8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79"/>
              </w:rPr>
            </w:pPr>
            <w:hyperlink r:id="rId92">
              <w:r>
                <w:rPr>
                  <w:rFonts w:ascii="Times New Roman" w:cs="Times New Roman" w:eastAsia="Times New Roman" w:hAnsi="Times New Roman"/>
                  <w:sz w:val="15"/>
                  <w:szCs w:val="15"/>
                  <w:color w:val="0000EE"/>
                  <w:w w:val="79"/>
                </w:rPr>
                <w:t>1</w:t>
              </w:r>
            </w:hyperlink>
          </w:p>
        </w:tc>
        <w:tc>
          <w:tcPr>
            <w:tcW w:w="760" w:type="dxa"/>
            <w:vAlign w:val="bottom"/>
            <w:vMerge w:val="restart"/>
          </w:tcPr>
          <w:p>
            <w:pPr>
              <w:spacing w:after="0"/>
              <w:rPr>
                <w:sz w:val="14"/>
                <w:szCs w:val="14"/>
                <w:color w:val="auto"/>
              </w:rPr>
            </w:pPr>
          </w:p>
        </w:tc>
        <w:tc>
          <w:tcPr>
            <w:tcW w:w="660" w:type="dxa"/>
            <w:vAlign w:val="bottom"/>
            <w:vMerge w:val="restart"/>
          </w:tcPr>
          <w:p>
            <w:pPr>
              <w:spacing w:after="0"/>
              <w:rPr>
                <w:sz w:val="14"/>
                <w:szCs w:val="14"/>
                <w:color w:val="auto"/>
              </w:rPr>
            </w:pPr>
          </w:p>
        </w:tc>
        <w:tc>
          <w:tcPr>
            <w:tcW w:w="380" w:type="dxa"/>
            <w:vAlign w:val="bottom"/>
            <w:vMerge w:val="restart"/>
          </w:tcPr>
          <w:p>
            <w:pPr>
              <w:spacing w:after="0"/>
              <w:rPr>
                <w:sz w:val="14"/>
                <w:szCs w:val="14"/>
                <w:color w:val="auto"/>
              </w:rPr>
            </w:pPr>
          </w:p>
        </w:tc>
        <w:tc>
          <w:tcPr>
            <w:tcW w:w="140" w:type="dxa"/>
            <w:vAlign w:val="bottom"/>
            <w:gridSpan w:val="2"/>
            <w:vMerge w:val="restart"/>
          </w:tcPr>
          <w:p>
            <w:pPr>
              <w:spacing w:after="0"/>
              <w:rPr>
                <w:sz w:val="14"/>
                <w:szCs w:val="14"/>
                <w:color w:val="auto"/>
              </w:rPr>
            </w:pPr>
          </w:p>
        </w:tc>
        <w:tc>
          <w:tcPr>
            <w:tcW w:w="2640" w:type="dxa"/>
            <w:vAlign w:val="bottom"/>
            <w:gridSpan w:val="4"/>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180" w:type="dxa"/>
            <w:vAlign w:val="bottom"/>
            <w:gridSpan w:val="3"/>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140" w:type="dxa"/>
            <w:vAlign w:val="bottom"/>
            <w:tcBorders>
              <w:bottom w:val="single" w:sz="8" w:color="0000EE"/>
            </w:tcBorders>
            <w:gridSpan w:val="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2640" w:type="dxa"/>
            <w:vAlign w:val="bottom"/>
            <w:gridSpan w:val="4"/>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18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Warrant to purchase Shares of Common Stock of Celsion Corporation between Celsion Corporation and EGWU, Inc., dated March 28,</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2019, incorporated herein by reference to Exhibit 4.1 to the Quarterly Report on Form 10-Q of the Company for the quarter ended March</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31, 2019 (SEC File No. 001-15911).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Description of Securities of the Registrant, incorporated herein by reference to Exhibit 4.5 to the Annual Report on Form 10-K of the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Company for the fiscal year ended December 31, 2019.</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Imunon, Inc. 2007 Stock Incentive Plan, as amended, incorporated herein by reference to Exhibit 10.1 to the Current Report on Form 8-K of</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the Company, filed on May 16, 2017 (SEC File No. 001-15911).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Inducement Offer to Exercise Common Stock Purchase Warrants, incorporated herein by reference to Exhibit 10.3 to the Quarterly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Report on Form 10-Q of the Company for the quarter ended September 30, 2017 (SEC File No. 001-15911).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Imunon, Inc. 2018 Stock Incentive Plan, incorporated by reference to Exhibit 10.1 to the Current Report on Form 8-K of the Company filed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May 15, 2018 (SEC File No. 001-15911).</w:t>
              </w:r>
            </w:hyperlink>
          </w:p>
        </w:tc>
        <w:tc>
          <w:tcPr>
            <w:tcW w:w="71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First Amendment to the Imunon, Inc. 2018 Stock Incentive Plan, incorporated by reference to Exhibit 10.1 to the Current Report on Form 8-</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K of the Company, filed on May 15, 2019 (SEC File No. 001-15911).</w:t>
              </w:r>
            </w:hyperlink>
          </w:p>
        </w:tc>
        <w:tc>
          <w:tcPr>
            <w:tcW w:w="51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Second Amendment to the Imunon, Inc. 2018 Stock Incentive Plan, incorporated by reference to Exhibit 10.1 to the Current Report on Form</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8-K of the Company, filed on June 16, 2020 (SEC File No. 001-15911).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gridSpan w:val="11"/>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w:t>
            </w:r>
          </w:p>
        </w:tc>
        <w:tc>
          <w:tcPr>
            <w:tcW w:w="120" w:type="dxa"/>
            <w:vAlign w:val="bottom"/>
          </w:tcPr>
          <w:p>
            <w:pPr>
              <w:spacing w:after="0"/>
              <w:rPr>
                <w:sz w:val="24"/>
                <w:szCs w:val="24"/>
                <w:color w:val="auto"/>
              </w:rPr>
            </w:pPr>
          </w:p>
        </w:tc>
        <w:tc>
          <w:tcPr>
            <w:tcW w:w="10140" w:type="dxa"/>
            <w:vAlign w:val="bottom"/>
            <w:gridSpan w:val="20"/>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Third Amendment to the Celsion Corporation 2018 Stock Incentive Plan, incorporated herein by reference to Exhibit 10.1 to the Current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Report on Form 8-K of the Company, filed with the Commission on June 10, 2021 (SEC File No. 001-15911).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40" w:type="dxa"/>
            <w:vAlign w:val="bottom"/>
            <w:tcBorders>
              <w:top w:val="single" w:sz="8" w:color="0000EE"/>
              <w:bottom w:val="single" w:sz="8" w:color="auto"/>
            </w:tcBorders>
            <w:gridSpan w:val="8"/>
          </w:tcPr>
          <w:p>
            <w:pPr>
              <w:ind w:left="4440"/>
              <w:spacing w:after="0"/>
              <w:rPr>
                <w:sz w:val="20"/>
                <w:szCs w:val="20"/>
                <w:color w:val="auto"/>
              </w:rPr>
            </w:pPr>
            <w:r>
              <w:rPr>
                <w:rFonts w:ascii="Times New Roman" w:cs="Times New Roman" w:eastAsia="Times New Roman" w:hAnsi="Times New Roman"/>
                <w:sz w:val="18"/>
                <w:szCs w:val="18"/>
                <w:color w:val="auto"/>
                <w:w w:val="99"/>
              </w:rPr>
              <w:t>72</w:t>
            </w:r>
          </w:p>
        </w:tc>
        <w:tc>
          <w:tcPr>
            <w:tcW w:w="3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10.7***</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Employment Offer Letter, entered into on June 15, 2010, between the Company and Jeffrey W. Church, incorporated herein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Exhibit 10.1 to the Current Report on Form 8-K of the Company filed on June 18, 2010 (SEC File No. 001-15911).</w:t>
              </w:r>
            </w:hyperlink>
          </w:p>
        </w:tc>
      </w:tr>
      <w:tr>
        <w:trPr>
          <w:trHeight w:val="20"/>
        </w:trPr>
        <w:tc>
          <w:tcPr>
            <w:tcW w:w="11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10.8***</w:t>
            </w:r>
          </w:p>
        </w:tc>
        <w:tc>
          <w:tcPr>
            <w:tcW w:w="10140" w:type="dxa"/>
            <w:vAlign w:val="bottom"/>
            <w:gridSpan w:val="10"/>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Employment Offer Letter effective as of June 2, 2014, between the Company and Khursheed Anwer incorporated herein by reference to</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Exhibit 10.27 to the Annual Report of the Company for the year ended December 31, 2014 (SEC File No. 001-15911).</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9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10.9***</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Employment Agreement between the Company and Michael H. Tardugno, effective as of July 18, 2022, incorporated herein by reference to</w:t>
              </w:r>
            </w:hyperlink>
          </w:p>
        </w:tc>
      </w:tr>
      <w:tr>
        <w:trPr>
          <w:trHeight w:val="196"/>
        </w:trPr>
        <w:tc>
          <w:tcPr>
            <w:tcW w:w="1100" w:type="dxa"/>
            <w:vAlign w:val="bottom"/>
          </w:tcPr>
          <w:p>
            <w:pPr>
              <w:spacing w:after="0"/>
              <w:rPr>
                <w:sz w:val="17"/>
                <w:szCs w:val="17"/>
                <w:color w:val="auto"/>
              </w:rPr>
            </w:pPr>
          </w:p>
        </w:tc>
        <w:tc>
          <w:tcPr>
            <w:tcW w:w="9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Exhibit 10.2 to the Current Report on Form 8-K of the Company filed with the Commission on July 19, 2022 (SEC File No. 001-15911).</w:t>
              </w:r>
            </w:hyperlink>
          </w:p>
        </w:tc>
        <w:tc>
          <w:tcPr>
            <w:tcW w:w="280" w:type="dxa"/>
            <w:vAlign w:val="bottom"/>
            <w:gridSpan w:val="2"/>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10.10***</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Employment Agreement between the Company Corporation and Corinne Le Goff, effective as of July 18, 2022 incorporated herein by</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reference to Exhibit 10.1 to the Current Report on Form 8-K of the Company filed with the Commission on July 19, 2022 (SEC File No.</w:t>
              </w:r>
            </w:hyperlink>
          </w:p>
        </w:tc>
      </w:tr>
      <w:tr>
        <w:trPr>
          <w:trHeight w:val="196"/>
        </w:trPr>
        <w:tc>
          <w:tcPr>
            <w:tcW w:w="110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03">
              <w:r>
                <w:rPr>
                  <w:rFonts w:ascii="Times New Roman" w:cs="Times New Roman" w:eastAsia="Times New Roman" w:hAnsi="Times New Roman"/>
                  <w:sz w:val="18"/>
                  <w:szCs w:val="18"/>
                  <w:color w:val="0000EE"/>
                  <w:w w:val="97"/>
                </w:rPr>
                <w:t>001-15911).</w:t>
              </w:r>
            </w:hyperlink>
          </w:p>
        </w:tc>
        <w:tc>
          <w:tcPr>
            <w:tcW w:w="1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10.11***</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Change in Control Agreement dated as of September 6, 2016, by and between the Company and Michael H.</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Tardugno, incorporated herein by reference to Exhibit 10.1 to the Quarterly Report on Form 10-Q of the Company for the quarter ended</w:t>
              </w:r>
            </w:hyperlink>
          </w:p>
        </w:tc>
      </w:tr>
      <w:tr>
        <w:trPr>
          <w:trHeight w:val="196"/>
        </w:trPr>
        <w:tc>
          <w:tcPr>
            <w:tcW w:w="110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September 30, 2016 (SEC File No. 001-15911).</w:t>
              </w:r>
            </w:hyperlink>
          </w:p>
        </w:tc>
        <w:tc>
          <w:tcPr>
            <w:tcW w:w="6700" w:type="dxa"/>
            <w:vAlign w:val="bottom"/>
            <w:gridSpan w:val="6"/>
          </w:tcPr>
          <w:p>
            <w:pPr>
              <w:spacing w:after="0"/>
              <w:rPr>
                <w:sz w:val="17"/>
                <w:szCs w:val="17"/>
                <w:color w:val="auto"/>
              </w:rPr>
            </w:pPr>
          </w:p>
        </w:tc>
      </w:tr>
      <w:tr>
        <w:trPr>
          <w:trHeight w:val="412"/>
        </w:trPr>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10.12***</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Amended and Restated Change in Control Agreement dated as of September 6, 2016, by and between the Company and Jeffrey W. Church,</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incorporated herein by reference to Exhibit 10.3 to the Quarterly Report on Form 10-Q of the Company for the quarter ended September 30,</w:t>
              </w:r>
            </w:hyperlink>
          </w:p>
        </w:tc>
      </w:tr>
      <w:tr>
        <w:trPr>
          <w:trHeight w:val="196"/>
        </w:trPr>
        <w:tc>
          <w:tcPr>
            <w:tcW w:w="110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2016 (SEC File No. 001-15911).</w:t>
              </w:r>
            </w:hyperlink>
          </w:p>
        </w:tc>
        <w:tc>
          <w:tcPr>
            <w:tcW w:w="7760" w:type="dxa"/>
            <w:vAlign w:val="bottom"/>
            <w:gridSpan w:val="7"/>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10.13*</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Development, Product Supply and Commercialization Agreement, effective December 5, 2008, by and between the Company and Yakult</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Honsha Co., Ltd., incorporated herein by reference to Exhibit 10.15 to the Annual Report of the Company for the year ended December 31,</w:t>
              </w:r>
            </w:hyperlink>
          </w:p>
        </w:tc>
      </w:tr>
      <w:tr>
        <w:trPr>
          <w:trHeight w:val="196"/>
        </w:trPr>
        <w:tc>
          <w:tcPr>
            <w:tcW w:w="110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2008 (SEC File No. 001-15911).</w:t>
              </w:r>
            </w:hyperlink>
          </w:p>
        </w:tc>
        <w:tc>
          <w:tcPr>
            <w:tcW w:w="7760" w:type="dxa"/>
            <w:vAlign w:val="bottom"/>
            <w:gridSpan w:val="7"/>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The 2nd Amendment to The Development, Product Supply and Commercialization Agreement, effective January 7, 2011, by and between</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the Company and Yakult Honsha Co., Ltd. incorporated herein by reference to Exhibit 10.1 to the Current Report on Form 8-K of the</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Company filed on January 18, 2011 (SEC File No. 001-15911).</w:t>
              </w:r>
            </w:hyperlink>
          </w:p>
        </w:tc>
      </w:tr>
      <w:tr>
        <w:trPr>
          <w:trHeight w:val="20"/>
        </w:trPr>
        <w:tc>
          <w:tcPr>
            <w:tcW w:w="1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10.15*</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Technology Development Agreement effective as of May 7, 2012, by and between Imunon, Inc. and Zhejiang Hisun Pharmaceutical Co.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Ltd., incorporated herein by reference to Exhibit 10.2 to the Quarterly Report on Form 10-Q of the Company for the quarter ended June 30,</w:t>
              </w:r>
            </w:hyperlink>
          </w:p>
        </w:tc>
      </w:tr>
      <w:tr>
        <w:trPr>
          <w:trHeight w:val="196"/>
        </w:trPr>
        <w:tc>
          <w:tcPr>
            <w:tcW w:w="110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2012 (SEC File No. 001-15911).</w:t>
              </w:r>
            </w:hyperlink>
          </w:p>
        </w:tc>
        <w:tc>
          <w:tcPr>
            <w:tcW w:w="7760" w:type="dxa"/>
            <w:vAlign w:val="bottom"/>
            <w:gridSpan w:val="7"/>
          </w:tcPr>
          <w:p>
            <w:pPr>
              <w:spacing w:after="0"/>
              <w:rPr>
                <w:sz w:val="17"/>
                <w:szCs w:val="17"/>
                <w:color w:val="auto"/>
              </w:rPr>
            </w:pPr>
          </w:p>
        </w:tc>
      </w:tr>
      <w:tr>
        <w:trPr>
          <w:trHeight w:val="412"/>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10.16*</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Technology Development Contract dated as of January 18, 2013, by and between Imunon, Inc. and Zhejiang Hisun Pharmaceutical Co. Ltd.,</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incorporated herein by reference to Exhibit 10.1 to the Quarterly Report on Form 10-Q of the Company for the quarter ended March 31,</w:t>
              </w:r>
            </w:hyperlink>
          </w:p>
        </w:tc>
      </w:tr>
      <w:tr>
        <w:trPr>
          <w:trHeight w:val="196"/>
        </w:trPr>
        <w:tc>
          <w:tcPr>
            <w:tcW w:w="1100" w:type="dxa"/>
            <w:vAlign w:val="bottom"/>
          </w:tcPr>
          <w:p>
            <w:pPr>
              <w:spacing w:after="0"/>
              <w:rPr>
                <w:sz w:val="17"/>
                <w:szCs w:val="17"/>
                <w:color w:val="auto"/>
              </w:rPr>
            </w:pPr>
          </w:p>
        </w:tc>
        <w:tc>
          <w:tcPr>
            <w:tcW w:w="23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2013 (SEC File No. 001-15911).</w:t>
              </w:r>
            </w:hyperlink>
          </w:p>
        </w:tc>
        <w:tc>
          <w:tcPr>
            <w:tcW w:w="7780" w:type="dxa"/>
            <w:vAlign w:val="bottom"/>
            <w:gridSpan w:val="8"/>
          </w:tcPr>
          <w:p>
            <w:pPr>
              <w:spacing w:after="0"/>
              <w:rPr>
                <w:sz w:val="17"/>
                <w:szCs w:val="17"/>
                <w:color w:val="auto"/>
              </w:rPr>
            </w:pPr>
          </w:p>
        </w:tc>
      </w:tr>
      <w:tr>
        <w:trPr>
          <w:trHeight w:val="460"/>
        </w:trPr>
        <w:tc>
          <w:tcPr>
            <w:tcW w:w="110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gridSpan w:val="6"/>
          </w:tcPr>
          <w:p>
            <w:pPr>
              <w:ind w:left="444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77" w:name="page78"/>
    <w:bookmarkEnd w:id="77"/>
    <w:p>
      <w:pPr>
        <w:spacing w:after="0" w:line="25" w:lineRule="exact"/>
        <w:rPr>
          <w:sz w:val="20"/>
          <w:szCs w:val="20"/>
          <w:color w:val="auto"/>
        </w:rPr>
      </w:pPr>
    </w:p>
    <w:p>
      <w:pPr>
        <w:jc w:val="both"/>
        <w:ind w:left="1120" w:hanging="823"/>
        <w:spacing w:after="0" w:line="282"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10">
        <w:r>
          <w:rPr>
            <w:rFonts w:ascii="Times New Roman" w:cs="Times New Roman" w:eastAsia="Times New Roman" w:hAnsi="Times New Roman"/>
            <w:sz w:val="18"/>
            <w:szCs w:val="18"/>
            <w:u w:val="single" w:color="auto"/>
            <w:color w:val="0000EE"/>
          </w:rPr>
          <w:t>Lease Agreement, executed July 21, 2011, by and between Imunon, Inc. and Brandywine Operating Partnership, L.P., incorporated herein</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by reference to Exhibit 10.1 to the Current Report on Form 8-K of the Company filed on July 25, 2011 (SEC File No. 001-15911).</w:t>
        </w:r>
      </w:hyperlink>
    </w:p>
    <w:p>
      <w:pPr>
        <w:spacing w:after="0" w:line="162" w:lineRule="exact"/>
        <w:rPr>
          <w:sz w:val="20"/>
          <w:szCs w:val="20"/>
          <w:color w:val="auto"/>
        </w:rPr>
      </w:pPr>
    </w:p>
    <w:p>
      <w:pPr>
        <w:jc w:val="both"/>
        <w:ind w:left="1120" w:hanging="823"/>
        <w:spacing w:after="0" w:line="26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11">
        <w:r>
          <w:rPr>
            <w:rFonts w:ascii="Times New Roman" w:cs="Times New Roman" w:eastAsia="Times New Roman" w:hAnsi="Times New Roman"/>
            <w:sz w:val="18"/>
            <w:szCs w:val="18"/>
            <w:u w:val="single" w:color="auto"/>
            <w:color w:val="0000EE"/>
          </w:rPr>
          <w:t>First Amendment to Lease Agreement, executed April 20, 2017, by and between Imunon, Inc. and Lenox Drive Office Park, LLC,</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incorporated herein by reference to Exhibit 10.1 to the Current Report on Form 10-Q of the Company filed on November 14, 2017 (SEC</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File No. 001-15911).</w:t>
        </w:r>
      </w:hyperlink>
    </w:p>
    <w:p>
      <w:pPr>
        <w:spacing w:after="0" w:line="176" w:lineRule="exact"/>
        <w:rPr>
          <w:rFonts w:ascii="Times New Roman" w:cs="Times New Roman" w:eastAsia="Times New Roman" w:hAnsi="Times New Roman"/>
          <w:sz w:val="18"/>
          <w:szCs w:val="18"/>
          <w:u w:val="single" w:color="auto"/>
          <w:color w:val="0000EE"/>
        </w:rPr>
      </w:pPr>
    </w:p>
    <w:p>
      <w:pPr>
        <w:ind w:left="1120" w:hanging="851"/>
        <w:spacing w:after="0" w:line="266" w:lineRule="auto"/>
        <w:tabs>
          <w:tab w:leader="none" w:pos="544"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19</w:t>
      </w:r>
      <w:hyperlink r:id="rId112">
        <w:r>
          <w:rPr>
            <w:rFonts w:ascii="Times New Roman" w:cs="Times New Roman" w:eastAsia="Times New Roman" w:hAnsi="Times New Roman"/>
            <w:sz w:val="18"/>
            <w:szCs w:val="18"/>
            <w:u w:val="single" w:color="auto"/>
            <w:color w:val="0000EE"/>
          </w:rPr>
          <w:t>Second Amendment to Lease Agreement, dated January 9, 2019, by and between Celsion Corporation and Lenox Drive Office Park, LLC,</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successor in interest to Brandywine Operating Partnership, L.P., incorporated herein by reference to Exhibit 10-Q to the Current Report on</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Form 10-Q of the Company for the quarter ended March 31, 2019 (SEC File No. 001-15911).</w:t>
        </w:r>
      </w:hyperlink>
    </w:p>
    <w:p>
      <w:pPr>
        <w:spacing w:after="0" w:line="163" w:lineRule="exact"/>
        <w:rPr>
          <w:rFonts w:ascii="Times New Roman" w:cs="Times New Roman" w:eastAsia="Times New Roman" w:hAnsi="Times New Roman"/>
          <w:sz w:val="18"/>
          <w:szCs w:val="18"/>
          <w:u w:val="single" w:color="auto"/>
          <w:color w:val="0000EE"/>
        </w:rPr>
      </w:pPr>
    </w:p>
    <w:tbl>
      <w:tblPr>
        <w:tblLayout w:type="fixed"/>
        <w:tblInd w:w="160" w:type="dxa"/>
        <w:tblCellMar>
          <w:top w:w="0" w:type="dxa"/>
          <w:left w:w="0" w:type="dxa"/>
          <w:bottom w:w="0" w:type="dxa"/>
          <w:right w:w="0" w:type="dxa"/>
        </w:tblCellMar>
      </w:tblPr>
      <w:tr>
        <w:trPr>
          <w:trHeight w:val="207"/>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10.20</w:t>
            </w:r>
          </w:p>
        </w:tc>
        <w:tc>
          <w:tcPr>
            <w:tcW w:w="160" w:type="dxa"/>
            <w:vAlign w:val="bottom"/>
          </w:tcPr>
          <w:p>
            <w:pPr>
              <w:spacing w:after="0"/>
              <w:rPr>
                <w:sz w:val="17"/>
                <w:szCs w:val="17"/>
                <w:color w:val="auto"/>
              </w:rPr>
            </w:pPr>
          </w:p>
        </w:tc>
        <w:tc>
          <w:tcPr>
            <w:tcW w:w="101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Lease Agreement dated January 15, 2018, by and between Imunon, Inc. and HudsonAlpha Institute of Biotechnology for office and lab</w:t>
              </w:r>
            </w:hyperlink>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space located in Huntsville, Alabama incorporated herein by reference to Exhibit 10.1 to the Quarterly Report on Form 10-Q of the</w:t>
              </w:r>
            </w:hyperlink>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Company for the quarter ended March 31, 2018 (SEC File No. 001-15911).</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10.21</w:t>
            </w:r>
          </w:p>
        </w:tc>
        <w:tc>
          <w:tcPr>
            <w:tcW w:w="160" w:type="dxa"/>
            <w:vAlign w:val="bottom"/>
          </w:tcPr>
          <w:p>
            <w:pPr>
              <w:spacing w:after="0"/>
              <w:rPr>
                <w:sz w:val="24"/>
                <w:szCs w:val="24"/>
                <w:color w:val="auto"/>
              </w:rPr>
            </w:pPr>
          </w:p>
        </w:tc>
        <w:tc>
          <w:tcPr>
            <w:tcW w:w="101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Settlement Agreement and Release, by and between the plaintiff to the shareholder action captioned O’Connor v. Braun, et al., N.J. Super.,</w:t>
              </w:r>
            </w:hyperlink>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Dkt. No. MERC-00068-19, William J. O’Connor, derivatively on behalf of Imunon, Inc. and individually on behalf of himself and all other</w:t>
              </w:r>
            </w:hyperlink>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similarly situated stockholders of Imunon, Inc. and defendants, incorporated herein by reference to Exhibit 10.2 to the Current Report on</w:t>
              </w:r>
            </w:hyperlink>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8-K of the Company, filed on June 16, 2020 (SEC File No. 001-15911).</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10.22</w:t>
            </w:r>
          </w:p>
        </w:tc>
        <w:tc>
          <w:tcPr>
            <w:tcW w:w="160" w:type="dxa"/>
            <w:vAlign w:val="bottom"/>
          </w:tcPr>
          <w:p>
            <w:pPr>
              <w:spacing w:after="0"/>
              <w:rPr>
                <w:sz w:val="24"/>
                <w:szCs w:val="24"/>
                <w:color w:val="auto"/>
              </w:rPr>
            </w:pPr>
          </w:p>
        </w:tc>
        <w:tc>
          <w:tcPr>
            <w:tcW w:w="101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Exercise Agreement, incorporated by reference to Exhibit 10.1 to the Current Report on Form 8-K of the Company, filed on March</w:t>
              </w:r>
            </w:hyperlink>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13, 2020 (SEC File No. 001-15911).</w:t>
              </w:r>
            </w:hyperlink>
          </w:p>
        </w:tc>
        <w:tc>
          <w:tcPr>
            <w:tcW w:w="7500" w:type="dxa"/>
            <w:vAlign w:val="bottom"/>
            <w:gridSpan w:val="7"/>
          </w:tcPr>
          <w:p>
            <w:pPr>
              <w:spacing w:after="0"/>
              <w:rPr>
                <w:sz w:val="17"/>
                <w:szCs w:val="17"/>
                <w:color w:val="auto"/>
              </w:rPr>
            </w:pPr>
          </w:p>
        </w:tc>
      </w:tr>
      <w:tr>
        <w:trPr>
          <w:trHeight w:val="41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10.23</w:t>
            </w:r>
          </w:p>
        </w:tc>
        <w:tc>
          <w:tcPr>
            <w:tcW w:w="160" w:type="dxa"/>
            <w:vAlign w:val="bottom"/>
          </w:tcPr>
          <w:p>
            <w:pPr>
              <w:spacing w:after="0"/>
              <w:rPr>
                <w:sz w:val="24"/>
                <w:szCs w:val="24"/>
                <w:color w:val="auto"/>
              </w:rPr>
            </w:pPr>
          </w:p>
        </w:tc>
        <w:tc>
          <w:tcPr>
            <w:tcW w:w="10120" w:type="dxa"/>
            <w:vAlign w:val="bottom"/>
            <w:gridSpan w:val="12"/>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At the Market Offering Agreement, dated May 25, 2022 by and between Celsion Corporation and H.C. Wainwright &amp; Co. LLC,</w:t>
              </w:r>
            </w:hyperlink>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9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incorporated by reference to Exhibit 10.1 to the Current Report on Form 8-K of the Company, filed on May 25, 2022, (SEC File NO. 001-</w:t>
              </w:r>
            </w:hyperlink>
          </w:p>
        </w:tc>
      </w:tr>
      <w:tr>
        <w:trPr>
          <w:trHeight w:val="196"/>
        </w:trPr>
        <w:tc>
          <w:tcPr>
            <w:tcW w:w="800" w:type="dxa"/>
            <w:vAlign w:val="bottom"/>
          </w:tcPr>
          <w:p>
            <w:pPr>
              <w:spacing w:after="0"/>
              <w:rPr>
                <w:sz w:val="17"/>
                <w:szCs w:val="17"/>
                <w:color w:val="auto"/>
              </w:rPr>
            </w:pPr>
          </w:p>
        </w:tc>
        <w:tc>
          <w:tcPr>
            <w:tcW w:w="700" w:type="dxa"/>
            <w:vAlign w:val="bottom"/>
            <w:gridSpan w:val="2"/>
          </w:tcPr>
          <w:p>
            <w:pPr>
              <w:ind w:left="160"/>
              <w:spacing w:after="0" w:line="196" w:lineRule="exact"/>
              <w:rPr>
                <w:rFonts w:ascii="Times New Roman" w:cs="Times New Roman" w:eastAsia="Times New Roman" w:hAnsi="Times New Roman"/>
                <w:sz w:val="18"/>
                <w:szCs w:val="18"/>
                <w:color w:val="0000EE"/>
                <w:w w:val="93"/>
              </w:rPr>
            </w:pPr>
            <w:hyperlink r:id="rId116">
              <w:r>
                <w:rPr>
                  <w:rFonts w:ascii="Times New Roman" w:cs="Times New Roman" w:eastAsia="Times New Roman" w:hAnsi="Times New Roman"/>
                  <w:sz w:val="18"/>
                  <w:szCs w:val="18"/>
                  <w:color w:val="0000EE"/>
                  <w:w w:val="93"/>
                </w:rPr>
                <w:t>15911).</w:t>
              </w:r>
            </w:hyperlink>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412"/>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4"/>
                <w:szCs w:val="24"/>
                <w:color w:val="auto"/>
              </w:rPr>
            </w:pPr>
          </w:p>
        </w:tc>
        <w:tc>
          <w:tcPr>
            <w:tcW w:w="2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Subsidiaries of Imunon, Inc.</w:t>
            </w:r>
          </w:p>
        </w:tc>
        <w:tc>
          <w:tcPr>
            <w:tcW w:w="8080" w:type="dxa"/>
            <w:vAlign w:val="bottom"/>
            <w:gridSpan w:val="9"/>
          </w:tcPr>
          <w:p>
            <w:pPr>
              <w:spacing w:after="0"/>
              <w:rPr>
                <w:sz w:val="24"/>
                <w:szCs w:val="24"/>
                <w:color w:val="auto"/>
              </w:rPr>
            </w:pPr>
          </w:p>
        </w:tc>
      </w:tr>
      <w:tr>
        <w:trPr>
          <w:trHeight w:val="412"/>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WithumSmith+Brown, PC, independent registered public accounting firm for the Company.</w:t>
            </w:r>
          </w:p>
        </w:tc>
      </w:tr>
      <w:tr>
        <w:trPr>
          <w:trHeight w:val="412"/>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74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c>
          <w:tcPr>
            <w:tcW w:w="2680" w:type="dxa"/>
            <w:vAlign w:val="bottom"/>
            <w:gridSpan w:val="2"/>
          </w:tcPr>
          <w:p>
            <w:pPr>
              <w:spacing w:after="0"/>
              <w:rPr>
                <w:sz w:val="24"/>
                <w:szCs w:val="24"/>
                <w:color w:val="auto"/>
              </w:rPr>
            </w:pPr>
          </w:p>
        </w:tc>
      </w:tr>
      <w:tr>
        <w:trPr>
          <w:trHeight w:val="412"/>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2900" w:type="dxa"/>
            <w:vAlign w:val="bottom"/>
            <w:gridSpan w:val="3"/>
          </w:tcPr>
          <w:p>
            <w:pPr>
              <w:spacing w:after="0"/>
              <w:rPr>
                <w:sz w:val="24"/>
                <w:szCs w:val="24"/>
                <w:color w:val="auto"/>
              </w:rPr>
            </w:pPr>
          </w:p>
        </w:tc>
      </w:tr>
      <w:tr>
        <w:trPr>
          <w:trHeight w:val="41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101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520" w:type="dxa"/>
            <w:vAlign w:val="bottom"/>
            <w:gridSpan w:val="10"/>
          </w:tcPr>
          <w:p>
            <w:pPr>
              <w:spacing w:after="0"/>
              <w:rPr>
                <w:sz w:val="17"/>
                <w:szCs w:val="17"/>
                <w:color w:val="auto"/>
              </w:rPr>
            </w:pPr>
          </w:p>
        </w:tc>
      </w:tr>
      <w:tr>
        <w:trPr>
          <w:trHeight w:val="41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101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520" w:type="dxa"/>
            <w:vAlign w:val="bottom"/>
            <w:gridSpan w:val="10"/>
          </w:tcPr>
          <w:p>
            <w:pPr>
              <w:spacing w:after="0"/>
              <w:rPr>
                <w:sz w:val="17"/>
                <w:szCs w:val="17"/>
                <w:color w:val="auto"/>
              </w:rPr>
            </w:pPr>
          </w:p>
        </w:tc>
      </w:tr>
      <w:tr>
        <w:trPr>
          <w:trHeight w:val="41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97+</w:t>
            </w:r>
          </w:p>
        </w:tc>
        <w:tc>
          <w:tcPr>
            <w:tcW w:w="160" w:type="dxa"/>
            <w:vAlign w:val="bottom"/>
          </w:tcPr>
          <w:p>
            <w:pPr>
              <w:spacing w:after="0"/>
              <w:rPr>
                <w:sz w:val="24"/>
                <w:szCs w:val="24"/>
                <w:color w:val="auto"/>
              </w:rPr>
            </w:pPr>
          </w:p>
        </w:tc>
        <w:tc>
          <w:tcPr>
            <w:tcW w:w="2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Compensation Recovery Policy</w:t>
            </w:r>
          </w:p>
        </w:tc>
        <w:tc>
          <w:tcPr>
            <w:tcW w:w="7840" w:type="dxa"/>
            <w:vAlign w:val="bottom"/>
            <w:gridSpan w:val="8"/>
          </w:tcPr>
          <w:p>
            <w:pPr>
              <w:spacing w:after="0"/>
              <w:rPr>
                <w:sz w:val="24"/>
                <w:szCs w:val="24"/>
                <w:color w:val="auto"/>
              </w:rPr>
            </w:pPr>
          </w:p>
        </w:tc>
      </w:tr>
      <w:tr>
        <w:trPr>
          <w:trHeight w:val="453"/>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101.INS</w:t>
            </w:r>
          </w:p>
        </w:tc>
        <w:tc>
          <w:tcPr>
            <w:tcW w:w="16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101.SCH</w:t>
            </w:r>
          </w:p>
        </w:tc>
        <w:tc>
          <w:tcPr>
            <w:tcW w:w="16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101.PRE</w:t>
            </w:r>
          </w:p>
        </w:tc>
        <w:tc>
          <w:tcPr>
            <w:tcW w:w="16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w:t>
            </w:r>
          </w:p>
        </w:tc>
        <w:tc>
          <w:tcPr>
            <w:tcW w:w="1028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The following materials from the Company’s Annual Report for the fiscal year ended December 31, 2023, formatted in XBRL (Extensible</w:t>
            </w:r>
          </w:p>
        </w:tc>
      </w:tr>
      <w:tr>
        <w:trPr>
          <w:trHeight w:val="216"/>
        </w:trPr>
        <w:tc>
          <w:tcPr>
            <w:tcW w:w="800" w:type="dxa"/>
            <w:vAlign w:val="bottom"/>
          </w:tcPr>
          <w:p>
            <w:pPr>
              <w:spacing w:after="0"/>
              <w:rPr>
                <w:sz w:val="18"/>
                <w:szCs w:val="18"/>
                <w:color w:val="auto"/>
              </w:rPr>
            </w:pPr>
          </w:p>
        </w:tc>
        <w:tc>
          <w:tcPr>
            <w:tcW w:w="1028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Business Reporting Language): (i) the audited Consolidated Balance Sheets, (ii) the audited Consolidated Statements of Operations, (iii) the</w:t>
            </w:r>
          </w:p>
        </w:tc>
      </w:tr>
      <w:tr>
        <w:trPr>
          <w:trHeight w:val="216"/>
        </w:trPr>
        <w:tc>
          <w:tcPr>
            <w:tcW w:w="800" w:type="dxa"/>
            <w:vAlign w:val="bottom"/>
          </w:tcPr>
          <w:p>
            <w:pPr>
              <w:spacing w:after="0"/>
              <w:rPr>
                <w:sz w:val="18"/>
                <w:szCs w:val="18"/>
                <w:color w:val="auto"/>
              </w:rPr>
            </w:pPr>
          </w:p>
        </w:tc>
        <w:tc>
          <w:tcPr>
            <w:tcW w:w="1028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audited Consolidated Statements of Comprehensive Loss, (iv) the audited Consolidated Statements of Cash Flows, (v) the audited</w:t>
            </w:r>
          </w:p>
        </w:tc>
      </w:tr>
      <w:tr>
        <w:trPr>
          <w:trHeight w:val="234"/>
        </w:trPr>
        <w:tc>
          <w:tcPr>
            <w:tcW w:w="800" w:type="dxa"/>
            <w:vAlign w:val="bottom"/>
          </w:tcPr>
          <w:p>
            <w:pPr>
              <w:spacing w:after="0"/>
              <w:rPr>
                <w:sz w:val="20"/>
                <w:szCs w:val="20"/>
                <w:color w:val="auto"/>
              </w:rPr>
            </w:pPr>
          </w:p>
        </w:tc>
        <w:tc>
          <w:tcPr>
            <w:tcW w:w="1028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and (vi) Notes to Financial Statements.</w:t>
            </w:r>
          </w:p>
        </w:tc>
      </w:tr>
    </w:tbl>
    <w:p>
      <w:pPr>
        <w:spacing w:after="0" w:line="198" w:lineRule="exact"/>
        <w:rPr>
          <w:sz w:val="20"/>
          <w:szCs w:val="20"/>
          <w:color w:val="auto"/>
        </w:rPr>
      </w:pPr>
    </w:p>
    <w:p>
      <w:pPr>
        <w:ind w:left="1100" w:hanging="651"/>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request for confidential treatment under Rule 24b-2 of the Securities Exchange Act</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of 1934, amended, and the omitted material has been separately filed with the Securities and Exchange Commission.</w:t>
      </w:r>
    </w:p>
    <w:p>
      <w:pPr>
        <w:spacing w:after="0" w:line="9" w:lineRule="exact"/>
        <w:rPr>
          <w:sz w:val="20"/>
          <w:szCs w:val="20"/>
          <w:color w:val="auto"/>
        </w:rPr>
      </w:pPr>
    </w:p>
    <w:p>
      <w:pPr>
        <w:ind w:left="1100" w:hanging="657"/>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1100" w:hanging="64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100" w:hanging="696"/>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9" w:lineRule="exact"/>
        <w:rPr>
          <w:sz w:val="20"/>
          <w:szCs w:val="20"/>
          <w:color w:val="auto"/>
        </w:rPr>
      </w:pPr>
    </w:p>
    <w:p>
      <w:pPr>
        <w:ind w:left="1100" w:hanging="741"/>
        <w:spacing w:after="0"/>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7">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688" w:right="339" w:bottom="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IMUNON, INC.</w:t>
            </w:r>
          </w:p>
        </w:tc>
      </w:tr>
      <w:tr>
        <w:trPr>
          <w:trHeight w:val="234"/>
        </w:trPr>
        <w:tc>
          <w:tcPr>
            <w:tcW w:w="340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Registrant</w:t>
            </w:r>
          </w:p>
        </w:tc>
      </w:tr>
      <w:tr>
        <w:trPr>
          <w:trHeight w:val="43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28, 2024</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H. Tardugno</w:t>
            </w:r>
          </w:p>
        </w:tc>
      </w:tr>
      <w:tr>
        <w:trPr>
          <w:trHeight w:val="198"/>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Michael H. Tardugno</w:t>
            </w:r>
          </w:p>
        </w:tc>
      </w:tr>
      <w:tr>
        <w:trPr>
          <w:trHeight w:val="234"/>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2"/>
                <w:szCs w:val="22"/>
                <w:color w:val="auto"/>
              </w:rPr>
            </w:pPr>
          </w:p>
        </w:tc>
        <w:tc>
          <w:tcPr>
            <w:tcW w:w="42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2"/>
                <w:szCs w:val="22"/>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H. TARDUGNO</w:t>
            </w:r>
          </w:p>
        </w:tc>
        <w:tc>
          <w:tcPr>
            <w:tcW w:w="2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(Michael H. Tardugno)</w:t>
            </w: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JEFFREY W. CHURCH</w:t>
            </w:r>
          </w:p>
        </w:tc>
        <w:tc>
          <w:tcPr>
            <w:tcW w:w="2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(Jeffrey W. Church)</w:t>
            </w:r>
          </w:p>
        </w:tc>
        <w:tc>
          <w:tcPr>
            <w:tcW w:w="22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29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KIMBERLY A. GRAPER</w:t>
            </w:r>
          </w:p>
        </w:tc>
        <w:tc>
          <w:tcPr>
            <w:tcW w:w="2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of Finance &amp; Controller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(Kimberly A. Graper)</w:t>
            </w: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FREDERICK J. FRITZ</w:t>
            </w:r>
          </w:p>
        </w:tc>
        <w:tc>
          <w:tcPr>
            <w:tcW w:w="2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(Frederick J. Fritz)</w:t>
            </w: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E. DENTZER</w:t>
            </w:r>
          </w:p>
        </w:tc>
        <w:tc>
          <w:tcPr>
            <w:tcW w:w="2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(James E. Dentzer)</w:t>
            </w: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DONALD BRAUN</w:t>
            </w:r>
          </w:p>
        </w:tc>
        <w:tc>
          <w:tcPr>
            <w:tcW w:w="2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(Donald Braun, Ph.D.)</w:t>
            </w: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CHRISTINE PELLIZZARI</w:t>
            </w:r>
          </w:p>
        </w:tc>
        <w:tc>
          <w:tcPr>
            <w:tcW w:w="2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Christine A. Pellizzari)</w:t>
            </w: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1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STACY R. LINDBORG</w:t>
            </w:r>
          </w:p>
        </w:tc>
        <w:tc>
          <w:tcPr>
            <w:tcW w:w="2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 Stacy R Lindborg)</w:t>
            </w: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19"/>
        </w:trPr>
        <w:tc>
          <w:tcPr>
            <w:tcW w:w="36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jc w:val="right"/>
              <w:ind w:right="229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Imunon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Imunon Inc. as of December 31, 2023 and 2022, and the related consolidated statements of operations, comprehensive loss, changes in stockholders’ equity, and cash flows for each of the two years in the period ended December 31, 2023, and the related notes (collectively referred to as the “financial statements”). In our opinion, the consolidated financial statements present fairly, in all material respects, the financial position of Imunon Inc.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Regarding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entity will continue as a going concern. As discussed in Note 2 to the consolidated financial statements, the entity has suffered recurring losses from operations, has experienced cash used from operations, and has an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Imunon Inc.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Imunon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 Evaluation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further in Note 2 to the consolidated financial statements, the Company has suffered recurring losses from operations, has an accumulated deficit, and expects its operating losses to continue for the foreseeable future. Accordingly, the Company has determined that these factors raise substantial doubt as to the Company’s ability to continue as a going concern for a period of one year from the issuance of these financial statements. Management intends to seek opportunities to fund its business by way of public or private offerings of the Company’s stock in order to satisfy the Company’s obligations as they come due for at least one year from the consolidated financial statement issuance date. Further, there is no guarantee that the Company will be successful in these endeavors.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Auditing management’s conclusions about whether there are conditions and events that raise substantial doubt about the entity’s ability to continue as a going concern within one year after the consolidated financial statements are issued is subjective and requires especially challenging auditor judgment.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obtained an understanding of controls over the Company’s process for determining their ability to continue as a going concern. We determined the Company’s ability to continue as a going concern is a critical audit matter due to the estimation and uncertainty regarding the Company’s available capital and the risk of bias in management’s judgments and assumptions in their determination. Our audit procedures related to considering whether the results of our audit procedures, when considered in the aggregate, indicate whether there is substantial doubt about the Company’s ability to continue as a going concern for reasonable period of time included the following procedures, among other procedures:</w:t>
      </w:r>
    </w:p>
    <w:p>
      <w:pPr>
        <w:spacing w:after="0" w:line="183"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financial condition of the Company, including liquidity sources as of the date of the auditor’s opinion (the “assessment date”).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and evaluating underlying evidence with respect to this assessment date evaluation.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conditional and unconditional obligations due or anticipated to become due during the period of 12 months from the date of the filing of these financial statements (the “look forward period”) and examining and evaluating underlying evidence with respect to this evaluation.</w:t>
      </w:r>
    </w:p>
    <w:p>
      <w:pPr>
        <w:ind w:left="660" w:hanging="328"/>
        <w:spacing w:after="0" w:line="25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assessment of its cash flows during the look forward period and examining and evaluating underlying evidence with respect to this evaluation.</w:t>
      </w:r>
    </w:p>
    <w:p>
      <w:pPr>
        <w:ind w:left="660" w:hanging="328"/>
        <w:spacing w:after="0" w:line="25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of Company management as to whether there are any other adverse conditions or events which could raise substantial doubt regarding the Company’s ability to continue as a going concern and evaluating such events, as applicable.</w:t>
      </w:r>
    </w:p>
    <w:p>
      <w:pPr>
        <w:ind w:left="660" w:hanging="328"/>
        <w:spacing w:after="0" w:line="25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 assessment regarding management’s plans to alleviate substantial doubt regarding the Company’s ability to continue as a going concern and examining and evaluating underlying evidence with respect to this assessment, as applicable.</w:t>
      </w:r>
    </w:p>
    <w:p>
      <w:pPr>
        <w:ind w:left="660" w:right="20" w:hanging="328"/>
        <w:spacing w:after="0" w:line="260"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adequacy of the Company’s financial statements disclosures regarding liquidity and going concern to determine in which such disclosures were in accordance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WithumSmith+Brown, PC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WithumSmith+Brown, PC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Imunon Inc.’s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6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5,838,566</w:t>
            </w: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11,492,841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debt securities - available for sale, at fair value</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9,857,087</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21,254,485</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128,932</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 restricted cash</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r>
      <w:tr>
        <w:trPr>
          <w:trHeight w:val="24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3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2,545,051</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2,403,433</w:t>
            </w:r>
          </w:p>
        </w:tc>
      </w:tr>
      <w:tr>
        <w:trPr>
          <w:trHeight w:val="210"/>
        </w:trPr>
        <w:tc>
          <w:tcPr>
            <w:tcW w:w="66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18,240,704</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36,779,691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751,906</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548,301</w:t>
            </w:r>
          </w:p>
        </w:tc>
      </w:tr>
      <w:tr>
        <w:trPr>
          <w:trHeight w:val="216"/>
        </w:trPr>
        <w:tc>
          <w:tcPr>
            <w:tcW w:w="6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investments, restricted cash</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4,500,000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1,280,385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1,567,026</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1,595,074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155,876</w:t>
            </w:r>
          </w:p>
        </w:tc>
      </w:tr>
      <w:tr>
        <w:trPr>
          <w:trHeight w:val="23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425,000</w:t>
            </w:r>
          </w:p>
        </w:tc>
      </w:tr>
      <w:tr>
        <w:trPr>
          <w:trHeight w:val="223"/>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2,925,459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6,647,902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21,918,069</w:t>
            </w: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43,975,894</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060" w:type="dxa"/>
            <w:vAlign w:val="bottom"/>
            <w:gridSpan w:val="5"/>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64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7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3,515,192</w:t>
            </w:r>
          </w:p>
        </w:tc>
        <w:tc>
          <w:tcPr>
            <w:tcW w:w="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3,586,623</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3,390,521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4,794,936</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current portion, net of deferred financing costs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1,424,774</w:t>
            </w: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485,421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230,749</w:t>
            </w: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7,391,134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10,037,082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non-current portion, net of deferred financing costs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4,610,946</w:t>
            </w: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1,139,293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8,530,427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14,648,028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 and 2022)</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9,399,811 and 7,436,219</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at December 31, 2023 and 2022, respectively, and 9,399,789 and 7,436,197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December 31, 2023 and 2022, respectively)</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93,998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74,362</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401,500,838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397,980,023</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60,796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26,494</w:t>
            </w: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(388,182,802)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(368,667,825)</w:t>
            </w: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13,472,830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29,413,054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(22 shares at December 31, 2023 and 2022)</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67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13,387,642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29,327,866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21,918,069</w:t>
            </w:r>
          </w:p>
        </w:tc>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43,975,894</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100" w:type="dxa"/>
            <w:vAlign w:val="bottom"/>
            <w:gridSpan w:val="5"/>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76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5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 revenue</w:t>
            </w: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2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11,287,691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11,733,666</w:t>
            </w:r>
          </w:p>
        </w:tc>
      </w:tr>
      <w:tr>
        <w:trPr>
          <w:trHeight w:val="24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9,742,739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13,687,899</w:t>
            </w:r>
          </w:p>
        </w:tc>
      </w:tr>
      <w:tr>
        <w:trPr>
          <w:trHeight w:val="210"/>
        </w:trPr>
        <w:tc>
          <w:tcPr>
            <w:tcW w:w="52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21,030,430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25,421,565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(21,030,430)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(24,921,565)</w:t>
            </w:r>
          </w:p>
        </w:tc>
      </w:tr>
      <w:tr>
        <w:trPr>
          <w:trHeight w:val="216"/>
        </w:trPr>
        <w:tc>
          <w:tcPr>
            <w:tcW w:w="52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change in earn-out milestone liability</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5,396,000</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(329,158)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1,157,625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453,356</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(197,080)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(5,028,618)</w:t>
            </w:r>
          </w:p>
        </w:tc>
      </w:tr>
      <w:tr>
        <w:trPr>
          <w:trHeight w:val="23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w:t>
            </w: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(396,319)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1,801</w:t>
            </w:r>
          </w:p>
        </w:tc>
      </w:tr>
      <w:tr>
        <w:trPr>
          <w:trHeight w:val="223"/>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(12,543,695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(20,795,362)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(37,465,260)</w:t>
            </w:r>
          </w:p>
        </w:tc>
      </w:tr>
      <w:tr>
        <w:trPr>
          <w:trHeight w:val="216"/>
        </w:trPr>
        <w:tc>
          <w:tcPr>
            <w:tcW w:w="5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1,280,385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1,567,026</w:t>
            </w:r>
          </w:p>
        </w:tc>
      </w:tr>
      <w:tr>
        <w:trPr>
          <w:trHeight w:val="216"/>
        </w:trPr>
        <w:tc>
          <w:tcPr>
            <w:tcW w:w="52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(19,514,977)</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(35,898,234)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 basic and diluted</w:t>
            </w: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(2.16)</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 - basic and diluted</w:t>
            </w:r>
          </w:p>
        </w:tc>
        <w:tc>
          <w:tcPr>
            <w:tcW w:w="1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9,045,320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7,142,970</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660"/>
              <w:spacing w:after="0"/>
              <w:rPr>
                <w:sz w:val="20"/>
                <w:szCs w:val="20"/>
                <w:color w:val="auto"/>
              </w:rPr>
            </w:pPr>
            <w:r>
              <w:rPr>
                <w:rFonts w:ascii="Times New Roman" w:cs="Times New Roman" w:eastAsia="Times New Roman" w:hAnsi="Times New Roman"/>
                <w:sz w:val="18"/>
                <w:szCs w:val="18"/>
                <w:color w:val="auto"/>
              </w:rPr>
              <w:t>F-5</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63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on investment securities recognized in investment income, net</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431,801</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49,222</w:t>
            </w:r>
          </w:p>
        </w:tc>
      </w:tr>
      <w:tr>
        <w:trPr>
          <w:trHeight w:val="23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on investment securities, net</w:t>
            </w: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(397,499)</w:t>
            </w: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(14,754)</w:t>
            </w:r>
          </w:p>
        </w:tc>
      </w:tr>
      <w:tr>
        <w:trPr>
          <w:trHeight w:val="216"/>
        </w:trPr>
        <w:tc>
          <w:tcPr>
            <w:tcW w:w="63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realized and unrealized gains on available for sale securities, net</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34,302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34,468</w:t>
            </w:r>
          </w:p>
        </w:tc>
      </w:tr>
      <w:tr>
        <w:trPr>
          <w:trHeight w:val="216"/>
        </w:trPr>
        <w:tc>
          <w:tcPr>
            <w:tcW w:w="6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(19,514,977)</w:t>
            </w: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(35,898,234)</w:t>
            </w:r>
          </w:p>
        </w:tc>
      </w:tr>
      <w:tr>
        <w:trPr>
          <w:trHeight w:val="216"/>
        </w:trPr>
        <w:tc>
          <w:tcPr>
            <w:tcW w:w="63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6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(19,480,675)   $</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(35,863,766)</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660" w:type="dxa"/>
            <w:vAlign w:val="bottom"/>
            <w:gridSpan w:val="6"/>
          </w:tcPr>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3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F-6</w:t>
            </w: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67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(19,514,977)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(35,898,234)</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248,154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196,510</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471,851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535,119</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and unrealized losses, net, on investment securities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34,302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34,468</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earn-out milestone liability</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(5,396,000)</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759,013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2,673,047</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 of deferred income tax asset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286,641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(183,580)</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329,158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Write-off of note receivable (Transomic)</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in-process research and development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13,366,234</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finance charges and debt discount associated with note payable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55,122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181,259</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receivable on investment securities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68,136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(20,088)</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(141,619)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43,980</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(241,511)</w:t>
            </w:r>
          </w:p>
        </w:tc>
      </w:tr>
      <w:tr>
        <w:trPr>
          <w:trHeight w:val="25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(1,992,929)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2,111,901</w:t>
            </w:r>
          </w:p>
        </w:tc>
      </w:tr>
      <w:tr>
        <w:trPr>
          <w:trHeight w:val="210"/>
        </w:trPr>
        <w:tc>
          <w:tcPr>
            <w:tcW w:w="67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(19,022,148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(23,096,895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(13,541,806)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(48,226,390)</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25,000,000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56,775,000</w:t>
            </w:r>
          </w:p>
        </w:tc>
      </w:tr>
      <w:tr>
        <w:trPr>
          <w:trHeight w:val="25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(451,759)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(267,800)</w:t>
            </w:r>
          </w:p>
        </w:tc>
      </w:tr>
      <w:tr>
        <w:trPr>
          <w:trHeight w:val="210"/>
        </w:trPr>
        <w:tc>
          <w:tcPr>
            <w:tcW w:w="67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28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11,006,435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8,280,810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redeemable convertible preferred stock offering</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28,500,000</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Payment upon redemption of redeemable convertible preferred stock</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(28,500,000)</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2,781,438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6,722,654</w:t>
            </w:r>
          </w:p>
        </w:tc>
      </w:tr>
      <w:tr>
        <w:trPr>
          <w:trHeight w:val="237"/>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Payoff of the SVB loan and accrued end-of-term fees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(6,420,000)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(3,638,562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6,722,654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(11,654,275)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(8,093,431)</w:t>
            </w:r>
          </w:p>
        </w:tc>
      </w:tr>
      <w:tr>
        <w:trPr>
          <w:trHeight w:val="23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year</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17,492,841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25,586,272</w:t>
            </w:r>
          </w:p>
        </w:tc>
      </w:tr>
      <w:tr>
        <w:trPr>
          <w:trHeight w:val="23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5,838,566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17,492,841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6"/>
        </w:trPr>
        <w:tc>
          <w:tcPr>
            <w:tcW w:w="542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2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36"/>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4,847,359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21"/>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right of use asset and liability</w:t>
            </w:r>
          </w:p>
        </w:tc>
        <w:tc>
          <w:tcPr>
            <w:tcW w:w="2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1,911,049</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7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Compr.</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3460" w:type="dxa"/>
            <w:vAlign w:val="bottom"/>
          </w:tcPr>
          <w:p>
            <w:pPr>
              <w:spacing w:after="0"/>
              <w:rPr>
                <w:sz w:val="22"/>
                <w:szCs w:val="22"/>
                <w:color w:val="auto"/>
              </w:rPr>
            </w:pPr>
          </w:p>
        </w:tc>
        <w:tc>
          <w:tcPr>
            <w:tcW w:w="17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22"/>
                <w:szCs w:val="22"/>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5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22"/>
                <w:szCs w:val="2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3460" w:type="dxa"/>
            <w:vAlign w:val="bottom"/>
          </w:tcPr>
          <w:p>
            <w:pPr>
              <w:spacing w:after="0"/>
              <w:rPr>
                <w:sz w:val="20"/>
                <w:szCs w:val="20"/>
                <w:color w:val="auto"/>
              </w:rPr>
            </w:pPr>
          </w:p>
        </w:tc>
        <w:tc>
          <w:tcPr>
            <w:tcW w:w="9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4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7,436,219</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$ 74,362</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$ 397,980,023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(85,188)</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$ 26,494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 (368,667,825)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29,327,866</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(19,514,977)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(19,514,977)</w:t>
            </w:r>
          </w:p>
        </w:tc>
      </w:tr>
      <w:tr>
        <w:trPr>
          <w:trHeight w:val="216"/>
        </w:trPr>
        <w:tc>
          <w:tcPr>
            <w:tcW w:w="3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 financing</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1,904,142</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19,041</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2,762,397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2,781,438</w:t>
            </w:r>
          </w:p>
        </w:tc>
        <w:tc>
          <w:tcPr>
            <w:tcW w:w="100" w:type="dxa"/>
            <w:vAlign w:val="bottom"/>
            <w:shd w:val="clear" w:color="auto" w:fill="CCEEFF"/>
          </w:tcPr>
          <w:p>
            <w:pPr>
              <w:spacing w:after="0"/>
              <w:rPr>
                <w:sz w:val="20"/>
                <w:szCs w:val="20"/>
                <w:color w:val="auto"/>
              </w:rPr>
            </w:pPr>
          </w:p>
        </w:tc>
      </w:tr>
      <w:tr>
        <w:trPr>
          <w:trHeight w:val="216"/>
        </w:trPr>
        <w:tc>
          <w:tcPr>
            <w:tcW w:w="3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options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59,450</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0"/>
                <w:szCs w:val="20"/>
                <w:color w:val="auto"/>
              </w:rPr>
            </w:pPr>
          </w:p>
        </w:tc>
      </w:tr>
      <w:tr>
        <w:trPr>
          <w:trHeight w:val="216"/>
        </w:trPr>
        <w:tc>
          <w:tcPr>
            <w:tcW w:w="3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 net, 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34,302</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34,302</w:t>
            </w:r>
          </w:p>
        </w:tc>
        <w:tc>
          <w:tcPr>
            <w:tcW w:w="100" w:type="dxa"/>
            <w:vAlign w:val="bottom"/>
            <w:shd w:val="clear" w:color="auto" w:fill="CCEEFF"/>
          </w:tcPr>
          <w:p>
            <w:pPr>
              <w:spacing w:after="0"/>
              <w:rPr>
                <w:sz w:val="20"/>
                <w:szCs w:val="20"/>
                <w:color w:val="auto"/>
              </w:rPr>
            </w:pPr>
          </w:p>
        </w:tc>
      </w:tr>
      <w:tr>
        <w:trPr>
          <w:trHeight w:val="216"/>
        </w:trPr>
        <w:tc>
          <w:tcPr>
            <w:tcW w:w="3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758,418</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758,418</w:t>
            </w:r>
          </w:p>
        </w:tc>
        <w:tc>
          <w:tcPr>
            <w:tcW w:w="100" w:type="dxa"/>
            <w:vAlign w:val="bottom"/>
            <w:shd w:val="clear" w:color="auto" w:fill="CCEEFF"/>
          </w:tcPr>
          <w:p>
            <w:pPr>
              <w:spacing w:after="0"/>
              <w:rPr>
                <w:sz w:val="19"/>
                <w:szCs w:val="19"/>
                <w:color w:val="auto"/>
              </w:rPr>
            </w:pPr>
          </w:p>
        </w:tc>
      </w:tr>
      <w:tr>
        <w:trPr>
          <w:trHeight w:val="27"/>
        </w:trPr>
        <w:tc>
          <w:tcPr>
            <w:tcW w:w="346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67"/>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line="167" w:lineRule="exact"/>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65"/>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9,399,811</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$ 93,998</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401,500,838</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(85,188)</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60,796</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 (388,182,802)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13,387,642</w:t>
            </w:r>
          </w:p>
        </w:tc>
        <w:tc>
          <w:tcPr>
            <w:tcW w:w="100" w:type="dxa"/>
            <w:vAlign w:val="bottom"/>
          </w:tcPr>
          <w:p>
            <w:pPr>
              <w:spacing w:after="0"/>
              <w:rPr>
                <w:sz w:val="23"/>
                <w:szCs w:val="23"/>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9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Series A &amp; B</w:t>
            </w:r>
          </w:p>
        </w:tc>
        <w:tc>
          <w:tcPr>
            <w:tcW w:w="16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Compr.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9"/>
        </w:trPr>
        <w:tc>
          <w:tcPr>
            <w:tcW w:w="1840" w:type="dxa"/>
            <w:vAlign w:val="bottom"/>
          </w:tcPr>
          <w:p>
            <w:pPr>
              <w:spacing w:after="0"/>
              <w:rPr>
                <w:sz w:val="22"/>
                <w:szCs w:val="22"/>
                <w:color w:val="auto"/>
              </w:rPr>
            </w:pPr>
          </w:p>
        </w:tc>
        <w:tc>
          <w:tcPr>
            <w:tcW w:w="198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6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22"/>
                <w:szCs w:val="22"/>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1840" w:type="dxa"/>
            <w:vAlign w:val="bottom"/>
          </w:tcPr>
          <w:p>
            <w:pPr>
              <w:spacing w:after="0"/>
              <w:rPr>
                <w:sz w:val="20"/>
                <w:szCs w:val="20"/>
                <w:color w:val="auto"/>
              </w:rPr>
            </w:pPr>
          </w:p>
        </w:tc>
        <w:tc>
          <w:tcPr>
            <w:tcW w:w="8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90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8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5,770,516</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$ 57,705</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$ 388,600,979</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 (85,188)</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 (7,974)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 (332,769,591)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55,795,931</w:t>
            </w:r>
          </w:p>
        </w:tc>
        <w:tc>
          <w:tcPr>
            <w:tcW w:w="80" w:type="dxa"/>
            <w:vAlign w:val="bottom"/>
            <w:shd w:val="clear" w:color="auto" w:fill="CCEEFF"/>
          </w:tcPr>
          <w:p>
            <w:pPr>
              <w:spacing w:after="0"/>
              <w:rPr>
                <w:sz w:val="20"/>
                <w:szCs w:val="20"/>
                <w:color w:val="auto"/>
              </w:rPr>
            </w:pP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(35,898,234)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(35,898,234)</w:t>
            </w: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reverse stock</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split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preferred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upon financing</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28,500,000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28500,000</w:t>
            </w:r>
          </w:p>
        </w:tc>
        <w:tc>
          <w:tcPr>
            <w:tcW w:w="80" w:type="dxa"/>
            <w:vAlign w:val="bottom"/>
            <w:shd w:val="clear" w:color="auto" w:fill="CCEEFF"/>
          </w:tcPr>
          <w:p>
            <w:pPr>
              <w:spacing w:after="0"/>
              <w:rPr>
                <w:sz w:val="20"/>
                <w:szCs w:val="20"/>
                <w:color w:val="auto"/>
              </w:rPr>
            </w:pP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Redemption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(28,500,000)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(28,500,000)</w:t>
            </w: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financing</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1,664,349</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16,644</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6,706,010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6,722,654</w:t>
            </w:r>
          </w:p>
        </w:tc>
        <w:tc>
          <w:tcPr>
            <w:tcW w:w="80" w:type="dxa"/>
            <w:vAlign w:val="bottom"/>
            <w:shd w:val="clear" w:color="auto" w:fill="CCEEFF"/>
          </w:tcPr>
          <w:p>
            <w:pPr>
              <w:spacing w:after="0"/>
              <w:rPr>
                <w:sz w:val="20"/>
                <w:szCs w:val="20"/>
                <w:color w:val="auto"/>
              </w:rPr>
            </w:pP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for restricted</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net, on</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34,468</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w:t>
            </w:r>
          </w:p>
        </w:tc>
        <w:tc>
          <w:tcPr>
            <w:tcW w:w="80" w:type="dxa"/>
            <w:vAlign w:val="bottom"/>
            <w:shd w:val="clear" w:color="auto" w:fill="CCEEFF"/>
          </w:tcPr>
          <w:p>
            <w:pPr>
              <w:spacing w:after="0"/>
              <w:rPr>
                <w:sz w:val="20"/>
                <w:szCs w:val="20"/>
                <w:color w:val="auto"/>
              </w:rPr>
            </w:pP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2,673,034</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2,673,034</w:t>
            </w:r>
          </w:p>
        </w:tc>
        <w:tc>
          <w:tcPr>
            <w:tcW w:w="80" w:type="dxa"/>
            <w:vAlign w:val="bottom"/>
            <w:shd w:val="clear" w:color="auto" w:fill="CCEEFF"/>
          </w:tcPr>
          <w:p>
            <w:pPr>
              <w:spacing w:after="0"/>
              <w:rPr>
                <w:sz w:val="23"/>
                <w:szCs w:val="23"/>
                <w:color w:val="auto"/>
              </w:rPr>
            </w:pPr>
          </w:p>
        </w:tc>
      </w:tr>
      <w:tr>
        <w:trPr>
          <w:trHeight w:val="167"/>
        </w:trPr>
        <w:tc>
          <w:tcPr>
            <w:tcW w:w="184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65"/>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7,436,219</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$ 74,362</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397,980,023</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(85,188)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26,494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 (368,667,825)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29,327,866</w:t>
            </w:r>
          </w:p>
        </w:tc>
        <w:tc>
          <w:tcPr>
            <w:tcW w:w="80" w:type="dxa"/>
            <w:vAlign w:val="bottom"/>
          </w:tcPr>
          <w:p>
            <w:pPr>
              <w:spacing w:after="0"/>
              <w:rPr>
                <w:sz w:val="23"/>
                <w:szCs w:val="23"/>
                <w:color w:val="auto"/>
              </w:rPr>
            </w:pPr>
          </w:p>
        </w:tc>
      </w:tr>
      <w:tr>
        <w:trPr>
          <w:trHeight w:val="20"/>
        </w:trPr>
        <w:tc>
          <w:tcPr>
            <w:tcW w:w="1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19, 2022, Celsion Corporation announced a corporate name change to Imunon, Inc. (“Imunon” or the “Company”) reflecting the evolution of the Company’s business focus and its commitment to developing cutting-edge immunotherapies and next-generation vaccines to treat cancer and infectious diseases. The Company’s common stock continues to trade on the Nasdaq Stock Market under the ticker symbol “IMNN.”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is a fully integrated, clinical-stage biotechnology company focused on advancing a portfolio of innovative treatments that harness the body’s natural mechanisms to generate safe, effective and durable responses across a broad array of human diseases, constituting a differentiating approach from</w:t>
      </w:r>
    </w:p>
    <w:p>
      <w:pPr>
        <w:jc w:val="both"/>
        <w:spacing w:after="0" w:line="209" w:lineRule="auto"/>
        <w:rPr>
          <w:sz w:val="20"/>
          <w:szCs w:val="20"/>
          <w:color w:val="auto"/>
        </w:rPr>
      </w:pPr>
      <w:r>
        <w:rPr>
          <w:rFonts w:ascii="Times New Roman" w:cs="Times New Roman" w:eastAsia="Times New Roman" w:hAnsi="Times New Roman"/>
          <w:sz w:val="18"/>
          <w:szCs w:val="18"/>
          <w:color w:val="auto"/>
        </w:rPr>
        <w:t>conventional therapies. Imunon is developing its non-viral DNA technology across four modalities. The first modality, TheraPlas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developed for the coding of proteins and cytokines in the treatment of solid tumors where an immunological approach is deemed promising. The second modality,</w:t>
      </w:r>
    </w:p>
    <w:p>
      <w:pPr>
        <w:spacing w:after="0" w:line="2"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PlaCCine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developed for the coding of viral antigens that can elicit a strong immunological response. This technology may represent a promising platform for the development of vaccines in infectious diseases. The third modality, FixPlas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concerns the application of Imunon’s DNA technology to</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produce universal cancer vaccines, also called tumor associated antigen cancer vaccines. The fourth modality, IndiPlas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in the discovery phase and will focus on the development of personalized cancer vaccines, or neoepitope cancer vaccines.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currently in Phase 2 development. IMNN-001 works by instructing the body to produce safe and durable levels of powerful cancer-fighting molecules, such as interleukin-12 and interferon gamma, at the tumor site. Additionally, the Company is conducting IND-enabling preclinical studies for the development of a COVID-19 booster vaccine (IMNN-101) and a treatment for the Lassa virus (IMNN-102). The Company has also initiated preclinical work to develop a Trp2 tumor associated antigen cancer vaccine in melanoma (IMNN-201). Imunon will continue to leverage these modalities and to advance the technological frontier of plasmid DNA to better serve patients with difficult-to-treat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(“Financial Statements”) of Imunon have been prepared in accordance with accounting principles generally accepted in the United States of America (“GAAP”) and include the accounts of the Company and CLSN Laboratories, Inc. The Company in 2023 dissolved Celsion GmbH. All significant intercompany balances and transactions have been eliminated in consolidation.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Events and conditions arising subsequent to the most recent balance sheet date through the date of the issuance of these Financial Statements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its estimates using historical experience and other factors, including the current economic environment. Significant items subject to such estimates are assumptions used for purposes of determining stock-based compensation, the fair value of the earn-out milestone liabilities, estimates for contingent liabilities, if any, and accounting for impairment of in-process research and development assets. Management believes its estimates to be reasonable under the circumstances. Actual results could differ significantly from those estimates.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sole revenue stream was related to the Hisun agreement described in Note 18, and whose contract has expired. There were no accounts receivable as of December 31, 2023 and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investments purchased with an original maturity of three months or less. A portion of these funds are not covered by FDIC insurance.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financial instruments approximate their respective fair values. Management believes that the carrying amounts of the Company’s financial instruments, including cash and cash equivalents and accounts payable approximate fair value due to the short-term nature of those instruments. Short-term investments are recorded at their estimated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classifies its investments in debt securities with readily determinable fair values as investments available-for-sale in accordance with Accounting Standards Codification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Available-for-sale securities consist of debt securities not classified as trading securities or as securities to be held to maturity. The Company has classified all of its investments as available-for-sale. Unrealized holding gains and losses on available-for-sale securities are reported as a net amount in accumulated other comprehensive gain or loss in stockholders’ equity until realized. Gains and losses on the sale of available-for-sale securities are determined using the specific identification method. The Company’s short-term investments consist of corporate bonds.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provided over the estimated useful lives of the related assets, ranging from three to seven years, using the straight-line method. Amortization is recognized over the lesser of the life of the asset or the lease term. Major renewals and improvements are capitalized at cost and ordinary repairs and maintenance are charged against operating expenses as incurred. Depreciation expense was approximately $248,000 and $197,000 for the years ended December 31, 2023 and 2022,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 There was no impairment of property or equipment during 2023 or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include real property security deposits and other deposits which are contractually required and of a long-term nature.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In-Process Research and Development, Other Intangible Assets and Goodwill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2014, the Company acquired certain assets of EGEN, Inc. As more fully described in Note 6,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color w:val="auto"/>
        </w:rPr>
        <w:t>Impairment or Disposal of Long-Lived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impairment of its long-lived assets under accounting standards for the impairment or disposal of long-lived assets whenever events or changes in circumstances indicate that the carrying value may not be recoverable. For long-lived assets to be held and used, the Company recognizes an impairment loss only if its carrying amount is not recoverable through its undiscounted cash flows and measures the impairment loss based on the difference between the carrying amount and fair value. See Note 5 for information on impairment losses of its in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process research and development.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establishes standards for the reporting and display of comprehensive income (loss) and its components in the Company’s consolidated financial statements. The objective of ASC 220 is to report a measure of comprehensive income (loss) of all changes in equity of an enterprise that result from transactions and other economic events in a period other than transactions with owners. Comprehensive gains (losses) result from changes in unrealized gains and losses from investment in debt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Equipment and facilities acquired for research and development activities that have alternative future uses are capitalized and charged to expense over their estimated useful lives.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 of Common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the total number of shares of common stock issuable upon exercise of warrants and equity awards was 1,255,642 and 988,389, respectively. For the years ended December 31, 2023 and 2022, diluted loss per common share is the same as basic loss per common share as all options and all other warrants that were convertible into shares of the Company’s common stock were excluded from the calculation of diluted earnings attributable to common stockholders per common share as their effect would be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rate change occurs. Valuation allowances are established, when necessary, to reduce deferred tax assets to the amount expected to be realized.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 tax position is recognized as a benefit only if it is “more likely than not” that the tax position taken would be sustained in a tax examination, presuming that a tax examination will occur. The Company recognizes interest and/or penalties related to income tax matters in the income tax expense category.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more fully discussed in Note 10, on November 28, 2023, the Company received approval from the New Jersey Economic Development Authority to sell $1.3 million of its New Jersey net operating losses (“NOLs”), recognizing a tax benefit for the year ended December 31, 2023 for the net proceeds (approximately $1.3 million) by reducing the net operating loss valuation allowance. As more fully discussed in Note 10, on November 28, 2023, the Company was notified by the New Jersey Economic Development Authority that its application was approved and the Company entered into an agreement to sell this NOL. On March 22, 2024, the Company received approximately $1.3 million upon completion of the sale of the 2023 NOLs. During 2022, the Company received approval to sell $1.6 million of its New Jersey NOLs, receiving net proceeds of approximately $1.6 million. As part of the Technology Business Tax Certificate Program sponsored by The New Jersey Economic Development Authority, emerging biotechnology companies with unused NOLs and unused research and development credits are allowed to sell these benefits to other New Jersey-based companies. During 2021, the New Jersey State Legislature increased the maximum lifetime benefit per company from $15 million to $20 million, which will allow the Company to participate in this innovative funding program in future years for up to an additional $0.4 million in net operating losses under this maximum lifetime benefit (see Note 2).</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(“ASU”) 2016-09,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which simplifies various aspects of accounting for share-based payments. The areas for simplification involve several aspects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share-based payment transactions, including the income tax consequences and classification on the statements of cash flows. The Company recognizes the effect of forfeitures in compensation cost when they occur.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are adopted by the Company as of the specified effective date. Unless otherwise discussed, the Company believes that the impact of recently issued accounting pronouncements will not have a material impact on the Company’s consolidated financial position, results of operations, and cash flows, or do not apply to its operations.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disclosure of disaggregated income taxes paid, prescribes standard categories for the components of the effective tax rate reconciliation, and modifies other income tax-related disclosures. ASU No. 2023-09 is effective for fiscal years beginning after December 15, 2024 and allows for adoption on a prospective basis, with a retrospective option. Early adoption is permitted. The Company is currently evaluating the impact of the ASU on the income tax disclosures within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CONDITION AND GOING CONCERN UNCERTAINTY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inception. For the year ended December 31, 2023, the Company had a net loss of $19.5 million and used $19.0 million to fund operations. As of December 31, 2023, the Company has incurred approximately $388 million of cumulative net losses. As of December 31, 2023, the Company had $15.7 million in cash and cash equivalents, short-term investments, and interest receivable and $1.3 million net proceeds from the sale of its New Jersey net operating losses. The Company has substantial future capital requirements to continue its research and development activities and advance its drug candidates through various development stages. The Company believes these expenditures are essential for the commercialization of its drug candidates and technologies.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drug candidates. There can be no assurance that the Company will be able to commercialize its technology successfully or that profitability will ever be achieved. The Company expects that its operating results will fluctuate significantly in the future and will depend on a number of factors, many of which are outside the Company’s control.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COVID-19 pandemic, the Russian invasion of Ukraine and the unrest in the Middle East. The Company continues to monitor its operating activities in light of these events, and it is possible that these events could result in a variety of risks to the business. The specific impact, if any, is not readily determinable as of the date of these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3" w:name="page94"/>
    <w:bookmarkEnd w:id="93"/>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NOLs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progress of research activities; the number and scope of research programs; the progress of preclinical and clinical development activities; the progress of the development efforts of parties with whom the Company has entered into research and development agreements; the costs associated with additional clinical trials of drug candidates; the ability to maintain current research and development licensing arrangements and to establish new research and development and licensing arrangements; the ability to achieve milestones under licensing arrangements; the costs involved in prosecuting and enforcing patent claims and other intellectual property rights; and the costs and timing of regulatory approvals.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going concern basis. In making this assessment, management conducted a comprehensive review of the Company’s business plan including, but not limited to:</w:t>
      </w:r>
    </w:p>
    <w:p>
      <w:pPr>
        <w:spacing w:after="0" w:line="16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position for the year ended December 31,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events and transaction the Company has entered into since December 31,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flow and cash usage forecasts for the period one year from the issuance date of this Annual Report on Form 10-K;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capitalization structure including common stock outstanding and common stock issuable on exercise of warrants and equity awards, and other common stock issuable under equity plans;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support of the Company’s stockholders.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uncertainties involved in our business, we are unable to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 Our estimated future capital requirements are uncertain and could change materially as a result of many factors, including the progress of our research, development, clinical, manufacturing, and commercialization activities.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has determined the Company has suffered recurring losses from operations and has an accumulated deficit that raises substantial doubt about our ability to continue as a going concern for the next twelve months from the issuance date of this Annual Report on Form 10-K. The report of our independent registered public accounting firm for the year ended December 31, 2023 includes an explanatory paragraph, which expresses substantial doubt about our ability to continue as a going concern. The financial statements do not include any adjustments that might result from the outcome of the uncertainty.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6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assessed its current expenditures and will be reducing the current spending requirements where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additional capital funding in the public and private markets through equity sales and/or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possible partnerships and collaborations;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potential out licensing for its drug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continue as a going concern may depend on our ability to raise additional capital, attain further operating efficiencies, reduce expenditures, and, ultimately, to generate revenue. There are no assurances that these future funding and operating efforts will be successful. If management is unsuccessful in these efforts, our current capital is not expected to be sufficient to fund our operations for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 IN DEBT SECURITIES AVAILABLE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debt securities available for sale with a fair value of $9,857,087 and $21,254,485 as of December 31, 2023 and 2022, respectively, consisted of U.S. Treasury securities and corporate debt securities. These investments are valued at estimated fair value, with unrealized gains and losses reported as a separate component of stockholders’ equity in accumulated other comprehensive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its debt securities classified as short-term investments on a regular basis for impairment. For debt securities in unrealized loss positions, the Company determines whether any portion of the decline in fair value below the amortized cost basis is due to credit-related factors if it neither intends to sell nor anticipates that it is more likely than not that it will be required to sell prior to recovery of the amortized cost basis. The Company considers factors such as the extent to which the market value has been less than the cost, any noted failure of the issuer to make scheduled payments, changes to the rating of the security and other relevant credit-related factors in determining whether or not a credit loss exists. During fiscal 2023 and 2022, the Company did not recognize an allowance for credit-related losses on any of our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1"/>
                <w:szCs w:val="21"/>
                <w:color w:val="auto"/>
              </w:rPr>
            </w:pPr>
          </w:p>
        </w:tc>
        <w:tc>
          <w:tcPr>
            <w:tcW w:w="264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5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9,796,291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9,857,087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21,227,991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21,254,485</w:t>
            </w:r>
          </w:p>
        </w:tc>
        <w:tc>
          <w:tcPr>
            <w:tcW w:w="80" w:type="dxa"/>
            <w:vAlign w:val="bottom"/>
            <w:shd w:val="clear" w:color="auto" w:fill="CCEEFF"/>
          </w:tcPr>
          <w:p>
            <w:pPr>
              <w:spacing w:after="0"/>
              <w:rPr>
                <w:sz w:val="20"/>
                <w:szCs w:val="20"/>
                <w:color w:val="auto"/>
              </w:rPr>
            </w:pPr>
          </w:p>
        </w:tc>
      </w:tr>
      <w:tr>
        <w:trPr>
          <w:trHeight w:val="203"/>
        </w:trPr>
        <w:tc>
          <w:tcPr>
            <w:tcW w:w="52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9,796,291</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9,857,087</w:t>
            </w: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21,227,991</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21,254,485</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1"/>
                <w:szCs w:val="21"/>
                <w:color w:val="auto"/>
              </w:rPr>
            </w:pPr>
          </w:p>
        </w:tc>
        <w:tc>
          <w:tcPr>
            <w:tcW w:w="264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5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 maturities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2,467,518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2,490,775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4,005,559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3,994,590</w:t>
            </w:r>
          </w:p>
        </w:tc>
        <w:tc>
          <w:tcPr>
            <w:tcW w:w="80" w:type="dxa"/>
            <w:vAlign w:val="bottom"/>
          </w:tcPr>
          <w:p>
            <w:pPr>
              <w:spacing w:after="0"/>
              <w:rPr>
                <w:sz w:val="18"/>
                <w:szCs w:val="18"/>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3-12 months</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7,328,773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7,366,312</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17,222,432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17,259,895</w:t>
            </w:r>
          </w:p>
        </w:tc>
        <w:tc>
          <w:tcPr>
            <w:tcW w:w="80" w:type="dxa"/>
            <w:vAlign w:val="bottom"/>
            <w:shd w:val="clear" w:color="auto" w:fill="CCEEFF"/>
          </w:tcPr>
          <w:p>
            <w:pPr>
              <w:spacing w:after="0"/>
              <w:rPr>
                <w:sz w:val="20"/>
                <w:szCs w:val="20"/>
                <w:color w:val="auto"/>
              </w:rPr>
            </w:pPr>
          </w:p>
        </w:tc>
      </w:tr>
      <w:tr>
        <w:trPr>
          <w:trHeight w:val="203"/>
        </w:trPr>
        <w:tc>
          <w:tcPr>
            <w:tcW w:w="52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260"/>
              <w:spacing w:after="0" w:line="203" w:lineRule="exact"/>
              <w:rPr>
                <w:sz w:val="20"/>
                <w:szCs w:val="20"/>
                <w:color w:val="auto"/>
              </w:rPr>
            </w:pPr>
            <w:r>
              <w:rPr>
                <w:rFonts w:ascii="Times New Roman" w:cs="Times New Roman" w:eastAsia="Times New Roman" w:hAnsi="Times New Roman"/>
                <w:sz w:val="18"/>
                <w:szCs w:val="18"/>
                <w:color w:val="auto"/>
                <w:w w:val="97"/>
              </w:rPr>
              <w:t>9,796,291</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w w:val="97"/>
              </w:rPr>
              <w:t>9,857,087</w:t>
            </w: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21,227,991</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21,254,485</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December 31, 2023 and 2022. The Company has reviewed individual securities to determine whether a decline in fair value below the amortizable cost basis is other than temporary.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1"/>
                <w:szCs w:val="21"/>
                <w:color w:val="auto"/>
              </w:rPr>
            </w:pPr>
          </w:p>
        </w:tc>
        <w:tc>
          <w:tcPr>
            <w:tcW w:w="274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194"/>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Available for sale securities (all unrealized holding gains and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Holding Gains</w:t>
            </w:r>
          </w:p>
        </w:tc>
      </w:tr>
      <w:tr>
        <w:trPr>
          <w:trHeight w:val="24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losses are less than 12 months at date of measurement)</w:t>
            </w:r>
          </w:p>
        </w:tc>
        <w:tc>
          <w:tcPr>
            <w:tcW w:w="140" w:type="dxa"/>
            <w:vAlign w:val="bottom"/>
          </w:tcPr>
          <w:p>
            <w:pPr>
              <w:spacing w:after="0"/>
              <w:rPr>
                <w:sz w:val="21"/>
                <w:szCs w:val="21"/>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6"/>
        </w:trPr>
        <w:tc>
          <w:tcPr>
            <w:tcW w:w="4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gains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9,857,087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60,796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13,278,505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43,508</w:t>
            </w: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losses</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7,975,980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(17,014)</w:t>
            </w:r>
          </w:p>
        </w:tc>
      </w:tr>
      <w:tr>
        <w:trPr>
          <w:trHeight w:val="216"/>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9,857,087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21,254,485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F-16</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5" w:name="page96"/>
    <w:bookmarkEnd w:id="95"/>
    <w:p>
      <w:pPr>
        <w:jc w:val="both"/>
        <w:spacing w:after="0" w:line="282" w:lineRule="auto"/>
        <w:rPr>
          <w:sz w:val="20"/>
          <w:szCs w:val="20"/>
          <w:color w:val="auto"/>
        </w:rPr>
      </w:pPr>
      <w:r>
        <w:rPr>
          <w:rFonts w:ascii="Times New Roman" w:cs="Times New Roman" w:eastAsia="Times New Roman" w:hAnsi="Times New Roman"/>
          <w:sz w:val="18"/>
          <w:szCs w:val="18"/>
          <w:color w:val="auto"/>
        </w:rPr>
        <w:t>Investment income, which includes net realized losses on sales of available for sale securities and investment income interest and dividends, is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725,824</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502,578</w:t>
            </w: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431,801</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(49,222)</w:t>
            </w:r>
          </w:p>
        </w:tc>
      </w:tr>
      <w:tr>
        <w:trPr>
          <w:trHeight w:val="21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1,157,625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RESTRICTED CASH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condition of the SVB Loan Facility entered into on June 18, 2021, as further discussed in Note 9, the Company was required at all times to maintain on deposit with SVB as cash collateral in a segregated money market bank account in the name of the Company, unrestricted and unencumbered cash (other than a lien in favor of SVB) in an amount of at least 100% of the aggregate outstanding amount of the SVB loan facility. SVB could restrict withdrawals or transfers by or on behalf of the Company that would violate this requirement. The loan was repaid in full during the quarter ended June 30, 2023, thus removing this requirement. The required reserve totaled $6.0 million as of December 31, 2022. This amount is presented in part as restricted cash in current and other non-current assets on the accompanying consolidated balance sheets.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cash and cash equivalents and restricted cash per the consolidated balance sheets to the 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5,838,566</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 restricted</w:t>
            </w: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6,000,000</w:t>
            </w:r>
          </w:p>
        </w:tc>
      </w:tr>
      <w:tr>
        <w:trPr>
          <w:trHeight w:val="216"/>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5,838,566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17,492,841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VALUES OF FINANCIAL INSTRUMENTS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FASB ASC Section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or identical assets or liabilities in active markets that the entity has the ability to access as of the measurement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a reporting entity’s own assumptions that market participants would use in pricing an asset or liability.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both"/>
        <w:spacing w:after="0" w:line="256" w:lineRule="auto"/>
        <w:rPr>
          <w:sz w:val="20"/>
          <w:szCs w:val="20"/>
          <w:color w:val="auto"/>
        </w:rPr>
      </w:pPr>
      <w:r>
        <w:rPr>
          <w:rFonts w:ascii="Times New Roman" w:cs="Times New Roman" w:eastAsia="Times New Roman" w:hAnsi="Times New Roman"/>
          <w:sz w:val="18"/>
          <w:szCs w:val="18"/>
          <w:color w:val="auto"/>
        </w:rPr>
        <w:t>Cash and cash equivalents and accounts payable are reflected in the consolidated balance sheets at their approximate estimated fair values primarily due to their short-term nature. The fair values of securities available for sale are determined by relying on the securities’ relationship to other benchmark quoted securities and classified its investments as Level 2 items in both 2023 and 2022. There were no transfers of assets or liabilities between Level 1 and Level 2 and no transfers in or out of Level 3 during the years ended December 31, 2023 and 2022.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Assets and liabilities measured at fair value are summarized below:</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0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 Fair</w:t>
            </w: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Assets/Liabilities</w:t>
            </w:r>
          </w:p>
        </w:tc>
        <w:tc>
          <w:tcPr>
            <w:tcW w:w="1080" w:type="dxa"/>
            <w:vAlign w:val="bottom"/>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1"/>
                <w:szCs w:val="21"/>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December 31, 2023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available for sale</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9,857,087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9,857,087</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debt securities and U.S. treasury obligations, available for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21,254,485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21,254,485</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items as of December 31, 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In-process R&amp;D</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milestone liability</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2014, the Company completed the acquisition of substantially all of the assets of EGEN, Inc., an Alabama corporation (“EGEN”), which changed its company name to EGWU, Inc. after the closing of the acquisition (the “EGEN Acquisition”). The Company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was reviewed for impairment at least annually as of the third quarter ended September 30, and whenever events or changes in circumstances indicate that the carrying value of the assets might not be recoverable. The Company’s IPR&amp;D consisted of three core elements, its RNA delivery system, its glioblastoma multiforme cancer (“GBM”) drug candidate and its ovarian cancer indication.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assessed whether there were indicators of impairment for the Company’s IPR&amp;D and determined that the IPR&amp;D asset was impaired during that period. Due to the continuing deterioration of public capital markets in the biotech industry in 2022 and 2021 and its impact on market capitalization rates in this sector, IPR&amp;D was reviewed for impairment. Having conducted a quantitative analysis of the company’s IPR&amp;D assets, the Company concluded the IPR&amp;D asset was impaired during the fourth quarter of 2022. As of December 31, 2022, the Company wrote off the $13.4 million carrying value of this asset, thereby recognizing a non-cash charge of $13.4 million in the fourth quarter of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net fair value of the assets acquired in the EGEN Acquisition for the year ended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2440" w:type="dxa"/>
            <w:vAlign w:val="bottom"/>
            <w:gridSpan w:val="5"/>
          </w:tcPr>
          <w:p>
            <w:pPr>
              <w:jc w:val="right"/>
              <w:ind w:right="1436"/>
              <w:spacing w:after="0"/>
              <w:rPr>
                <w:sz w:val="20"/>
                <w:szCs w:val="20"/>
                <w:color w:val="auto"/>
              </w:rPr>
            </w:pPr>
            <w:r>
              <w:rPr>
                <w:rFonts w:ascii="Times New Roman" w:cs="Times New Roman" w:eastAsia="Times New Roman" w:hAnsi="Times New Roman"/>
                <w:sz w:val="18"/>
                <w:szCs w:val="18"/>
                <w:color w:val="auto"/>
              </w:rPr>
              <w:t>IPR&amp;D</w:t>
            </w: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 net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13,366,234</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(13,366,234)</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 net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Property and equipment at December 31, 2023 and 2022 consist of the following:</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(5-7 year life)</w:t>
            </w:r>
          </w:p>
        </w:tc>
        <w:tc>
          <w:tcPr>
            <w:tcW w:w="4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2,055,192</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(3-5 year life)</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191,932</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350,481</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 (5-7 year life)</w:t>
            </w: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607,054</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373,194</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2,854,178</w:t>
            </w:r>
          </w:p>
        </w:tc>
        <w:tc>
          <w:tcPr>
            <w:tcW w:w="3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3,192,063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(2,102,272)</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(2,643,762)</w:t>
            </w:r>
          </w:p>
        </w:tc>
        <w:tc>
          <w:tcPr>
            <w:tcW w:w="0" w:type="dxa"/>
            <w:vAlign w:val="bottom"/>
          </w:tcPr>
          <w:p>
            <w:pPr>
              <w:spacing w:after="0"/>
              <w:rPr>
                <w:sz w:val="1"/>
                <w:szCs w:val="1"/>
                <w:color w:val="auto"/>
              </w:rPr>
            </w:pPr>
          </w:p>
        </w:tc>
      </w:tr>
      <w:tr>
        <w:trPr>
          <w:trHeight w:val="216"/>
        </w:trPr>
        <w:tc>
          <w:tcPr>
            <w:tcW w:w="5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shd w:val="clear" w:color="auto" w:fill="CCEEFF"/>
          </w:tcPr>
          <w:p>
            <w:pPr>
              <w:spacing w:after="0"/>
              <w:rPr>
                <w:sz w:val="21"/>
                <w:szCs w:val="21"/>
                <w:color w:val="auto"/>
              </w:rPr>
            </w:pPr>
          </w:p>
        </w:tc>
        <w:tc>
          <w:tcPr>
            <w:tcW w:w="1960" w:type="dxa"/>
            <w:vAlign w:val="bottom"/>
            <w:gridSpan w:val="4"/>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751,906</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548,301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OTHER ACCRUED LIABILITIES</w:t>
            </w: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 at December 31, 2023 and 2022 include the following:</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3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Amounts due to contract research organizations and other contractual agreements</w:t>
            </w:r>
          </w:p>
        </w:tc>
        <w:tc>
          <w:tcPr>
            <w:tcW w:w="1580" w:type="dxa"/>
            <w:vAlign w:val="bottom"/>
            <w:gridSpan w:val="3"/>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1,442,659</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1,693,383</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2,139,927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37,583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234,479</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215,402</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205,313</w:t>
            </w:r>
          </w:p>
        </w:tc>
        <w:tc>
          <w:tcPr>
            <w:tcW w:w="0" w:type="dxa"/>
            <w:vAlign w:val="bottom"/>
          </w:tcPr>
          <w:p>
            <w:pPr>
              <w:spacing w:after="0"/>
              <w:rPr>
                <w:sz w:val="1"/>
                <w:szCs w:val="1"/>
                <w:color w:val="auto"/>
              </w:rPr>
            </w:pPr>
          </w:p>
        </w:tc>
      </w:tr>
      <w:tr>
        <w:trPr>
          <w:trHeight w:val="216"/>
        </w:trPr>
        <w:tc>
          <w:tcPr>
            <w:tcW w:w="5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gridSpan w:val="3"/>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3,390,521</w:t>
            </w: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4,794,936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F-19</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9.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SVB Loan Facility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2021, the Company entered into a $10 million loan facility (the “SVB Loan Facility”) with Silicon Valley Bank (“SVB”). Imunon immediately drew down $6 million from the SVB Loan Facility and used the funds to retire all outstanding indebtedness with Horizon Technology Finance Corporation pursuant to a loan agreement entered into on June 27, 2018, under which the Company had drawn down $10 million and repaid $5 million in August 2020. Concurrently with this transaction, the Company used $6.0 million of other available funds to establish a restricted cash account which served as security for the SVB Loan Facility.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SVB Loan Facility was in the form of money market secured indebtedness bearing interest at a calculated WSJ Prime-based variable rate. A final payment equal to 3% of the total $10 million commitment amount was due upon maturity or prepayment of the SVB Loan Facility. There was no facility commitment fee, and no stock or warrants were issued to SVB. Payments under the loan agreement were interest only for the first 24 months after loan closing, followed by a 24-month amortization period of principal and interest through the scheduled maturity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SVB Loan Facility, the Company incurred financing fees and expenses totaling $243,370 which was recorded and classified as debt discount and was amortized as interest expense using the effective interest method over the life of the loan. Also, in connection with the SVB Loan Facility, the Company was required to pay an end-of-term fee equal to 3.0% of the original loan amount at time of maturity. Therefore, these amounts totaling $300,000 were amortized as interest expense using the effective interest method over the life of the loan. During the years ended December 31, 2023 and 2022, the Company incurred interest expense of $197,080 and $295,792 and amortized $329,158 and $181,259, respectively, as interest expense for debt discounts and end-of-term fee in connection with the SVB Loan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21, 2023, the Company repaid the outstanding principal balance, an early termination fee and the end-of-term charges in full satisfaction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Loan Facility. The following is a schedule of the amounts paid to SVB on April 21, 2023:</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 at April 21, 2023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Early termination fees</w:t>
            </w:r>
          </w:p>
        </w:tc>
        <w:tc>
          <w:tcPr>
            <w:tcW w:w="5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120,000</w:t>
            </w:r>
          </w:p>
        </w:tc>
        <w:tc>
          <w:tcPr>
            <w:tcW w:w="80" w:type="dxa"/>
            <w:vAlign w:val="bottom"/>
          </w:tcPr>
          <w:p>
            <w:pPr>
              <w:spacing w:after="0"/>
              <w:rPr>
                <w:sz w:val="18"/>
                <w:szCs w:val="18"/>
                <w:color w:val="auto"/>
              </w:rPr>
            </w:pPr>
          </w:p>
        </w:tc>
      </w:tr>
      <w:tr>
        <w:trPr>
          <w:trHeight w:val="25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charges</w:t>
            </w:r>
          </w:p>
        </w:tc>
        <w:tc>
          <w:tcPr>
            <w:tcW w:w="5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21"/>
                <w:szCs w:val="21"/>
                <w:color w:val="auto"/>
              </w:rPr>
            </w:pPr>
          </w:p>
        </w:tc>
      </w:tr>
      <w:tr>
        <w:trPr>
          <w:trHeight w:val="217"/>
        </w:trPr>
        <w:tc>
          <w:tcPr>
            <w:tcW w:w="8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payoff amount</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loss of $329,158 on the early termination of the SVB Loan Facility which represented the early termination fee and the end of the term fees, net of previously amortized interest expense totaling $334,212 on the date of its payoff.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for the years ended December 31, 2023 and 2022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00" w:type="dxa"/>
            <w:vAlign w:val="bottom"/>
            <w:tcBorders>
              <w:bottom w:val="single" w:sz="8" w:color="CCEEFF"/>
            </w:tcBorders>
          </w:tcPr>
          <w:p>
            <w:pPr>
              <w:spacing w:after="0"/>
              <w:rPr>
                <w:sz w:val="21"/>
                <w:szCs w:val="21"/>
                <w:color w:val="auto"/>
              </w:rPr>
            </w:pPr>
          </w:p>
        </w:tc>
        <w:tc>
          <w:tcPr>
            <w:tcW w:w="4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4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45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4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4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(1,280,385)</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(1,567,026)</w:t>
            </w:r>
          </w:p>
        </w:tc>
      </w:tr>
      <w:tr>
        <w:trPr>
          <w:trHeight w:val="230"/>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(1,280,385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3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3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2"/>
          </w:tcPr>
          <w:p>
            <w:pPr>
              <w:jc w:val="right"/>
              <w:ind w:right="1936"/>
              <w:spacing w:after="0"/>
              <w:rPr>
                <w:sz w:val="20"/>
                <w:szCs w:val="20"/>
                <w:color w:val="auto"/>
              </w:rPr>
            </w:pPr>
            <w:r>
              <w:rPr>
                <w:rFonts w:ascii="Times New Roman" w:cs="Times New Roman" w:eastAsia="Times New Roman" w:hAnsi="Times New Roman"/>
                <w:sz w:val="18"/>
                <w:szCs w:val="18"/>
                <w:color w:val="auto"/>
              </w:rPr>
              <w:t>F-20</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A reconciliation of the Company’s statutory tax rate to the effective rate for the years ended December 31, 2023 and 2022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True-Up</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 and deferred rate change, net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89.0</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r>
      <w:tr>
        <w:trPr>
          <w:trHeight w:val="230"/>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 as of December 31, 2023 and 2022 are as follows: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7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67,310,000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79,800,000</w:t>
            </w:r>
          </w:p>
        </w:tc>
        <w:tc>
          <w:tcPr>
            <w:tcW w:w="100" w:type="dxa"/>
            <w:vAlign w:val="bottom"/>
            <w:gridSpan w:val="2"/>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Section 174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4,929,000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deferred tax assets, net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2,016,000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13,287,000</w:t>
            </w:r>
          </w:p>
        </w:tc>
      </w:tr>
      <w:tr>
        <w:trPr>
          <w:trHeight w:val="203"/>
        </w:trPr>
        <w:tc>
          <w:tcPr>
            <w:tcW w:w="73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74,255,000</w:t>
            </w:r>
          </w:p>
        </w:tc>
        <w:tc>
          <w:tcPr>
            <w:tcW w:w="2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93,087,000</w:t>
            </w:r>
          </w:p>
        </w:tc>
        <w:tc>
          <w:tcPr>
            <w:tcW w:w="100" w:type="dxa"/>
            <w:vAlign w:val="bottom"/>
            <w:tcBorders>
              <w:top w:val="single" w:sz="8" w:color="CCEEFF"/>
            </w:tcBorders>
            <w:gridSpan w:val="2"/>
          </w:tcPr>
          <w:p>
            <w:pPr>
              <w:spacing w:after="0"/>
              <w:rPr>
                <w:sz w:val="17"/>
                <w:szCs w:val="17"/>
                <w:color w:val="auto"/>
              </w:rPr>
            </w:pPr>
          </w:p>
        </w:tc>
      </w:tr>
      <w:tr>
        <w:trPr>
          <w:trHeight w:val="24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(72,974,615)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(91,519,974)</w:t>
            </w:r>
          </w:p>
        </w:tc>
      </w:tr>
      <w:tr>
        <w:trPr>
          <w:trHeight w:val="217"/>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1,280,385</w:t>
            </w: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1,567,026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The Company has established a valuation reserve for its deferred income tax assets other than those related to its New Jersey NOLs. At December 31, 2023, after its evaluation of its New Jersey NOLs as discussed more fully below, the Company reduced the valuation reserve and recognized $1.3 million as a deferred income tax asset. Such tax assets are available to be recognized and benefit future periods.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of approximately $307 million, net of net operating losses utilized in prior years of which $218 million, if unused, will expire starting in 2024 through 2037. The federal NOLs generated for the years ended after 2017 of approximately $78 million can be carried forward indefinitely. As of December 31, 2023, the Company had state net operating loss carryforwards of approximately $44 million, net of net operating losses utilized in prior years, and, if unused, will expire starting in 2029 through 2042.</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considered under IRC Section 41 (relating to the research tax credit). For the year ended December 31, 2023, the Company performed an analysis based on available guidance and determined that it will continue to be in a loss position even after the required capitalization and amortization of its R&amp;E expenses. The Company will continue to monitor this issue for future developments, but it does not expect R&amp;E capitalization and amortization to require it to pay cash taxes now or in the near future.The Company’s income tax returns for 2019 to 2022 are still open and subject to audit. In addition, net operating losses arising from prior years are also subject to examination at the time they are utilized in future years.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2023, and 2022, there were no unrecognized tax benefits. The Company recognizes accrued interest and penalties as income tax expense. No amounts were accrued for the payment of interest and penalties at December 31, 2023 and 2022. The Company is currently not aware of any issues under review that could result in significant payments, accruals or material deviation from its position in the next year.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Sections 382 and 383 of the Internal Revenue Code provide for a limitation on the annual use of NOL and tax credit carryforwards following certain ownership changes that could limit the Company’s ability to utilize these carryforwards. The Company has completed an analysis to determine if such ownership changes have occurred and concluded it was more likely than not that there were changes in ownership. Due to the existence of full valuation allowance, limitations under Section 382 and 383 will not impact the Company’s effective tax rate. Further analyses will be performed prior to recognizing the benefits of any losses or credits in the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 of New Jersey Net Operating Losses</w:t>
      </w:r>
    </w:p>
    <w:p>
      <w:pPr>
        <w:spacing w:after="0" w:line="2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Since 2018, the Company has annually submitted applications to sell a portion of the Company’s New Jersey NOLs as part of the Technology Business Tax Certificate Program sponsored by The New Jersey Economic Development Authority. Under the program, emerging biotechnology companies with unused NOLs and unused research and development credits are allowed to sell these benefits to other New Jersey-based companies. As part of the Technology Business Tax Certificate Program, the Company sold $1.3 million and $1.6 million of its New Jersey NOLs in 2023 and 2022, respectively. The sale of these net operating losses resulted in net proceeds to the Company of approximately $1.3 million in 2023 and $1.6 million in 2022. During 2021, the New Jersey State Legislature increased the maximum lifetime benefit per company from $15 million to $20 million, which will allow the Company to participate in this funding program in future years for up to an additional $0.3 million in net operating losses under this maximum lifetime benefit.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785"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19, 2021, the Company filed with the SEC a shelf registration statement on Form S-3 (the “2021 Registration Statement”) that allows the Company to issue any combination of common stock, preferred stock or warrants to purchase common stock or preferred stock in an amount up to $100 million. The 2021 Registration Statement was declared effective on March 30, 2021. The 2021 Registration Statement was intended to provide the Company with flexibility to raise capital in the future for general corporate purposes. However, as of the date of these financial statements and so long as the Company’s public float remains below $75 million, it is subject to limitations with respect to the use of the 2021 Registration Statement and any other shelf registration statement that it files with the SEC pursuant to General Instruction I.B.6 of Form S-3 (the “Baby Shelf Limitation”), which limits the amount that the Company can offer to up to one-third of its public float during any trailing 12-month period. The Company would be no longer subject to the Baby Shelf Limitation if its public float exceeds $75 million.</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September 19, 2022, the Company announced a corporate name change to Imunon, Inc. The Company’s common stock will continue to trade on the Nasdaq Stock Market under the new ticker symbol “IMNN” effective as of the opening of trading on September 21, 2022, and its CUSIP number (15117N602) remained unchanged. The Company filed an amendment to its Articles of Incorporation to effect the new corporate name.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2022, the Company effected a 15-for-1 reverse stock split of its common stock which was made effective for trading purposes as of the commencement of trading on March 31, 2022. As of that date, each 15 shares of issued and outstanding common stock and equivalents was consolidated into one share of common stock. All shares have been restated to reflect the effects of the 15-for-1 reverse stock split. In addition, at the market open on March 1, 2022, the Company’s common stock started trading under a new CUSIP number 15117N602 although the Company’s ticker symbol, CLSN, remained unchanged.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2022 Special Meeting held on February 24, 2022, and the Company subsequently filed a Certificate of Amendment to its Certificate of Incorporation to effect the stock consolidation. The primary reasons for the reverse stock split and the amendment were:</w:t>
      </w:r>
    </w:p>
    <w:p>
      <w:pPr>
        <w:spacing w:after="0" w:line="176" w:lineRule="exact"/>
        <w:rPr>
          <w:sz w:val="20"/>
          <w:szCs w:val="20"/>
          <w:color w:val="auto"/>
        </w:rPr>
      </w:pPr>
    </w:p>
    <w:p>
      <w:pPr>
        <w:jc w:val="both"/>
        <w:ind w:left="660" w:hanging="328"/>
        <w:spacing w:after="0" w:line="25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Company with the ability to support its future anticipated growth and would provide greater flexibility to consider and respond to future business opportunities and needs as they arise, including equity financings and stock-based acquisitions of new technology and product development candidates. The availability of additional shares of common stock would permit the Company to undertake certain of the foregoing actions without delay and expense associated with holding a Special Meeting of Stockholders to obtain stockholder approval each time such an opportunity arises that would require the issuance of shares of common stock;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listing on The NASDAQ Capital Market, which requires that the Company comply with the applicable listing requirements under NASDAQ Marketplace Rules, which requirements include, among others, a minimum bid price of at least $1.00 per share. On December 2, 2021, the Company received a letter from NASDAQ indicating that the closing bid price of the Company’s common stock fell below $1.00 per share for the previous 30 consecutive business days, and that the Company was therefore not in compliance with the minimum bid price requirement for continued inclusion on The NASDAQ Capital Market. The Company had 180 calendar days, until May 31, 2022, to regain compliance with this requirement, which occurs when the closing bid price of the Company’s common stock is at least $1.00 per share for a minimum of ten consecutive business days during the 180-day compliance period.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86,557,736 shares of common stock outstanding which consolidated into 5,770,516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amount of the Company’s outstanding convertible preferred stock were not affected by the reverse stock split. The number of outstanding options, stock awards and warrants were adjusted accordingly, with outstanding options and stock awards being reduced from approximately 6.6 million to approximately 0.4 million and outstanding warrants being reduced from approximately 2.5 million to approximately 0.2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25, 2022, the Company entered into an At the Market Offering Agreement with H.C. Wainwright &amp; Co., LLC, as sales agent (“Wainwright”), pursuant to which the Company may offer and sell, from time to time, through Wainwright, shares of the Company’s common stock having an aggregate offering price of up to $7,500,000. During 2022 the Company sold 336,075 shares of stock for net proceeds of $503,798. The Company intends to use the net proceeds from the offering, if any, for general corporate purposes, including research and development activities, capital expenditures and working capital. In 2023, the Company has sold 1,904,142 shares of stock for net proceeds of $2,781,438.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Convertible Redeemable Preferred Stock Offering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2022, the Company entered into a Securities Purchase Agreement (the “Preferred Stock Purchase Agreement”) with several institutional investors, pursuant to which the Company agreed to issue and sell, in concurrent registered direct offerings (the “Preferred Offerings”), (i) 50,000 shares of the Company’s Series A Convertible Redeemable Preferred Stock, par value $0.01 per share (the “Series A Preferred Stock”), and (ii) 50,000 shares of the Company’s Series B Convertible Redeemable Preferred Stock, par value $0.01 per share (the “Series B Preferred Stock” and together with the Series A Preferred Stock, the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have a stated value of $300 per share and are convertible, at a conversion price of $13.65 per share, into 1,098,901 shares of common stock (subject in certain circumstances to adjustments). The shares of Series B Preferred Stock have a stated value of $300 per share and are convertible, at a conversion price of $15.00 per share, into 1,000,000 shares of common stock (subject in certain circumstances to adjustments). The closing of the Preferred Offerings occurred on January 13, 2022.</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2022, the Company redeemed for cash at a price equal to 105% of the $300 stated value per share all of its 50,000 outstanding shares of Series A Preferred Stock and its 50,000 Series B Preferred Stock. As a result, all shares of the Preferred Stock have been retired and are no longer outstanding and Imunon’s only class of outstanding stock is its common.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Preferred Offerings, the Company entered into a placement agent agreement (the “Placement Agent Agreement”) with AGP pursuant to which the Company agreed to pay AGP an aggregate cash fee equal to $1,000,000 and reimburse the AGP for certain of their expenses in an amount not to exceed $110,000.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April 2022 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closing of the April 2022 Offering occurred on April 8,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2018 Annual Stockholders Meeting of the Company held on May 15, 2018, stockholders approved the Imunon, Inc. 2018 Stock Incentive Plan (the “2018 Plan”). The 2018 Plan, as adopted, permits the granting of 180,000 shares of Imunon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80,000 to a total of 260,000 under the 2018 Plan, as amended. 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 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 At the 2023 Annual Stockholders Meeting of the Company held on June 14, 2023, stockholders approved an amendment to the 2018 Plan, as previously amended, whereby the Company increased the number of shares of common stock available by 1,030,000 to a total of 1,970,000 under the 2018 Plan, as amended.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Imunon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Imunon must be at least 110% of such fair market value on the date of grant. Only officers and key employees may receive incentive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the Compensation Committee of the Board of Directors approved the grant of (i) inducement stock options (the “Inducement Option Grants”) to purchase a total of 294,751 shares of Imunon common stock and (ii) inducement restricted stock awards (the “Inducement Stock Grants”) totaling 91,350 shares of Imunon common stock. Each award has a grant date of the date of grant. Each Inducement Option Grant has a weighted exercise price of $1.59 per share. Each Inducement Option Grant vests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there were a total of 1,975,073 shares of Imunon common stock reserved for issuance under the 2018 Plan, which were comprised of 768,731 shares of Imunon common stock subject to equity awards previously granted under the 2018 Plan and 2007 Plan and 1,206,342 shares of Imunon common stock available for future issuance under the 2018 Plan. As of December 31, 2023, there are a total of 294,751 shares of Imunon common stock subject to outstanding inducement awards.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was approximately $0.8 million and $2.7 million during 2023 and 2022, respectively. Of these amounts, $0.2 million and $0.9 million were charged to research and development expenses during 2023 and 2022, respectively, and $0.6 million and $1.8 million were charged to general and administrative expenses during 2023 and 2022,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A summary of stock option awards as of December 31, 2023 and changes during the two-year period ended December 31, 2023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716,156</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2.72</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Options canceled or expired</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(397,361</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39.06</w:t>
            </w: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96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gridSpan w:val="2"/>
            <w:vMerge w:val="continue"/>
            <w:shd w:val="clear" w:color="auto" w:fill="CCEEFF"/>
          </w:tcPr>
          <w:p>
            <w:pPr>
              <w:spacing w:after="0"/>
              <w:rPr>
                <w:sz w:val="5"/>
                <w:szCs w:val="5"/>
                <w:color w:val="auto"/>
              </w:rPr>
            </w:pPr>
          </w:p>
        </w:tc>
        <w:tc>
          <w:tcPr>
            <w:tcW w:w="1400" w:type="dxa"/>
            <w:vAlign w:val="bottom"/>
            <w:tcBorders>
              <w:bottom w:val="single" w:sz="8" w:color="CCEEFF"/>
            </w:tcBorders>
            <w:gridSpan w:val="2"/>
            <w:vMerge w:val="continue"/>
            <w:shd w:val="clear" w:color="auto" w:fill="CCEEFF"/>
          </w:tcPr>
          <w:p>
            <w:pPr>
              <w:spacing w:after="0"/>
              <w:rPr>
                <w:sz w:val="5"/>
                <w:szCs w:val="5"/>
                <w:color w:val="auto"/>
              </w:rPr>
            </w:pPr>
          </w:p>
        </w:tc>
        <w:tc>
          <w:tcPr>
            <w:tcW w:w="12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760,220</w:t>
            </w:r>
          </w:p>
        </w:tc>
        <w:tc>
          <w:tcPr>
            <w:tcW w:w="220" w:type="dxa"/>
            <w:vAlign w:val="bottom"/>
          </w:tcPr>
          <w:p>
            <w:pPr>
              <w:spacing w:after="0"/>
              <w:rPr>
                <w:sz w:val="17"/>
                <w:szCs w:val="17"/>
                <w:color w:val="auto"/>
              </w:rPr>
            </w:pPr>
          </w:p>
        </w:tc>
        <w:tc>
          <w:tcPr>
            <w:tcW w:w="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4.55</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1.23</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Options canceled or expired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(129,238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9.37</w:t>
            </w: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9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gridSpan w:val="2"/>
            <w:vMerge w:val="continue"/>
          </w:tcPr>
          <w:p>
            <w:pPr>
              <w:spacing w:after="0"/>
              <w:rPr>
                <w:sz w:val="4"/>
                <w:szCs w:val="4"/>
                <w:color w:val="auto"/>
              </w:rPr>
            </w:pPr>
          </w:p>
        </w:tc>
        <w:tc>
          <w:tcPr>
            <w:tcW w:w="1400" w:type="dxa"/>
            <w:vAlign w:val="bottom"/>
            <w:tcBorders>
              <w:bottom w:val="single" w:sz="8" w:color="CCEEFF"/>
            </w:tcBorders>
            <w:gridSpan w:val="2"/>
            <w:vMerge w:val="continue"/>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1,063,482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2.61</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3.64</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non-vested restricted stock awards as of December 31, 2023 and changes during the two-year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Number Outstanding</w:t>
            </w:r>
          </w:p>
        </w:tc>
        <w:tc>
          <w:tcPr>
            <w:tcW w:w="240" w:type="dxa"/>
            <w:vAlign w:val="bottom"/>
          </w:tcPr>
          <w:p>
            <w:pPr>
              <w:spacing w:after="0"/>
              <w:rPr>
                <w:sz w:val="21"/>
                <w:szCs w:val="21"/>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 outstanding at January 1, 2022</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69,650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r>
      <w:tr>
        <w:trPr>
          <w:trHeight w:val="23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r>
      <w:tr>
        <w:trPr>
          <w:trHeight w:val="216"/>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 outstanding at December 31, 2022</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0.92</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(59,450)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3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stock awards outstanding at December 31, 2023</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summary of stock options outstanding at December 31, 2023 by price range is as follows:</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Term (in</w:t>
            </w:r>
          </w:p>
        </w:tc>
        <w:tc>
          <w:tcPr>
            <w:tcW w:w="1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45"/>
        </w:trPr>
        <w:tc>
          <w:tcPr>
            <w:tcW w:w="33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1"/>
                <w:szCs w:val="21"/>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00" w:type="dxa"/>
            <w:vAlign w:val="bottom"/>
          </w:tcPr>
          <w:p>
            <w:pPr>
              <w:spacing w:after="0"/>
              <w:rPr>
                <w:sz w:val="21"/>
                <w:szCs w:val="2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3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 to $1.95</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689,113</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315,867</w:t>
            </w:r>
          </w:p>
        </w:tc>
        <w:tc>
          <w:tcPr>
            <w:tcW w:w="16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$1.96 to $10.00</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347,975</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113,936</w:t>
            </w:r>
          </w:p>
        </w:tc>
        <w:tc>
          <w:tcPr>
            <w:tcW w:w="1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Above $10.01</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26,394</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23.69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23,963</w:t>
            </w:r>
          </w:p>
        </w:tc>
        <w:tc>
          <w:tcPr>
            <w:tcW w:w="16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24.29</w:t>
            </w:r>
          </w:p>
        </w:tc>
      </w:tr>
      <w:tr>
        <w:trPr>
          <w:trHeight w:val="236"/>
        </w:trPr>
        <w:tc>
          <w:tcPr>
            <w:tcW w:w="3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1,063,482</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26"/>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F-25</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4" w:name="page105"/>
    <w:bookmarkEnd w:id="104"/>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Imunon’s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392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6180" w:type="dxa"/>
            <w:vAlign w:val="bottom"/>
            <w:tcBorders>
              <w:bottom w:val="single" w:sz="8" w:color="CCEEFF"/>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3.39% to 4.81%</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1.74 % to 3.97%</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 to 113.6%</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to 113.9%</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 to 10.0</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 to 10.0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As of December 31, 2023, there was $0.4 million of total unrecognized compensation cost related to non-vested stock-based compensation arrangements. That cost is expected to be recognized over a weighted-average period of 1.8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EARN-OUT MILESTONE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is fair valued at the end of each quarter and any change in their value will be recognized in the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2019, the Company and EGWU, Inc., entered into the Amended Asset Purchase Agreement. Pursuant to the Amended Asset Purchase Agreement, payment of the earnout milestone liability related to the Ovarian Cancer Indication of $12.4 million has been modified. The Company had the option to make the payment upon achievement of the milestones as follows:</w:t>
      </w:r>
    </w:p>
    <w:p>
      <w:pPr>
        <w:spacing w:after="0" w:line="176"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in cash within 10 business days of achieving the milestone; or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in cash, common stock of the Company, or a combination of either, within one year of achieving the milestone.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the Company wrote off the earn-out milestone liability as a result of the requirements not being achieved and recognized a non-cash gain of $5.4 million during 2022 as a result of the change in the fair value of the earn-out milestone liability. The Company fair value of the milestone liability is zero at December 31,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changes in the earn-out milestone liability for 2022:</w:t>
            </w: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5,396,000</w:t>
            </w: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Non-cash gain from the adjustment for the change in fair value included in 2022 net loss</w:t>
            </w: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(5,396,000)</w:t>
            </w:r>
          </w:p>
        </w:tc>
        <w:tc>
          <w:tcPr>
            <w:tcW w:w="0" w:type="dxa"/>
            <w:vAlign w:val="bottom"/>
          </w:tcPr>
          <w:p>
            <w:pPr>
              <w:spacing w:after="0"/>
              <w:rPr>
                <w:sz w:val="1"/>
                <w:szCs w:val="1"/>
                <w:color w:val="auto"/>
              </w:rPr>
            </w:pPr>
          </w:p>
        </w:tc>
      </w:tr>
      <w:tr>
        <w:trPr>
          <w:trHeight w:val="230"/>
        </w:trPr>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F-26</w:t>
            </w:r>
          </w:p>
        </w:tc>
        <w:tc>
          <w:tcPr>
            <w:tcW w:w="1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0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WARRANTS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two years ended December 31, 2023: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45"/>
        </w:trPr>
        <w:tc>
          <w:tcPr>
            <w:tcW w:w="764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Warrants Issued</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Price</w:t>
            </w:r>
          </w:p>
        </w:tc>
      </w:tr>
      <w:tr>
        <w:trPr>
          <w:trHeight w:val="216"/>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January 1, 2022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Warrants expired during 2022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(7,273)</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48.30</w:t>
            </w:r>
          </w:p>
        </w:tc>
      </w:tr>
      <w:tr>
        <w:trPr>
          <w:trHeight w:val="216"/>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and exercisable at December 31, 2022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Warrants expired during 2023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(8,459)</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37.29</w:t>
            </w:r>
          </w:p>
        </w:tc>
      </w:tr>
      <w:tr>
        <w:trPr>
          <w:trHeight w:val="230"/>
        </w:trPr>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and exercisable at December 31, 2023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December 31, 2023</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(years)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IMUNON EMPLOYEE BENEFIT PLANS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maintains a defined-contribution plan under Section 401(k) of the Code. The plan covers substantially all employees over the age of twenty-one. Participating employees may defer a portion of their pretax earnings, up to the IRS annual contribution limit. The Company makes a matching contribution up to a maximum of 3% of an employee’s annual salary. The Company’s total matching contributions for the year ended December 31, 2023 and 2022 were $142,000 and $117,000,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Lawrenceville, New Jersey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 renewed its Lawrenceville office lease for a 24-month agreement for 9,850 square feet with monthly rent payments of approximately $22,983 to $23,394.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Huntsville, Alabama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renewed its Huntsville facility lease for a 60-month lease agreement for 11,420 square feet with monthly rent payments of approximately $28,550 to $30,903.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lease payments and maturity of the Company’s operating lease liabilities as of December 31, 2023:</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ending December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20" w:type="dxa"/>
            <w:vAlign w:val="bottom"/>
            <w:tcBorders>
              <w:bottom w:val="single" w:sz="8" w:color="CCEEFF"/>
            </w:tcBorders>
          </w:tcPr>
          <w:p>
            <w:pPr>
              <w:spacing w:after="0"/>
              <w:rPr>
                <w:sz w:val="21"/>
                <w:szCs w:val="21"/>
                <w:color w:val="auto"/>
              </w:rPr>
            </w:pPr>
          </w:p>
        </w:tc>
        <w:tc>
          <w:tcPr>
            <w:tcW w:w="20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31,</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2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30,903</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future lease payments</w:t>
            </w:r>
          </w:p>
        </w:tc>
        <w:tc>
          <w:tcPr>
            <w:tcW w:w="2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1,933,447</w:t>
            </w: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124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lease liabilities</w:t>
            </w:r>
          </w:p>
        </w:tc>
        <w:tc>
          <w:tcPr>
            <w:tcW w:w="2000" w:type="dxa"/>
            <w:vAlign w:val="bottom"/>
          </w:tcPr>
          <w:p>
            <w:pPr>
              <w:spacing w:after="0"/>
              <w:rPr>
                <w:sz w:val="18"/>
                <w:szCs w:val="18"/>
                <w:color w:val="auto"/>
              </w:rPr>
            </w:pPr>
          </w:p>
        </w:tc>
        <w:tc>
          <w:tcPr>
            <w:tcW w:w="1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1,624,714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2023, operating lease expense was $646,633 and cash paid for operating leases included in operating cash flows was $644,593. For 2022, operating lease expense was $587,744 and cash paid for operating leases included in operating cash flows was $601,495. Amortization expense was approximately $472,000 and $535,000 for the years ended December 31, 2023 and 2022,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Times New Roman" w:cs="Times New Roman" w:eastAsia="Times New Roman" w:hAnsi="Times New Roman"/>
          <w:sz w:val="18"/>
          <w:szCs w:val="18"/>
          <w:i w:val="1"/>
          <w:iCs w:val="1"/>
          <w:color w:val="auto"/>
        </w:rPr>
        <w:t>Spar v. Celsion Corporation, et al.</w:t>
      </w:r>
      <w:r>
        <w:rPr>
          <w:rFonts w:ascii="Times New Roman" w:cs="Times New Roman" w:eastAsia="Times New Roman" w:hAnsi="Times New Roman"/>
          <w:sz w:val="18"/>
          <w:szCs w:val="18"/>
          <w:color w:val="auto"/>
        </w:rPr>
        <w:t>, Case No. 1:20-cv-15228. The plaintiff alleged that the Company and Spar Individual Defendants made false and misleading statements regarding one of the Company’s drug candidates, ThermoDox®, and brought claims for damages under Section 10(b) of the Securities Exchange Act of 1934, as amended (the “Exchange Act”) and Rule 10b-5 promulgated thereunder against all defendants, and under Section 20(a) of the Exchange Act against the Spar Individual Defendants. On February 6, 2023, the U.S. District Court granted a Motion to Dismiss filed by the Company and Spar Individual Defendants and granted the plaintiff leave to file an amended complaint within 30 days. The plaintiff did not file an amended complaint within the 30-day deadline. In September 2023, the U.S. District Court issued an Order for Dismissal without prejudice.</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alleged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TECHNOLOGY DEVELOPMENT AND LICENSING AGREEMENTS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May 7, 2012, the Company entered into a long-term commercial supply agreement with Zhejiang Hisun Pharmaceutical Co. Ltd. (“Hisun”) for the production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mainland China, Hong Kong and Macau (the “China territory”). In accordance with the terms of the agreement, Hisun is responsible for providing all of the technical and regulatory support services, including the costs of all technical transfer, registration and bioequivalence studies, technical transfer costs, Imunon consultative support costs and the purchase of any necessary equipment and additional facility costs necessary to</w:t>
      </w:r>
    </w:p>
    <w:p>
      <w:pPr>
        <w:jc w:val="both"/>
        <w:spacing w:after="0" w:line="185" w:lineRule="auto"/>
        <w:rPr>
          <w:sz w:val="20"/>
          <w:szCs w:val="20"/>
          <w:color w:val="auto"/>
        </w:rPr>
      </w:pPr>
      <w:r>
        <w:rPr>
          <w:rFonts w:ascii="Times New Roman" w:cs="Times New Roman" w:eastAsia="Times New Roman" w:hAnsi="Times New Roman"/>
          <w:sz w:val="18"/>
          <w:szCs w:val="18"/>
          <w:color w:val="auto"/>
        </w:rPr>
        <w:t>support capacity requirements for the manufacture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Imunon is obligated to repay Hisun for the aggregate amount of these development costs and fees commencing on the successful completion of three registration batches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Hisun is also obligated to meet certain performance</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requirements under the agreement. The agreement was initially limited to a percentage of the production requirements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with Hisun retaining an option for additional global supply after local regulatory approval in the China territory. In addition, the agreement</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provided that Hisun would collaborate with Imunon around the regulatory approval activities for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with the China State Food and Drug Administration.</w:t>
      </w:r>
    </w:p>
    <w:p>
      <w:pPr>
        <w:spacing w:after="0" w:line="20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January 18, 2013, the Company entered into a technology development contract with Hisun, pursuant to which Hisun paid Imunon a non-refundable research and development fee of $5 million to support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China territory. Following the Company’s announcement on January 31, 2013 that the HEAT study failed to meet its primary endpoint, Imunon and Hisun agreed that the Technology Development Contract entered</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into on January 18, 2013 would remain in effect while the parties continued to collaborate and evaluate the next steps in relation to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include the sub-group analysis of patients in the Phase III HEAT Study for the HCC clinical indication and other activities to further the development of</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the Greater China market. The $5.0 million received as a non-refundable payment from Hisun in the first quarter 2013 was recorded to deferred revenue and was amortized over the 10-year term of the agreement, until such time as the parties would find a mutually acceptable path forward on the development of 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findings of the ongoing post-study analysis of the HEAT study data. The Hisun agreement has expired.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16, 2022 the Company entered into a convertible note purchase agreement with Transomic Technologies, Inc. (“Transomic”) whereby the Company purchased $375,000 of convertible notes secured by certain assets held by Transomic and warrants. Imunon purchased product from Transomic for research and development purposes – primarily delivery vectors for its vaccine program. As a result of this investment in Transomic, Imunon’s executive chairman, Mr. Michael Tardugno, was appointed to the Board of Directors of Transomic. The Company disclosed the notes receivable as a related party transaction. In December 2023, Transomic filed a formal certificate of dissolution of the company resulting in a complete write off of the convertible note and related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6, 2024, Dr. Corinne Le Goff, Pharm.D., informed the Board of Directors of her resignation from her position as President and Chief Executive Officer of the Company and from the Board, effective as of March 15, 2024. Dr. Le Goff’s resignation was not the result of any disagreement with the Company on any matter relating to its operations, policies or practices.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conducting a search for Dr. Le Goff’s successor as Chief Executive Officer. Michael H. Tardugno, the Company’s Executive Chairman, and Chief Executive Officer prior to Dr. Le Goff, has assumed day-to-day leadership of the Company until such successor is named and will continue in his role directing Company strategy.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Imunon, Inc.</w:t>
            </w:r>
          </w:p>
        </w:tc>
        <w:tc>
          <w:tcPr>
            <w:tcW w:w="5500" w:type="dxa"/>
            <w:vAlign w:val="bottom"/>
          </w:tcPr>
          <w:p>
            <w:pPr>
              <w:spacing w:after="0"/>
              <w:rPr>
                <w:sz w:val="20"/>
                <w:szCs w:val="20"/>
                <w:color w:val="auto"/>
              </w:rPr>
            </w:pPr>
          </w:p>
        </w:tc>
      </w:tr>
      <w:tr>
        <w:trPr>
          <w:trHeight w:val="439"/>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CLSN Laboratories, Inc.</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43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of Imunon, Inc. on Form S-1 (333-221543, 333-219414, 333-217156, 333-214353 and 333-234603), Form S-3 (Nos. 333-174960, 333-183286, 333-198786, 333-193936, 333-205608, 333-206789 and 333-227236) and on Form S-8 (Nos. 33 139784, 333-145680, 333-183288, 333-207864) of Imunon, Inc. of our report dated March 27, 2024 (which includes an explanatory paragraph relating to the Imunon, Inc. ability to continue as a going concern), relating to the consolidated financial statements as of and for the years ended December 31, 2023 and 2022, which appear in this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CERTIFICATION OF THE CHIEF EXECUTIVE OFFICER PURSUANT TO SECURITIES EXCHANGE ACT OF 1934 RULES 13a-14(a) AND 15d-14(a) AS ADOPTED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 Tardugno, certify that:</w:t>
      </w:r>
    </w:p>
    <w:p>
      <w:pPr>
        <w:spacing w:after="0" w:line="225"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Imunon,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CERTIFICATION OF THE CHIEF FINANCIAL OFFICER PURSUANT TO SECURITIES EXCHANGE ACT OF 1934 RULES 13a-14(a) AND 15d-14(a) AS ADOPTED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25"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Imunon,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Imunon, Inc. (the “Company”) for the year ended December 31, 2023, as filed with the Securities and Exchange Commission on or about March 28, 2024 (the “Report”), I, Michael H. Tardugno, President and Chief Executive Officer of the Company,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Imunon, Inc. (the “Company”) for the year ended December 31, 2023, as filed with the Securities and Exchange Commission on or about March Date: March 28, 2024 (the “Report”), I, Jeffrey W. Church, Executive Vice President and Chief Financial Officer of the Company,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Incentive Compensation Recovery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Purpose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Imunon,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this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which requires the recovery of certain executive compensation in the event that the Company is required to prepare an Accounting Restatement (as defined below). References herein to the Company also include all of its consolidated direct and indirect subsidiaries. This Policy is designed to comply with Section 10D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Rule 10D-1 thereunder, and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Listing Rule 5608 (“</w:t>
      </w:r>
      <w:r>
        <w:rPr>
          <w:rFonts w:ascii="Times New Roman" w:cs="Times New Roman" w:eastAsia="Times New Roman" w:hAnsi="Times New Roman"/>
          <w:sz w:val="18"/>
          <w:szCs w:val="18"/>
          <w:u w:val="single" w:color="auto"/>
          <w:color w:val="auto"/>
        </w:rPr>
        <w:t>Rule 5608</w:t>
      </w:r>
      <w:r>
        <w:rPr>
          <w:rFonts w:ascii="Times New Roman" w:cs="Times New Roman" w:eastAsia="Times New Roman" w:hAnsi="Times New Roman"/>
          <w:sz w:val="18"/>
          <w:szCs w:val="18"/>
          <w:color w:val="auto"/>
        </w:rPr>
        <w:t>”) and will be interpreted and applied accordingly.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Administration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will be administered by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Committee is authorized to interpret and construe this Policy and to make all determinations necessary, appropriate, or advisable for the administration of this Policy. Any determinations made by the Committee will be final and binding on all affected individuals.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Covered Persons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applies to the Company’s current and former executive officers, as determined pursuant to Rule 16a-1(f) promulgated under the Exchange Act and including executive officers identified under Item 401(b) of Regulation S-K (“</w:t>
      </w:r>
      <w:r>
        <w:rPr>
          <w:rFonts w:ascii="Times New Roman" w:cs="Times New Roman" w:eastAsia="Times New Roman" w:hAnsi="Times New Roman"/>
          <w:sz w:val="18"/>
          <w:szCs w:val="18"/>
          <w:u w:val="single" w:color="auto"/>
          <w:color w:val="auto"/>
        </w:rPr>
        <w:t>Executive Officers</w:t>
      </w:r>
      <w:r>
        <w:rPr>
          <w:rFonts w:ascii="Times New Roman" w:cs="Times New Roman" w:eastAsia="Times New Roman" w:hAnsi="Times New Roman"/>
          <w:sz w:val="18"/>
          <w:szCs w:val="18"/>
          <w:color w:val="auto"/>
        </w:rPr>
        <w:t>,” and together with any former Executive Officer,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Recoupment upon an Accounting Restatement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the Company is required to prepare an Accounting Restatement, the Company will recover reasonably promptly all Erroneously Awarded Compensation from each Covered Person, unless the Committee determines in accordance with Section VI below that such recovery is impracticable. For purposes of the foregoing:</w:t>
      </w:r>
    </w:p>
    <w:p>
      <w:pPr>
        <w:spacing w:after="0" w:line="176" w:lineRule="exact"/>
        <w:rPr>
          <w:sz w:val="20"/>
          <w:szCs w:val="20"/>
          <w:color w:val="auto"/>
        </w:rPr>
      </w:pPr>
    </w:p>
    <w:p>
      <w:pPr>
        <w:jc w:val="both"/>
        <w:ind w:left="660" w:hanging="328"/>
        <w:spacing w:after="0" w:line="253"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Restatement</w:t>
      </w:r>
      <w:r>
        <w:rPr>
          <w:rFonts w:ascii="Times New Roman" w:cs="Times New Roman" w:eastAsia="Times New Roman" w:hAnsi="Times New Roman"/>
          <w:sz w:val="18"/>
          <w:szCs w:val="18"/>
          <w:color w:val="auto"/>
        </w:rPr>
        <w:t>” means an accounting restatement of any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to correct an error that is not material to previously issued financial statements, but would result in a material misstatement if the error were corrected in the current period or left uncorrected in the current period, within the meaning of Rule 10D-1 and Rule 5608. For the avoidance of doubt, an Accounting Restatement will not be deemed to occur in the event of a restatement of the Company’s financial statements due to an out-of-period adjustment or due to a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or (v) revision for stock splits, reverse stock splits, stock dividends, or other changes in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jc w:val="both"/>
        <w:ind w:left="660" w:hanging="328"/>
        <w:spacing w:after="0" w:line="25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Incentive Compensation</w:t>
      </w:r>
      <w:r>
        <w:rPr>
          <w:rFonts w:ascii="Times New Roman" w:cs="Times New Roman" w:eastAsia="Times New Roman" w:hAnsi="Times New Roman"/>
          <w:sz w:val="18"/>
          <w:szCs w:val="18"/>
          <w:color w:val="auto"/>
        </w:rPr>
        <w:t>” means Incentive Compensation Received on or after October 2, 2023 by a person: (i) after beginning service as an Executive Officer, (ii) who served as an Executive Officer at any time during the performance period for that Incentive Compensation, and (iii) while the Company has a class of securities listed on a national securities exchange or a national securities association, and (iv) during the three completed fiscal years immediately preceding the date that the Company is required to prepare the Accounting Restatement (or such longer period as required under Rule 5608 in the event the Company changes its fiscal year). The date that the Company is required to prepare the Accounting Restatement will be the earlier of (x) the date the Board, a committee of the Board, or the officer or officers of the Company authorized to take such action if Board action is not required, concludes or reasonably should have concluded that the Accounting Restatement is required, and (y) the date a court, regulator or other authorized body directs the Company to prepare the Accounting Restatement.</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the amount of Covered Incentive Compensation that was Received by each Covered Person in excess of the Covered Incentive Compensation that would have been Received by the Covered Person had such Covered Incentive Compensation been determined based on the restated Financial Reporting Measure following an Accounting Restatement, computed without regard to taxes paid. For this purpose, if the amount of Covered Incentive Compensation that is Received by a Covered Person was based on the Company’s stock price or total shareholder return and is not subject to mathematical recalculation directly from the Accounting Restatement, the amount to be recovered as Erroneously Awarded Compensation shall be based on a reasonable estimate of the effect of the Accounting Restatement on the Financial Reporting Measure upon which the Covered Incentive Compensation was Received. The Company’s Chief Financial Officer shall, on behalf of the Committee, obtain and maintain all documentation of the determination of any such reasonable estimate and provide such documentation to Nasdaq when required.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w:t>
      </w:r>
      <w:r>
        <w:rPr>
          <w:rFonts w:ascii="Times New Roman" w:cs="Times New Roman" w:eastAsia="Times New Roman" w:hAnsi="Times New Roman"/>
          <w:sz w:val="18"/>
          <w:szCs w:val="18"/>
          <w:color w:val="auto"/>
        </w:rPr>
        <w:t>” means (i) any measure that is determined and presented in accordance with the accounting principles used in preparing the Company’s financial statements and any measure that is derived wholly or in part from any such measure, and (ii) the Company’s stock price and the total stockholder return of the Company. A measure, however, need not be presented within the financial statements or included in a filing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to constitute a Financial Reporting Measure.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For the avoidance of doubt, Incentive Compensation shall also be deemed to include any amounts which were determined based on (or were otherwise calculated by reference to) Incentive Compensation (including, without limitation, any amounts under any long-term disability, life insurance or supplemental retirement plan or any notional account that is based on Incentive Compensation, as well as any earnings accrued thereon).</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 Incentive Compensation is deemed “Received” in the Company’s fiscal period during which the Financial Reporting Measure specified in such Incentive Compensation is attained, even if the payment or grant of Incentive Compensation occurs after the end of the period.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Recoupment of Erroneously Awarded Compensation pursuant to this Policy is made on a “no fault” basis, without regard to whether any misconduct occurred or whether any Covered Person has responsibility for the noncompliance that resulted in the Accounting Restatement.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Method of Recoupment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will determine, in its sole discretion, the method for recouping Erroneously Awarded Compensation hereunder, which may include, without limitation, any of the following:</w:t>
      </w:r>
    </w:p>
    <w:p>
      <w:pPr>
        <w:spacing w:after="0" w:line="162"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or since the vesting, exercise, settlement, sale, transfer, or other disposition of any equity-based awards;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Covered Person (including, without limitation, any severance otherwise payable by the Company to the Covered Person);</w:t>
      </w: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deduction from the Covered Person’s salary;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Covered Person to transfer back to the Company any shares he or she received pursuant to an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to the Company any shares being held pursuant to stock ownership guidelines;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reducing the number of shares subject to, or the value of, outstanding vested or unvested equity awards; and/or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Committee.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will consider Section 409A of the U.S. Internal Revenue Code of 1986, as amended, prior to offsetting recouped amounts against future payments of deferred compensation. In addition, the Committee may, in its sole discretion, determine whether and to what extent additional action is appropriate to address the circumstances surrounding the noncompliance so as to minimize the likelihood of any recurrence.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Impracticability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Committee will recover any Erroneously Awarded Compensation in accordance with this Policy unless the Committee determines that such recovery would be impracticable because (i) the direct expense paid to a third party to assist in enforcing the Policy would exceed the amount to be recovered, (ii) recovery would violate an applicable home country law adopted prior to November 28, 2022, or (iii) recovery would likely cause an otherwise tax-qualified, broad-based retirement plan of the Company to fail to meet the requirements of 26 U.S.C. 401(a)(13) or 26 U.S.C. 411(a) and regulations thereunder. Before concluding that it would be impracticable to recover any Erroneously Awarded Compensation based on the expense of enforcement, the Company shall make a reasonable attempt to recover such Erroneously Awarded Compensation, and the Company’s Chief Financial Officer, on behalf of the Committee, shall document such reasonable attempt(s) to recover and provide that documentation to the Nasdaq when required. Before concluding that it would be impracticable to recover any amount of Erroneously Awarded Compensation based on violation of law, the Committee shall engage legal counsel experienced and qualified to practice law in the applicable jurisdiction (if such counsel is acceptable to the Nasdaq) to render an opinion that recovery would result in a violation of law and shall provide such opinion to the Nasdaq. The Company shall provide funding for the fees and expenses of such legal counsel as approved by the Committee.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No Indemnification or 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Company nor any of its subsidiaries or affiliates shall indemnify any Covered Person against the loss of any Erroneously Awarded Compensation. Further, neither the Company nor any of its subsidiaries or affiliates shall pay or reimburse any Covered Person for any insurance policy entered into by a Covered Person that provides for full or partial coverage of any recoupment obligation under this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VIII. Amendment;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or the Committee may amend this Policy from time to time in its discretion in any manner consistent with applicable law and regulation. The Board or Committee may terminate this Policy at any time when the Company does not have a class of securities listed on a national securities exchange or a national securities association.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IX. Other Recoupment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Any right of recoupment under this Policy is in addition to, and not in lieu of, any other remedies or rights of recoupment that may be available to the Company (a) under applicable law, regulation or rule, (b) pursuant to the terms of, any similar policy or recoupment provision in any employment agreement, severance agreement, equity award agreement, bonus plan, or similar agreement or plan, and (c) any other legal remedies available to the Company. Further, the provisions of this Policy are in addition to (and not in lieu of) any rights to repayment the Company may have under Section 304 of the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Successors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Persons and their beneficiaries, heirs, executors, administrators, or other legal representatives.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circumstances of any recoupment pursuant to this Policy will be publicly disclosed where required by Rule 10D-1, Item 402 of Regulation S-K and Rule 5608. In accordance with Rule 10D-1, the Policy shall be filed with the SEC as an exhibit to the Company’s Form 10-K, as provided in Item 601(b)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XII. Change of Listing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Company lists its securities on any national securities exchange or national securities association other than the Nasdaq, all references to Nasdaq in this Policy shall mean each national securities exchange or national securities association upon which the Company has a class of securities then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lvl w:ilvl="1">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1)"/>
      <w:numFmt w:val="lowerRoman"/>
      <w:start w:val="2"/>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1)"/>
      <w:numFmt w:val="lowerLetter"/>
      <w:start w:val="2"/>
    </w:lvl>
  </w:abstractNum>
  <w:abstractNum w:abstractNumId="33">
    <w:nsid w:val="7644A45C"/>
    <w:multiLevelType w:val="hybridMultilevel"/>
    <w:lvl w:ilvl="0">
      <w:lvlJc w:val="left"/>
      <w:lvlText w:val="(%1)"/>
      <w:numFmt w:val="lowerLetter"/>
      <w:start w:val="3"/>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decimal"/>
      <w:start w:val="3"/>
    </w:lvl>
  </w:abstractNum>
  <w:abstractNum w:abstractNumId="41">
    <w:nsid w:val="75C6C33A"/>
    <w:multiLevelType w:val="hybridMultilevel"/>
    <w:lvl w:ilvl="0">
      <w:lvlJc w:val="left"/>
      <w:lvlText w:val="(%1)"/>
      <w:numFmt w:val="decimal"/>
      <w:start w:val="4"/>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10"/>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decimal"/>
      <w:start w:val="1"/>
    </w:lvl>
    <w:lvl w:ilvl="1">
      <w:lvlJc w:val="left"/>
      <w:lvlText w:val="(%2)"/>
      <w:numFmt w:val="lowerLetter"/>
      <w:start w:val="1"/>
    </w:lvl>
  </w:abstractNum>
  <w:abstractNum w:abstractNumId="55">
    <w:nsid w:val="354FE9F9"/>
    <w:multiLevelType w:val="hybridMultilevel"/>
    <w:lvl w:ilvl="0">
      <w:lvlJc w:val="left"/>
      <w:lvlText w:val="%1."/>
      <w:numFmt w:val="decimal"/>
      <w:start w:val="1"/>
    </w:lvl>
    <w:lvl w:ilvl="1">
      <w:lvlJc w:val="left"/>
      <w:lvlText w:val="(%2)"/>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17" Type="http://schemas.openxmlformats.org/officeDocument/2006/relationships/image" Target="media/image78.png"/><Relationship Id="rId118" Type="http://schemas.openxmlformats.org/officeDocument/2006/relationships/image" Target="media/image79.png"/><Relationship Id="rId119" Type="http://schemas.openxmlformats.org/officeDocument/2006/relationships/image" Target="media/image80.png"/><Relationship Id="rId120" Type="http://schemas.openxmlformats.org/officeDocument/2006/relationships/image" Target="media/image81.png"/><Relationship Id="rId121" Type="http://schemas.openxmlformats.org/officeDocument/2006/relationships/image" Target="media/image82.png"/><Relationship Id="rId122" Type="http://schemas.openxmlformats.org/officeDocument/2006/relationships/image" Target="media/image83.png"/><Relationship Id="rId123"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png"/><Relationship Id="rId126" Type="http://schemas.openxmlformats.org/officeDocument/2006/relationships/image" Target="media/image87.pn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140" Type="http://schemas.openxmlformats.org/officeDocument/2006/relationships/image" Target="media/image101.png"/><Relationship Id="rId141" Type="http://schemas.openxmlformats.org/officeDocument/2006/relationships/image" Target="media/image102.png"/><Relationship Id="rId142"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85" Type="http://schemas.openxmlformats.org/officeDocument/2006/relationships/hyperlink" Target="https://www.sec.gov/Archives/edgar/data/749647/000143774914014489/ex2-1.htm" TargetMode="External"/><Relationship Id="rId86" Type="http://schemas.openxmlformats.org/officeDocument/2006/relationships/hyperlink" Target="https://www.sec.gov/Archives/edgar/data/749647/000149315219004381/ex10-1.htm" TargetMode="External"/><Relationship Id="rId87" Type="http://schemas.openxmlformats.org/officeDocument/2006/relationships/hyperlink" Target="https://www.sec.gov/Archives/edgar/data/749647/000149315223008888/ex3-1.htm" TargetMode="External"/><Relationship Id="rId88" Type="http://schemas.openxmlformats.org/officeDocument/2006/relationships/hyperlink" Target="https://www.sec.gov/Archives/edgar/data/749647/000149315224010195/ex3-1.htm" TargetMode="External"/><Relationship Id="rId89" Type="http://schemas.openxmlformats.org/officeDocument/2006/relationships/hyperlink" Target="https://www.sec.gov/Archives/edgar/data/749647/000143774917017965/ex_98287.htm" TargetMode="External"/><Relationship Id="rId90" Type="http://schemas.openxmlformats.org/officeDocument/2006/relationships/hyperlink" Target="https://www.sec.gov/Archives/edgar/data/749647/000143774917012481/ex4-4.htm" TargetMode="External"/><Relationship Id="rId91" Type="http://schemas.openxmlformats.org/officeDocument/2006/relationships/hyperlink" Target="https://www.sec.gov/Archives/edgar/data/749647/000149315220017312/ex4-1.htm" TargetMode="External"/><Relationship Id="rId92" Type="http://schemas.openxmlformats.org/officeDocument/2006/relationships/hyperlink" Target="https://www.sec.gov/Archives/edgar/data/749647/000149315220003910/ex4-1.htm" TargetMode="External"/><Relationship Id="rId93" Type="http://schemas.openxmlformats.org/officeDocument/2006/relationships/hyperlink" Target="https://www.sec.gov/Archives/edgar/data/749647/000149315219007214/ex4-1.htm" TargetMode="External"/><Relationship Id="rId94" Type="http://schemas.openxmlformats.org/officeDocument/2006/relationships/hyperlink" Target="https://www.sec.gov/Archives/edgar/data/749647/000149315220004717/ex4-5.htm" TargetMode="External"/><Relationship Id="rId95" Type="http://schemas.openxmlformats.org/officeDocument/2006/relationships/hyperlink" Target="https://www.sec.gov/Archives/edgar/data/749647/000143774917009400/ex10-1.htm" TargetMode="External"/><Relationship Id="rId96" Type="http://schemas.openxmlformats.org/officeDocument/2006/relationships/hyperlink" Target="https://www.sec.gov/Archives/edgar/data/749647/000143774917019215/ex_99691.htm" TargetMode="External"/><Relationship Id="rId97" Type="http://schemas.openxmlformats.org/officeDocument/2006/relationships/hyperlink" Target="https://www.sec.gov/Archives/edgar/data/749647/000143774918010040/ex_114605.htm" TargetMode="External"/><Relationship Id="rId98" Type="http://schemas.openxmlformats.org/officeDocument/2006/relationships/hyperlink" Target="https://www.sec.gov/Archives/edgar/data/749647/000149315220011263/ex10-1.htm" TargetMode="External"/><Relationship Id="rId99" Type="http://schemas.openxmlformats.org/officeDocument/2006/relationships/hyperlink" Target="https://www.sec.gov/Archives/edgar/data/749647/000149315221014023/ex10-1.htm" TargetMode="External"/><Relationship Id="rId100" Type="http://schemas.openxmlformats.org/officeDocument/2006/relationships/hyperlink" Target="https://www.sec.gov/Archives/edgar/data/749647/000074964710000024/offerletter.htm" TargetMode="External"/><Relationship Id="rId101" Type="http://schemas.openxmlformats.org/officeDocument/2006/relationships/hyperlink" Target="https://www.sec.gov/Archives/edgar/data/749647/000143774915004805/ex10-27.htm" TargetMode="External"/><Relationship Id="rId102" Type="http://schemas.openxmlformats.org/officeDocument/2006/relationships/hyperlink" Target="https://www.sec.gov/Archives/edgar/data/749647/000149315222019765/ex10-2.htm" TargetMode="External"/><Relationship Id="rId103" Type="http://schemas.openxmlformats.org/officeDocument/2006/relationships/hyperlink" Target="https://www.sec.gov/Archives/edgar/data/749647/000149315222019765/ex10-1.htm" TargetMode="External"/><Relationship Id="rId104" Type="http://schemas.openxmlformats.org/officeDocument/2006/relationships/hyperlink" Target="https://www.sec.gov/Archives/edgar/data/749647/000143774916041670/ex10-1.htm" TargetMode="External"/><Relationship Id="rId105" Type="http://schemas.openxmlformats.org/officeDocument/2006/relationships/hyperlink" Target="https://www.sec.gov/Archives/edgar/data/749647/000143774916041670/ex10-3.htm" TargetMode="External"/><Relationship Id="rId106" Type="http://schemas.openxmlformats.org/officeDocument/2006/relationships/hyperlink" Target="https://www.sec.gov/Archives/edgar/data/749647/000104746909003319/a2191931zex-10_15.htm" TargetMode="External"/><Relationship Id="rId107" Type="http://schemas.openxmlformats.org/officeDocument/2006/relationships/hyperlink" Target="https://www.sec.gov/Archives/edgar/data/749647/000074964711000009/amend2yakult.htm" TargetMode="External"/><Relationship Id="rId108" Type="http://schemas.openxmlformats.org/officeDocument/2006/relationships/hyperlink" Target="https://www.sec.gov/Archives/edgar/data/749647/000143774912008356/ex10-2.htm" TargetMode="External"/><Relationship Id="rId109" Type="http://schemas.openxmlformats.org/officeDocument/2006/relationships/hyperlink" Target="https://www.sec.gov/Archives/edgar/data/749647/000143774913005568/ex10-1.htm" TargetMode="External"/><Relationship Id="rId110" Type="http://schemas.openxmlformats.org/officeDocument/2006/relationships/hyperlink" Target="https://www.sec.gov/Archives/edgar/data/749647/000074964711000106/exhibit99_1.htm" TargetMode="External"/><Relationship Id="rId111" Type="http://schemas.openxmlformats.org/officeDocument/2006/relationships/hyperlink" Target="https://www.sec.gov/Archives/edgar/data/749647/000143774917019215/ex_99690.htm" TargetMode="External"/><Relationship Id="rId112" Type="http://schemas.openxmlformats.org/officeDocument/2006/relationships/hyperlink" Target="https://www.sec.gov/Archives/edgar/data/749647/000149315219007214/ex10-1.htm" TargetMode="External"/><Relationship Id="rId113" Type="http://schemas.openxmlformats.org/officeDocument/2006/relationships/hyperlink" Target="https://www.sec.gov/Archives/edgar/data/749647/000143774918009535/ex_113795.htm" TargetMode="External"/><Relationship Id="rId114" Type="http://schemas.openxmlformats.org/officeDocument/2006/relationships/hyperlink" Target="https://www.sec.gov/Archives/edgar/data/749647/000149315220011263/ex10-2.htm" TargetMode="External"/><Relationship Id="rId115" Type="http://schemas.openxmlformats.org/officeDocument/2006/relationships/hyperlink" Target="https://www.sec.gov/Archives/edgar/data/749647/000149315220003910/ex10-1.htm" TargetMode="External"/><Relationship Id="rId116" Type="http://schemas.openxmlformats.org/officeDocument/2006/relationships/hyperlink" Target="https://www.sec.gov/Archives/edgar/data/749647/00014931522201506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2024-03-28T07:24:49Z</dcterms:created>
  <dcterms:modified xsi:type="dcterms:W3CDTF">2024-03-28T07:24:49Z</dcterms:modified>
</cp:coreProperties>
</file>