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20" w:right="1820" w:hanging="4012"/>
        <w:spacing w:after="0" w:line="501" w:lineRule="auto"/>
        <w:tabs>
          <w:tab w:leader="none" w:pos="82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-7620</wp:posOffset>
            </wp:positionV>
            <wp:extent cx="809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001-15911</w:t>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CELSION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8"/>
              </w:rPr>
              <w:t>DELAWARE</w:t>
            </w:r>
          </w:p>
        </w:tc>
        <w:tc>
          <w:tcPr>
            <w:tcW w:w="4660" w:type="dxa"/>
            <w:vAlign w:val="bottom"/>
          </w:tcPr>
          <w:p>
            <w:pPr>
              <w:jc w:val="right"/>
              <w:ind w:right="2270"/>
              <w:spacing w:after="0"/>
              <w:rPr>
                <w:sz w:val="20"/>
                <w:szCs w:val="20"/>
                <w:color w:val="auto"/>
              </w:rPr>
            </w:pPr>
            <w:r>
              <w:rPr>
                <w:rFonts w:ascii="Arial" w:cs="Arial" w:eastAsia="Arial" w:hAnsi="Arial"/>
                <w:sz w:val="18"/>
                <w:szCs w:val="18"/>
                <w:b w:val="1"/>
                <w:bCs w:val="1"/>
                <w:color w:val="auto"/>
              </w:rPr>
              <w:t>52-1256615</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6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96"/>
        </w:trPr>
        <w:tc>
          <w:tcPr>
            <w:tcW w:w="676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9"/>
              </w:rPr>
              <w:t>997 LENOX DRIVE, SUITE 100</w:t>
            </w:r>
          </w:p>
        </w:tc>
        <w:tc>
          <w:tcPr>
            <w:tcW w:w="4660" w:type="dxa"/>
            <w:vAlign w:val="bottom"/>
          </w:tcPr>
          <w:p>
            <w:pPr>
              <w:spacing w:after="0"/>
              <w:rPr>
                <w:sz w:val="24"/>
                <w:szCs w:val="24"/>
                <w:color w:val="auto"/>
              </w:rPr>
            </w:pPr>
          </w:p>
        </w:tc>
      </w:tr>
      <w:tr>
        <w:trPr>
          <w:trHeight w:val="234"/>
        </w:trPr>
        <w:tc>
          <w:tcPr>
            <w:tcW w:w="676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rPr>
              <w:t>LAWRENCEVILLE, NJ</w:t>
            </w:r>
          </w:p>
        </w:tc>
        <w:tc>
          <w:tcPr>
            <w:tcW w:w="4660" w:type="dxa"/>
            <w:vAlign w:val="bottom"/>
          </w:tcPr>
          <w:p>
            <w:pPr>
              <w:jc w:val="right"/>
              <w:ind w:right="2490"/>
              <w:spacing w:after="0"/>
              <w:rPr>
                <w:sz w:val="20"/>
                <w:szCs w:val="20"/>
                <w:color w:val="auto"/>
              </w:rPr>
            </w:pPr>
            <w:r>
              <w:rPr>
                <w:rFonts w:ascii="Arial" w:cs="Arial" w:eastAsia="Arial" w:hAnsi="Arial"/>
                <w:sz w:val="18"/>
                <w:szCs w:val="18"/>
                <w:b w:val="1"/>
                <w:bCs w:val="1"/>
                <w:color w:val="auto"/>
              </w:rPr>
              <w:t>08648</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2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6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b w:val="1"/>
                <w:bCs w:val="1"/>
                <w:color w:val="auto"/>
                <w:w w:val="94"/>
              </w:rPr>
              <w:t>(Zip Code)</w:t>
            </w:r>
          </w:p>
        </w:tc>
      </w:tr>
      <w:tr>
        <w:trPr>
          <w:trHeight w:val="414"/>
        </w:trPr>
        <w:tc>
          <w:tcPr>
            <w:tcW w:w="67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(609) 896-9100</w:t>
            </w:r>
          </w:p>
        </w:tc>
        <w:tc>
          <w:tcPr>
            <w:tcW w:w="466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Title of Each Class</w:t>
            </w:r>
          </w:p>
        </w:tc>
        <w:tc>
          <w:tcPr>
            <w:tcW w:w="5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28"/>
        </w:trPr>
        <w:tc>
          <w:tcPr>
            <w:tcW w:w="588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COMMON STOCK, PAR VALUE $0.01 PER SHARE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rPr>
              <w:t>NASDAQ CAPITAL MARKET</w:t>
            </w:r>
          </w:p>
        </w:tc>
      </w:tr>
    </w:tbl>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0"/>
          <w:szCs w:val="20"/>
          <w:color w:val="auto"/>
        </w:rPr>
      </w:pP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0"/>
          <w:szCs w:val="20"/>
          <w:color w:val="auto"/>
        </w:rPr>
      </w:pP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300"/>
              <w:spacing w:after="0"/>
              <w:rPr>
                <w:sz w:val="20"/>
                <w:szCs w:val="20"/>
                <w:color w:val="auto"/>
              </w:rPr>
            </w:pPr>
            <w:r>
              <w:rPr>
                <w:rFonts w:ascii="Arial" w:cs="Arial" w:eastAsia="Arial" w:hAnsi="Arial"/>
                <w:sz w:val="18"/>
                <w:szCs w:val="18"/>
                <w:color w:val="auto"/>
                <w:w w:val="97"/>
              </w:rPr>
              <w:t>(Do not check if a smaller reporting company)</w:t>
            </w:r>
          </w:p>
        </w:tc>
        <w:tc>
          <w:tcPr>
            <w:tcW w:w="2480" w:type="dxa"/>
            <w:vAlign w:val="bottom"/>
          </w:tcPr>
          <w:p>
            <w:pPr>
              <w:ind w:left="20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Securities Exchange Act of 1934).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$12 million as of June 30, 2017 (the last business day of the Registrant’s most recently completed second fiscal quarter) based on the closing sale price of $2.05 for the Registrant’s common stock on that date as reported by The NASDAQ Capital Market. For purposes of this calculation, shares of common stock held by directors, officers and stockholders who own greater than 10% of the Registrant’s outstanding stock at June 30, 2017 were excluded. This determination of executive officers and directors as affiliates is not necessarily a conclusive determination for any other purpose.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26, 2018, 17,740,035 shares of the Registrant’s common stock were issued and outstanding.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the Registrant’s definitive Proxy Statement to be filed for its 2018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0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80"/>
              <w:spacing w:after="0"/>
              <w:rPr>
                <w:sz w:val="20"/>
                <w:szCs w:val="20"/>
                <w:color w:val="auto"/>
              </w:rPr>
            </w:pPr>
            <w:r>
              <w:rPr>
                <w:rFonts w:ascii="Arial" w:cs="Arial" w:eastAsia="Arial" w:hAnsi="Arial"/>
                <w:sz w:val="18"/>
                <w:szCs w:val="18"/>
                <w:color w:val="auto"/>
              </w:rPr>
              <w:t>BUSINESS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FORWARD-LOOKING STATEMENTS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OVERVIEW</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THERMODOX® (DOXORUBICIN ENCAPSULATED IN HEAT-ACTIVATED LIPOSOME)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THERMODOX® IN RELATION TO PRIMARY LIVER CANCER</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Liver Cancer Overview</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Celsion’s Approach</w:t>
            </w: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Phase I Clinical Trial – Primary Liver Cancer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701 Patient Phase III Global Clinical Trial – Primary Liver Cancer (The HEAT Study)</w:t>
            </w: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550 Patient Phase III Global Clinical Trial – Primary Liver Cancer (The OPTIMA Study)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GEN-1 (IL-12 DNA PLASMID VECTOR ENCASED IN A NANOPARTICLE DELIVERY SYSTEM)</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Ovarian Cancer Overview</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Celsion’s Approach</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GEN-1 OVATION Study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THERAPLAS TECHNOLOGY PLATFORM</w:t>
            </w: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BUSINESS STRATEGY AND DEVELOPMENT PLAN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RESEARCH AND DEVELOPMENT EXPENDITURES</w:t>
            </w: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GOVERNMENT REGULATION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Regulation in the United States</w:t>
            </w: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Orphan Drug Designation</w:t>
            </w: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Hatch-Waxman Exclusivity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Post-Approval Requirements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Regulation outside of the 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MANUFACTURING AND SUPPLY</w:t>
            </w: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SALES AND MARKETING</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PRODUCT LIABILITY AND INSURANCE</w:t>
            </w: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COMPETITION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ThermoDox®</w:t>
            </w: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INTELLECTUAL PROPERTY</w:t>
            </w: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Licenses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Patents and Proprietary Rights</w:t>
            </w: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COMPANY INFORMATION</w:t>
            </w: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40" w:type="dxa"/>
            <w:vAlign w:val="bottom"/>
            <w:shd w:val="clear" w:color="auto" w:fill="CCEEFF"/>
          </w:tcPr>
          <w:p>
            <w:pPr>
              <w:spacing w:after="0"/>
              <w:rPr>
                <w:sz w:val="18"/>
                <w:szCs w:val="18"/>
                <w:color w:val="auto"/>
              </w:rPr>
            </w:pP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INFORMATION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40" w:type="dxa"/>
            <w:vAlign w:val="bottom"/>
          </w:tcPr>
          <w:p>
            <w:pPr>
              <w:spacing w:after="0"/>
              <w:rPr>
                <w:sz w:val="18"/>
                <w:szCs w:val="18"/>
                <w:color w:val="auto"/>
              </w:rPr>
            </w:pPr>
          </w:p>
        </w:tc>
        <w:tc>
          <w:tcPr>
            <w:tcW w:w="9000" w:type="dxa"/>
            <w:vAlign w:val="bottom"/>
          </w:tcPr>
          <w:p>
            <w:pPr>
              <w:ind w:left="80"/>
              <w:spacing w:after="0"/>
              <w:rPr>
                <w:sz w:val="20"/>
                <w:szCs w:val="20"/>
                <w:color w:val="auto"/>
              </w:rPr>
            </w:pPr>
            <w:r>
              <w:rPr>
                <w:rFonts w:ascii="Arial" w:cs="Arial" w:eastAsia="Arial" w:hAnsi="Arial"/>
                <w:sz w:val="18"/>
                <w:szCs w:val="18"/>
                <w:color w:val="auto"/>
              </w:rPr>
              <w:t>RECENT EVENTS</w:t>
            </w: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RISK FACTORS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1B.</w:t>
            </w:r>
          </w:p>
        </w:tc>
        <w:tc>
          <w:tcPr>
            <w:tcW w:w="9000" w:type="dxa"/>
            <w:vAlign w:val="bottom"/>
          </w:tcPr>
          <w:p>
            <w:pPr>
              <w:ind w:left="80"/>
              <w:spacing w:after="0"/>
              <w:rPr>
                <w:sz w:val="20"/>
                <w:szCs w:val="20"/>
                <w:color w:val="auto"/>
              </w:rPr>
            </w:pPr>
            <w:r>
              <w:rPr>
                <w:rFonts w:ascii="Arial" w:cs="Arial" w:eastAsia="Arial" w:hAnsi="Arial"/>
                <w:sz w:val="18"/>
                <w:szCs w:val="18"/>
                <w:color w:val="auto"/>
              </w:rPr>
              <w:t>UNRESOLVED STAFF COMMENTS</w:t>
            </w: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PROPERTIES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00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MINE SAFETY DISCLOSURES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jc w:val="center"/>
              <w:ind w:right="230"/>
              <w:spacing w:after="0"/>
              <w:rPr>
                <w:sz w:val="20"/>
                <w:szCs w:val="20"/>
                <w:color w:val="auto"/>
              </w:rPr>
            </w:pPr>
            <w:r>
              <w:rPr>
                <w:rFonts w:ascii="Arial" w:cs="Arial" w:eastAsia="Arial" w:hAnsi="Arial"/>
                <w:sz w:val="18"/>
                <w:szCs w:val="18"/>
                <w:b w:val="1"/>
                <w:bCs w:val="1"/>
                <w:color w:val="auto"/>
              </w:rPr>
              <w:t>CELSION CORPORATION</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jc w:val="center"/>
              <w:ind w:right="230"/>
              <w:spacing w:after="0"/>
              <w:rPr>
                <w:sz w:val="20"/>
                <w:szCs w:val="20"/>
                <w:color w:val="auto"/>
              </w:rPr>
            </w:pPr>
            <w:r>
              <w:rPr>
                <w:rFonts w:ascii="Arial" w:cs="Arial" w:eastAsia="Arial" w:hAnsi="Arial"/>
                <w:sz w:val="18"/>
                <w:szCs w:val="18"/>
                <w:b w:val="1"/>
                <w:bCs w:val="1"/>
                <w:color w:val="auto"/>
              </w:rPr>
              <w:t>FORM 10-K</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6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TABLE OF CONTENTS (continued)</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0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ITEM 5.</w:t>
            </w:r>
          </w:p>
        </w:tc>
        <w:tc>
          <w:tcPr>
            <w:tcW w:w="100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9"/>
              </w:rPr>
              <w:t>MARKET FOR REGISTRANT’S COMMON EQUITY, RELATED STOCKHOLDER MATTERS AND ISSUER PURCHASES OF</w:t>
            </w:r>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EQUITY SECURITIES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Market Price for Our Common Stock</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Dividend Policy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Unregistered Shares of Equity Securities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Issuer Purchases of Equity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SELECTED FINANCIAL DATA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7.</w:t>
            </w:r>
          </w:p>
        </w:tc>
        <w:tc>
          <w:tcPr>
            <w:tcW w:w="1006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Overview</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Significant Events</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Critical Accounting Policies and Estimates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Condition, Liquidity and Capital Resources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Contractual Obligations</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Off-Balance Sheet Arrangements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7A.</w:t>
            </w:r>
          </w:p>
        </w:tc>
        <w:tc>
          <w:tcPr>
            <w:tcW w:w="1006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9.</w:t>
            </w:r>
          </w:p>
        </w:tc>
        <w:tc>
          <w:tcPr>
            <w:tcW w:w="10060" w:type="dxa"/>
            <w:vAlign w:val="bottom"/>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9B.</w:t>
            </w:r>
          </w:p>
        </w:tc>
        <w:tc>
          <w:tcPr>
            <w:tcW w:w="1006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10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10.</w:t>
            </w:r>
          </w:p>
        </w:tc>
        <w:tc>
          <w:tcPr>
            <w:tcW w:w="10060" w:type="dxa"/>
            <w:vAlign w:val="bottom"/>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EXECUTIVE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ITEM 12.</w:t>
            </w:r>
          </w:p>
        </w:tc>
        <w:tc>
          <w:tcPr>
            <w:tcW w:w="10060" w:type="dxa"/>
            <w:vAlign w:val="bottom"/>
          </w:tcPr>
          <w:p>
            <w:pPr>
              <w:ind w:left="80"/>
              <w:spacing w:after="0" w:line="201" w:lineRule="exact"/>
              <w:rPr>
                <w:sz w:val="20"/>
                <w:szCs w:val="20"/>
                <w:color w:val="auto"/>
              </w:rPr>
            </w:pPr>
            <w:r>
              <w:rPr>
                <w:rFonts w:ascii="Arial" w:cs="Arial" w:eastAsia="Arial" w:hAnsi="Arial"/>
                <w:sz w:val="18"/>
                <w:szCs w:val="18"/>
                <w:color w:val="auto"/>
              </w:rPr>
              <w:t>SECURITY OWNERSHIP OF CERTAIN BENEFICIAL OWNERS AND MANAGEMENT AND RELATED STOCKHOLDER</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MATTERS</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14.</w:t>
            </w:r>
          </w:p>
        </w:tc>
        <w:tc>
          <w:tcPr>
            <w:tcW w:w="10060" w:type="dxa"/>
            <w:vAlign w:val="bottom"/>
          </w:tcPr>
          <w:p>
            <w:pPr>
              <w:ind w:left="80"/>
              <w:spacing w:after="0"/>
              <w:rPr>
                <w:sz w:val="20"/>
                <w:szCs w:val="20"/>
                <w:color w:val="auto"/>
              </w:rPr>
            </w:pPr>
            <w:r>
              <w:rPr>
                <w:rFonts w:ascii="Arial" w:cs="Arial" w:eastAsia="Arial" w:hAnsi="Arial"/>
                <w:sz w:val="18"/>
                <w:szCs w:val="18"/>
                <w:color w:val="auto"/>
              </w:rPr>
              <w:t>PRINCIPAL ACCOUNTANT FEES AND SERVICES</w:t>
            </w: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10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15.</w:t>
            </w:r>
          </w:p>
        </w:tc>
        <w:tc>
          <w:tcPr>
            <w:tcW w:w="10060" w:type="dxa"/>
            <w:vAlign w:val="bottom"/>
          </w:tcPr>
          <w:p>
            <w:pPr>
              <w:ind w:left="80"/>
              <w:spacing w:after="0"/>
              <w:rPr>
                <w:sz w:val="20"/>
                <w:szCs w:val="20"/>
                <w:color w:val="auto"/>
              </w:rPr>
            </w:pPr>
            <w:r>
              <w:rPr>
                <w:rFonts w:ascii="Arial" w:cs="Arial" w:eastAsia="Arial" w:hAnsi="Arial"/>
                <w:sz w:val="18"/>
                <w:szCs w:val="18"/>
                <w:color w:val="auto"/>
              </w:rPr>
              <w:t>EXHIBITS AND FINANCIAL STATEMENT SCHEDULES</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 FINANCIAL STATEMENTS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60" w:type="dxa"/>
            <w:vAlign w:val="bottom"/>
          </w:tcPr>
          <w:p>
            <w:pPr>
              <w:ind w:left="80"/>
              <w:spacing w:after="0"/>
              <w:rPr>
                <w:sz w:val="20"/>
                <w:szCs w:val="20"/>
                <w:color w:val="auto"/>
              </w:rPr>
            </w:pPr>
            <w:r>
              <w:rPr>
                <w:rFonts w:ascii="Arial" w:cs="Arial" w:eastAsia="Arial" w:hAnsi="Arial"/>
                <w:sz w:val="18"/>
                <w:szCs w:val="18"/>
                <w:color w:val="auto"/>
              </w:rPr>
              <w:t>2. FINANCIAL STATEMENT SCHEDULES</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3. EXHIBITS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16.</w:t>
            </w:r>
          </w:p>
        </w:tc>
        <w:tc>
          <w:tcPr>
            <w:tcW w:w="10060" w:type="dxa"/>
            <w:vAlign w:val="bottom"/>
          </w:tcPr>
          <w:p>
            <w:pPr>
              <w:ind w:left="80"/>
              <w:spacing w:after="0"/>
              <w:rPr>
                <w:sz w:val="20"/>
                <w:szCs w:val="20"/>
                <w:color w:val="auto"/>
              </w:rPr>
            </w:pPr>
            <w:r>
              <w:rPr>
                <w:rFonts w:ascii="Arial" w:cs="Arial" w:eastAsia="Arial" w:hAnsi="Arial"/>
                <w:sz w:val="18"/>
                <w:szCs w:val="18"/>
                <w:color w:val="auto"/>
              </w:rPr>
              <w:t>FORM 10-K SUMMARY</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8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88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ITEM1.</w:t>
      </w:r>
      <w:r>
        <w:rPr>
          <w:sz w:val="20"/>
          <w:szCs w:val="20"/>
          <w:color w:val="auto"/>
        </w:rPr>
        <w:tab/>
      </w:r>
      <w:r>
        <w:rPr>
          <w:rFonts w:ascii="Arial" w:cs="Arial" w:eastAsia="Arial" w:hAnsi="Arial"/>
          <w:sz w:val="18"/>
          <w:szCs w:val="18"/>
          <w:b w:val="1"/>
          <w:bCs w:val="1"/>
          <w:color w:val="auto"/>
        </w:rPr>
        <w:t>BUSINESS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Certain of the statements contained in this Annual Report on Form 10-K are forward-looking and constitute forward-looking statements within the meaning of Section 27A of the Securities Act of 1933, as amended (the “Securities Act”) and Section 21E of the Securities Exchange Act of 1934, as amended (the “Exchange Act”). In addition, from time to time we may publish forward-looking statements relating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that also constitute such forward-looking statements.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collaborators’ ability to obtain and maintain regulatory approval of any of our product candidates; possible changes in capital structure, financial condition, future working capital needs and other financial items;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product candidates and our ability to operate our business without infringing the intellectual property rights of others; our reliance on third parties to conduct preclinical studies or clinical trials; the rate and degree of market acceptance of any approved product candidates; possible actions by customers, suppliers, strategic partners, potential strategic partners, competitors and regulatory authorities; compliance with listing standards of The NASDAQ Capital Market; and those listed under “Risk Factors” below and elsewhere in this Annual Report on Form 10-K.</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on Form 10-K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 Unless the context requires otherwise or unless otherwise noted, all references in this Annual Report on Form 10-K to “Celsion” “the Company”, “we”, “us”, or “our” are to Celsion Corporation, a Delaware corporation and its wholly owned subsidiary, CLSN Laboratories, Inc., also a Delaware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Celsion brand and product names, including but not limited to Celsion®, and ThermoDox®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Celsion is a fully-integrated development stage oncology drug company focused on advancing a portfolio of innovative cancer treatments, including directed chemotherapies, DNA-mediated immunotherapy and RNA based therapies. Our lead product candidate is ThermoDox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 proprietary heat-activated liposomal encapsulation of doxorubicin, currently in a Phase III clinical trial for the treatment of primary liver cancer (the “OPTIMA Study”), and a Phase II clinical trial for the treatment of recurrent chest wall breast cancer (the “DIGNITY Study”). Second in our pipeline is GEN-1, a DNA-mediated immunotherapy for the localized treatment of ovarian and brain cancers. We have two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and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ThermoDox®, in combination with a standardized radiofrequency ablation (“RFA”), is being evaluated in a Phase III clinical trial for primary liver cancer (the “OPTIMA Study”). ThermoDox® is a heat sensitive liposomal encapsulation of doxorubicin, an approved and frequently used oncology drug for the treatment of a wide range of cancers. Localized heat at hyperthermia temperatures (greater than 40 degrees Celsius) releases the encapsulated doxorubicin from the liposome enabling high concentrations of doxorubicin to be deposited preferentially in and around the targeted tumor.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RFA, for newly diagnosed,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intermediate stage HCC patients. HCC incidence globally is approximately 850,000 new cases per year and is the third largest cancer indication globally. Approximately 30% of newly diagnosed patients can be addressed with RFA alone.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2014, we announced that the United States Food and Drug Administration (the “FDA”), after its customary 30-day review period,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(the “HEAT Study”), which is described below. The OPTIMA Study is supported by a hypothesis developed from an overall survival analysis of a large subgroup of patients from the HEAT Study.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initiated the OPTIMA Study in 2014. The OPTIMA Study was designed with extensive input from globally recognized hepatocellular carcinoma researchers and expert clinicians and after receiving formal written consultation from the FDA. The OPTIMA Study is expected to enroll up to 550 patients globally at up to 65 sites in the U.S., Canada, European Union (EU),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7, 2017, the Company announced that the independent Data Monitoring Committee (DMC) for the Company's OPTIMA Study completed a regularly scheduled review of the first 50% of patients enrolled in the trial and has unanimously recommended that the OPTIMA Study continue according to protocol to its final data readout. The DMC reviewed study data at regular intervals, with the primary responsibilities of ensuring the safety of all patients enrolled in the study, the quality of the data collected, and the continued scientific validity of the study design. As part of its review of the first 275 patients, the DMC monitored a quality matrix relating to the total clinical data set, confirming the timely collection of data, that all data are current as well as other data collection and quality criteria.</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hosted an Investigators Meeting with physicians in South East Asia and key opinion leaders on July 22-23, 2017 in Bangkok, Thailand. A second Investigators Meeting was held on September 23, 2017 with physicians in China. As of December 31, 2017, the Company had initiated approximately 65 clinical sites in 14 countries and has plans to activate up to 8 additional clinical trial sites in China and Vietnam by the middle of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and has been granted orphan drug designation for primary liver cancer in both the U.S. and the EU. Additionally, the U.S. FDA has provided ThermoDox® with a 505(b)(2) registration pathway. Subject to a successful trial, the OPTIMA Study has been designed to support registration in all key primary liver cancer markets. The Company fully expects to submit registrational applications in the U.S., Europe and China. The Company expects to submit and believes that applications will be accepted in South Korea, Taiwan and Vietnam, three other significant markets for ThermoDox® if it were to receive approval in Europe, China or the U.S.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Post-hoc data analysis from the Company’s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the Company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Additional findings from this most recent analysis specific to the Chinese patient cohort of 223 patients are summarized below:</w:t>
      </w:r>
    </w:p>
    <w:p>
      <w:pPr>
        <w:spacing w:after="0" w:line="225" w:lineRule="exact"/>
        <w:rPr>
          <w:sz w:val="20"/>
          <w:szCs w:val="20"/>
          <w:color w:val="auto"/>
        </w:rPr>
      </w:pPr>
    </w:p>
    <w:p>
      <w:pPr>
        <w:ind w:left="820" w:right="80" w:hanging="650"/>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population of 154 patients with a single lesion who received optimized RFA treatment for 45 minutes or more showed a 53% risk improvement in OS (HR = 0.66) when treated with ThermoDox® plus optimized RFA.</w:t>
      </w:r>
    </w:p>
    <w:p>
      <w:pPr>
        <w:spacing w:after="0" w:line="197" w:lineRule="exact"/>
        <w:rPr>
          <w:rFonts w:ascii="Arial" w:cs="Arial" w:eastAsia="Arial" w:hAnsi="Arial"/>
          <w:sz w:val="18"/>
          <w:szCs w:val="18"/>
          <w:color w:val="auto"/>
        </w:rPr>
      </w:pPr>
    </w:p>
    <w:p>
      <w:pPr>
        <w:jc w:val="both"/>
        <w:ind w:left="820" w:right="80" w:hanging="650"/>
        <w:spacing w:after="0" w:line="259"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data continue to support and further strengthen ThermoDox®’s potential to significantly improve OS compared to an RFA control in patients with lesions that undergo optimized RFA treatment for 45 minutes or more. The clinical benefit seen in the intent-to-treat Chinese patient cohort further confirms the importance of RFA heating time as 72% of patients in this large patient cohort in China received an optimized RFA treatment.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 For all patients with single lesions treated with RFA plus ThermoDox</w:t>
      </w:r>
      <w:r>
        <w:rPr>
          <w:rFonts w:ascii="Arial" w:cs="Arial" w:eastAsia="Arial" w:hAnsi="Arial"/>
          <w:sz w:val="30"/>
          <w:szCs w:val="30"/>
          <w:color w:val="auto"/>
          <w:vertAlign w:val="superscript"/>
        </w:rPr>
        <w:t>®:</w:t>
      </w:r>
    </w:p>
    <w:p>
      <w:pPr>
        <w:spacing w:after="0" w:line="61" w:lineRule="exact"/>
        <w:rPr>
          <w:sz w:val="20"/>
          <w:szCs w:val="20"/>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unit increase in RFA duration per tumor volume improved overall survival by 20% (p=0.017; n=227);</w:t>
      </w:r>
    </w:p>
    <w:p>
      <w:pPr>
        <w:spacing w:after="0" w:line="36"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More significant differences in subgroup of patients with RFA burn times per tumor volume greater than 2.5 minutes per ml;</w:t>
      </w:r>
    </w:p>
    <w:p>
      <w:pPr>
        <w:spacing w:after="0" w:line="36"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Cox multiple covariate analysis showed overall survival to be significant (p=0.038; Hazard Ratio = 0.85); and</w:t>
      </w:r>
    </w:p>
    <w:p>
      <w:pPr>
        <w:spacing w:after="0" w:line="36" w:lineRule="exact"/>
        <w:rPr>
          <w:rFonts w:ascii="Arial" w:cs="Arial" w:eastAsia="Arial" w:hAnsi="Arial"/>
          <w:sz w:val="18"/>
          <w:szCs w:val="18"/>
          <w:color w:val="auto"/>
        </w:rPr>
      </w:pPr>
    </w:p>
    <w:p>
      <w:pPr>
        <w:ind w:left="820" w:hanging="65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Burn time per tumor volume did not have a significant effect on overall survival in single lesion patients treated with RFA only.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of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91" w:lineRule="auto"/>
        <w:rPr>
          <w:sz w:val="20"/>
          <w:szCs w:val="20"/>
          <w:color w:val="auto"/>
        </w:rPr>
      </w:pPr>
      <w:r>
        <w:rPr>
          <w:rFonts w:ascii="Arial" w:cs="Arial" w:eastAsia="Arial" w:hAnsi="Arial"/>
          <w:sz w:val="16"/>
          <w:szCs w:val="16"/>
          <w:color w:val="auto"/>
        </w:rPr>
        <w:t xml:space="preserve">On October 16, 2017, the Company announced the publication of the manuscript, “Phase III HEAT STUDY Adding Lyso-Thermosensitive Liposomal Doxorubicin to Radiofrequency Ablation in Patients with Unresectable Hepatocellular Carcinoma Lesions,” in </w:t>
      </w:r>
      <w:r>
        <w:rPr>
          <w:rFonts w:ascii="Arial" w:cs="Arial" w:eastAsia="Arial" w:hAnsi="Arial"/>
          <w:sz w:val="16"/>
          <w:szCs w:val="16"/>
          <w:i w:val="1"/>
          <w:iCs w:val="1"/>
          <w:color w:val="auto"/>
        </w:rPr>
        <w:t>Clinical Cancer Research</w:t>
      </w:r>
      <w:r>
        <w:rPr>
          <w:rFonts w:ascii="Arial" w:cs="Arial" w:eastAsia="Arial" w:hAnsi="Arial"/>
          <w:sz w:val="16"/>
          <w:szCs w:val="16"/>
          <w:color w:val="auto"/>
        </w:rPr>
        <w:t>, a peer-reviewed</w:t>
      </w:r>
    </w:p>
    <w:p>
      <w:pPr>
        <w:jc w:val="both"/>
        <w:spacing w:after="0" w:line="238" w:lineRule="auto"/>
        <w:rPr>
          <w:sz w:val="20"/>
          <w:szCs w:val="20"/>
          <w:color w:val="auto"/>
        </w:rPr>
      </w:pPr>
      <w:r>
        <w:rPr>
          <w:rFonts w:ascii="Arial" w:cs="Arial" w:eastAsia="Arial" w:hAnsi="Arial"/>
          <w:sz w:val="18"/>
          <w:szCs w:val="18"/>
          <w:color w:val="auto"/>
        </w:rPr>
        <w:t>medical journal. The article reports on one of the largest controlled studies in hepatocellular carcinoma. It provides a comprehensive review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primary liver cancer. The article details learnings from the Company’s 701 patient HEAT Study and includes results from computer simulation studies and includes findings from a post hoc subgroup analysis, all of which are consistent with each other and which - when examined together - suggests a clearer understanding of a key ThermoDox® heat-based mechanism of action: the longer the target tissue is heated, the greater the doxorubicin tissue concentration. Additionally, the article explores a new hypothesis prompted by these findings: ThermoDox® when used in combination with Radiofrequency Ablation (RFA) standardized to a minimum dwell time of 45 minutes (sRFA &gt; 45 minutes), may increase the overall survival (OS) of patients with HCC. The lead author is Won Young Tak, M.D., Ph.D., Professor Internal Medicine, Gastroenterology &amp; Hepatology, Kyungpook National University Hospital Daegu, Republic of Korea, and there are 22 HEAT Study co-authors along with Nicholas Borys, M.D., Celsion’s senior vice president and chief medical officer.</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 DIGNITY Study. </w:t>
      </w:r>
      <w:r>
        <w:rPr>
          <w:rFonts w:ascii="Arial" w:cs="Arial" w:eastAsia="Arial" w:hAnsi="Arial"/>
          <w:sz w:val="17"/>
          <w:szCs w:val="17"/>
          <w:color w:val="auto"/>
        </w:rPr>
        <w:t>On December 14, 2015, we announced final data from our ongoing DIGNITY study, which is an open-label, dose-escalating Phase II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trial of ThermoDox® in patients with recurrent chest wall (“RCW”) breast cancer. The DIGNITY Study was designed to establish a safe therapeutic dose in Phase I, and to demonstrate local control in Phase II, including complete and partial responses, and stable disease as its primary endpoint. The DIGNITY Study was also designed to evaluate kinetics in ThermoDox® produced from more than one manufacturing site. Of the 28 patients enrolled and treated, 21 patients were eligible for evaluation of efficacy. Approximately 62% of evaluable patients experienced a local response, including six complete responses and seven partial responses. In order for us to focus on our most immediate registrational opportunities, our research in RCW breast cancer has been suspended. We may reinitiate this program following a successful trial in primary liver cancer.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 Assets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which has changed its company name to EGWU, Inc. (“EGEN”) after the closing of the acquisition,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total purchase price for the asset acquisition is up to $44.4 million, including potential future earnout payments of up to $30.4 million contingent upon achievement of certain earnout milestones set forth in the Asset Purchase Agreement. The earn-out milestone liability was valued on the date of acquisition and is being valued at the end of each quarter with any change in its value recognized in the financial statements. At the closing, we paid approximately $3.0 million in cash after the expense adjustment and issued 193,728 shares of our common stock to EGEN. The shares of common stock were issued in a private transaction exempt from registration under the Securities Act of 1933, as amended, pursuant to Section 4(2) thereof. In addition, 47,862 shares of common stock were held back by us at the closing and were issued to EGEN pending satisfactory resolution of any post-closing adjustments for expenses or in relation to EGEN’s indemnification obligations under the Asset Purchase Agreement. These shares were issued on June 16, 2017.</w:t>
      </w:r>
    </w:p>
    <w:p>
      <w:pPr>
        <w:spacing w:after="0" w:line="16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the acquisition, we purchased GEN-1, a DNA-based immunotherapy for the localized treatment of ovarian and brain cancers,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181"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There being no immediate opportunity to out-license TheraSilence, earnout payments have been adjusted and now up to $24.4 million will become payable, in cash, shares of our common stock or a combination thereof, at our option, upon achievement of two major milestone events as follows:</w:t>
      </w:r>
    </w:p>
    <w:p>
      <w:pPr>
        <w:spacing w:after="0" w:line="147" w:lineRule="exact"/>
        <w:rPr>
          <w:sz w:val="20"/>
          <w:szCs w:val="20"/>
          <w:color w:val="auto"/>
        </w:rPr>
      </w:pPr>
    </w:p>
    <w:p>
      <w:pPr>
        <w:ind w:left="820" w:right="80" w:hanging="650"/>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 and</w:t>
      </w:r>
    </w:p>
    <w:p>
      <w:pPr>
        <w:spacing w:after="0" w:line="197" w:lineRule="exact"/>
        <w:rPr>
          <w:rFonts w:ascii="Arial" w:cs="Arial" w:eastAsia="Arial" w:hAnsi="Arial"/>
          <w:sz w:val="18"/>
          <w:szCs w:val="18"/>
          <w:color w:val="auto"/>
        </w:rPr>
      </w:pPr>
    </w:p>
    <w:p>
      <w:pPr>
        <w:ind w:left="820" w:right="80" w:hanging="650"/>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obligations to make the earnout payments will terminate on the seventh anniversary of the closing date. As of the date of this Annual Report on Form 10-K, the Company does not anticipate that the ovarian cancer earnout payment will be made before the fourth quarter of 2019. The Company is continuing to evaluate the development of GEN-1 in glioblastoma multiforme brain cancer in light of other substantial competitive development programs in this indication.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GEN-1</w:t>
      </w:r>
    </w:p>
    <w:p>
      <w:pPr>
        <w:spacing w:after="0" w:line="225"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GEN-1 is a DNA-based immunotherapeutic product for the localized treatment of ovarian and brain cancers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980" w:hanging="648"/>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5"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b w:val="1"/>
          <w:bCs w:val="1"/>
          <w:i w:val="1"/>
          <w:iCs w:val="1"/>
          <w:color w:val="auto"/>
        </w:rPr>
        <w:t xml:space="preserve">GEN-1 OVATION Study. </w:t>
      </w:r>
      <w:r>
        <w:rPr>
          <w:rFonts w:ascii="Arial" w:cs="Arial" w:eastAsia="Arial" w:hAnsi="Arial"/>
          <w:sz w:val="17"/>
          <w:szCs w:val="17"/>
          <w:color w:val="auto"/>
        </w:rPr>
        <w:t>In February 2015, we announced that the FDA accepted, without objection, the Phase Ib dose-escalation clinical trial of GEN-1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combination with the standard of care in neo-adjuvant ovarian cancer (the “OVATION Study”). On September 30, 2015, we announced enrollment of the first patient in the OVATION Study. The OVATION Study is designed (i) to identify a safe, tolerable and potentially therapeutically active dose of GEN-1 by recruiting and maximizing an immune response and (ii) to enroll three to six patients per dose level to evaluate safety and efficacy and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78" w:lineRule="exact"/>
        <w:rPr>
          <w:sz w:val="20"/>
          <w:szCs w:val="20"/>
          <w:color w:val="auto"/>
        </w:rPr>
      </w:pPr>
    </w:p>
    <w:p>
      <w:pPr>
        <w:ind w:left="820" w:hanging="650"/>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820" w:hanging="650"/>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820" w:hanging="65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 On October 3, 2017,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(IFN-g)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ratio of CD8+ cells to immunosuppressive cells was increased in approximately 75% of patients suggesting an overall shift in the tumor</w:t>
      </w:r>
    </w:p>
    <w:p>
      <w:pPr>
        <w:spacing w:after="0" w:line="34" w:lineRule="exact"/>
        <w:rPr>
          <w:rFonts w:ascii="Arial" w:cs="Arial" w:eastAsia="Arial" w:hAnsi="Arial"/>
          <w:sz w:val="17"/>
          <w:szCs w:val="17"/>
          <w:color w:val="auto"/>
        </w:rPr>
      </w:pPr>
    </w:p>
    <w:p>
      <w:pPr>
        <w:ind w:left="660"/>
        <w:spacing w:after="0" w:line="261" w:lineRule="auto"/>
        <w:rPr>
          <w:rFonts w:ascii="Arial" w:cs="Arial" w:eastAsia="Arial" w:hAnsi="Arial"/>
          <w:sz w:val="17"/>
          <w:szCs w:val="17"/>
          <w:color w:val="auto"/>
        </w:rPr>
      </w:pPr>
      <w:r>
        <w:rPr>
          <w:rFonts w:ascii="Arial" w:cs="Arial" w:eastAsia="Arial" w:hAnsi="Arial"/>
          <w:sz w:val="18"/>
          <w:szCs w:val="18"/>
          <w:color w:val="auto"/>
        </w:rPr>
        <w:t>microenvironment from immunosuppressive to pro-immune stimulatory following treatment with GEN-1. An increase in CD8+ to immunosuppressive T-cell populations is a leading indicator and believed to be a good predictor of improved overall survival.</w:t>
      </w:r>
    </w:p>
    <w:p>
      <w:pPr>
        <w:spacing w:after="0" w:line="18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jc w:val="both"/>
        <w:ind w:right="180"/>
        <w:spacing w:after="0" w:line="264" w:lineRule="auto"/>
        <w:rPr>
          <w:sz w:val="20"/>
          <w:szCs w:val="20"/>
          <w:color w:val="auto"/>
        </w:rPr>
      </w:pPr>
      <w:r>
        <w:rPr>
          <w:rFonts w:ascii="Arial" w:cs="Arial" w:eastAsia="Arial" w:hAnsi="Arial"/>
          <w:sz w:val="18"/>
          <w:szCs w:val="18"/>
          <w:color w:val="auto"/>
        </w:rPr>
        <w:t>The Company also reported positive clinical data from the first fourteen patients who have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1" w:lineRule="exact"/>
        <w:rPr>
          <w:sz w:val="20"/>
          <w:szCs w:val="20"/>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("DCR") and an 86% objective response rate ("ORR"). Of the five patients treated in the highest dose cohort, there was a 100% objective response rate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Fourteen patients had successful resections of their tumors, with nine patients (64%) having an R0 resection, which indicates a microscopically margin-negative resection in which no gross or microscopic tumor remains in the tumor bed. Seven out of eight (87%) patients in the highest two dose cohorts experienced a R0 surgical resection. All five patients treated at the highest dose cohort experienced a R0 surgical resection.</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 the 13 patients who received GEN-1 treatment in all four dose escalating cohorts, only five patients' cancers have progressed as of March 15, 2018. Median PFS for all 13 patients in the OVATION Study is 21.4 months as of March 15, 2018 and counting. This compares favorably to the historical median progression-free survival of 12 months for newly diagnosed patients with Stage III and IV ovarian cancer that undergo neoadjuvant chemotherapy followed by interval debulking surgery. Summarized below are the latest PFS results for all patients treated per protocol in the OVATION Study: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II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90 patient randomized Phase II study. GEN-1 has demonstrated positive safety and efficacy data in the recently completed dose escalation Phase IB trial in combination with neoadjuvant chemotherapy.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study protocol was unanimously supported by an expert medical advisory board and lead investigators from the Phase IB OVATION Study and is summarized below:</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Open label, 1:1 randomized design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Enrollment up to 90 patients with Stage III/IV ovarian cancer patients at ten U.S. centers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Primary endpoint of improvement in progression-free survival (PFS) comparing GEN-1 with neoadjuvant chemotherapy versus neoadjuvant chemotherapy alone.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 xml:space="preserve">GEN-1 Plus Doxil® and Avastin® Trial. </w:t>
      </w:r>
      <w:r>
        <w:rPr>
          <w:rFonts w:ascii="Arial" w:cs="Arial" w:eastAsia="Arial" w:hAnsi="Arial"/>
          <w:sz w:val="17"/>
          <w:szCs w:val="17"/>
          <w:color w:val="auto"/>
        </w:rPr>
        <w:t>On April 29, 2015, we announced the expansion of our ovarian cancer development program to include a Phase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escalating trial to evaluate GEN-1 in combination with Avastin® and Doxil® in platinum-resistant ovarian cancer patients. Given the very promising results from the OVATION Study, priority for this combination trial has been replaced by the OVATION II Study.</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Technology Development and Licensing Agreements. </w:t>
      </w:r>
      <w:r>
        <w:rPr>
          <w:rFonts w:ascii="Arial" w:cs="Arial" w:eastAsia="Arial" w:hAnsi="Arial"/>
          <w:sz w:val="17"/>
          <w:szCs w:val="17"/>
          <w:color w:val="auto"/>
        </w:rPr>
        <w:t>Our current efforts and resources are applied on the development and commercialization of cancer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drugs including tumor-targeting chemotherapy treatments using focused heat energy in combination with heat-activated drug delivery systems, immunotherapies and RNA-based therapies. To support our research and development, we raised gross proceeds of approximately $132 million in equity financings and warrant and option exercises in the years 2011 through 2016. During 2017, we raised gross proceeds of approximately $39 million through an underwritten public equity offering, a registered direct equity offering, an equity offering made on a reasonable “best efforts” basis, warrant exercises and equity sales though an at the market equity facility (ATM Facility). We had cash, cash equivalents and short-term investments of $24.2 million and $13.5 million available for future sales under our ATM Facility at December 31, 2017.</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Zheijang Hisun Pharmaceutical Co. Ltd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Europe and North America, as well as to the EU Member States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8, 2016, we signed a Technology Transfer, Manufacturing and Commercial Supply Agreement (the “GEN-1 Agreement”) with Hisun to pursue an expanded partnership for the technology transfer relating to the clinical and commercial manufacture and supply of GEN-1, for the greater China territory, with the option to expand into other countries in the rest of the world after all necessary regulatory approvals are obtained. The GEN-1 Agreement will help to support supply for both ongoing and planned clinical studies in the U.S., and for potential future studies of GEN-1 in China. GEN-1 is currently being evaluated by Celsion in first line ovarian cancer patients.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540" w:right="1180" w:hanging="424"/>
        <w:spacing w:after="0" w:line="277"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540" w:right="1200" w:hanging="424"/>
        <w:spacing w:after="0" w:line="277"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540" w:right="1180" w:hanging="424"/>
        <w:spacing w:after="0" w:line="277"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170" w:lineRule="exact"/>
        <w:rPr>
          <w:rFonts w:ascii="Arial" w:cs="Arial" w:eastAsia="Arial" w:hAnsi="Arial"/>
          <w:sz w:val="18"/>
          <w:szCs w:val="18"/>
          <w:b w:val="1"/>
          <w:bCs w:val="1"/>
          <w:color w:val="auto"/>
        </w:rPr>
      </w:pPr>
    </w:p>
    <w:p>
      <w:pPr>
        <w:ind w:left="540" w:right="1200" w:hanging="424"/>
        <w:spacing w:after="0" w:line="308" w:lineRule="auto"/>
        <w:tabs>
          <w:tab w:leader="none" w:pos="54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70" w:lineRule="auto"/>
        <w:rPr>
          <w:sz w:val="20"/>
          <w:szCs w:val="20"/>
          <w:color w:val="auto"/>
        </w:rPr>
      </w:pPr>
      <w:r>
        <w:rPr>
          <w:rFonts w:ascii="Arial" w:cs="Arial" w:eastAsia="Arial" w:hAnsi="Arial"/>
          <w:sz w:val="17"/>
          <w:szCs w:val="17"/>
          <w:color w:val="auto"/>
        </w:rPr>
        <w:t>Because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a clinical stage biopharmaceutical company, our business and our ability to execute our strategy to achieve our corporate goals are subject to numerous risks and uncertainties. Material risks and uncertainties relating to our business and our industry are described in " </w:t>
      </w:r>
      <w:r>
        <w:rPr>
          <w:rFonts w:ascii="Arial" w:cs="Arial" w:eastAsia="Arial" w:hAnsi="Arial"/>
          <w:sz w:val="18"/>
          <w:szCs w:val="18"/>
          <w:b w:val="1"/>
          <w:bCs w:val="1"/>
          <w:color w:val="auto"/>
        </w:rPr>
        <w:t>Part I, Item 1A. Risk Factors</w:t>
      </w:r>
      <w:r>
        <w:rPr>
          <w:rFonts w:ascii="Arial" w:cs="Arial" w:eastAsia="Arial" w:hAnsi="Arial"/>
          <w:sz w:val="18"/>
          <w:szCs w:val="18"/>
          <w:color w:val="auto"/>
        </w:rPr>
        <w:t xml:space="preserve"> " in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(DOXORUBICIN ENCAPSULATED IN HEAT-ACTIVATED LIPOSOME)</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Through a perpetual, world-wide, exclusive development and commercialization license from Duke University, Celsion has licensed this novel, heat-activated liposomal technology that is differentiated from other liposomes through its unique low heat-activated release of encapsulated chemotherapeutic agents.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using several available focused-heat technologies, such as RFA, microwave energy and high intensity focused ultrasound (HIFU), to activate the release of drugs from our novel heat sensitive liposomes.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 IN RELATION TO PRIMARY LIVER CANCER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Liver Cancer Overview</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HCC is one of the most common and deadliest forms of cancer worldwide. It ranks as the third most common solid tumor cancer. It is estimated that up to 90% of liver cancer patients will die within five years of diagnosis. The incidence of primary liver cancer is approximately 30,000 cases per year in the U.S., approximately 40,000 cases per year in Europe and is rapidly growing worldwide at approximately 850,000 cases per year. HCC has the fastest rate of growth of all cancers and is projected to be the most prevalent form of cancer by 2020. HCC is commonly diagnosed in patients with longstanding hepatic disease and cirrhosis (primarily due to hepatitis C in the U.S. and Europe and hepatitis B in Asia).</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 early stage, the standard first line treatment for liver cancer is surgical resection of the tumor. Up to 80% of patients are ineligible for surgery or transplantation at time of diagnosis because early stage liver cancer generally has few symptoms and when finally detected the tumor frequently is too large for surgical resection. There are few alternative treatments, since radiation therapy and chemotherapy are largely ineffective in treating liver cancer. For tumors generally up to 5 centimeters in diameter, RFA has emerged as the standard of care treatment which directly destroys the tumor tissue through the application of high temperatures administered by a probe inserted into the core of the tumor. Local recurrence rates after RFA directly correlate to the size of the tumor. For tumors 3 cm or smaller in diameter the recurrence rate has been reported to be 10 – 20%; however, for tumors greater than 3 cm, local recurrence rates of 40% or higher have been observed.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While RFA uses extremely high temperatures (greater than 80° Celsius) to ablate the tumor, it may fail to treat micro-metastases in the outer margins of the ablation zone because temperatures in the periphery may not be high enough to destroy cancer cells. Celsion’s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treatment approach is designed</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to utilize the ability of RFA devices to ablate the center of the tumor while simultaneously thermally activating our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liposome to release its encapsulated doxorubicin to kill remaining viable cancer cells throughout the heated region, including the tumor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I Clinical Trial - Primary Liver Cancer</w:t>
      </w:r>
    </w:p>
    <w:p>
      <w:pPr>
        <w:spacing w:after="0" w:line="23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In the second quarter of 2007, we completed our first Phase I single dose escalation clinical trial that investigated ThermoDox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RFA for the treatment of primary and metastatic liver cancer. The study was carried out at the National Cancer Institute (NCI), which is part of the NIH and Queen Mary Hospital in Hong Kong.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In 2007 we initiated a second Phase I dose escalation study designed to investigate simplification of the current RFA/ThermoDox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treatment regimen</w:t>
      </w:r>
    </w:p>
    <w:p>
      <w:pPr>
        <w:spacing w:after="0" w:line="206" w:lineRule="auto"/>
        <w:rPr>
          <w:sz w:val="20"/>
          <w:szCs w:val="20"/>
          <w:color w:val="auto"/>
        </w:rPr>
      </w:pPr>
      <w:r>
        <w:rPr>
          <w:rFonts w:ascii="Arial" w:cs="Arial" w:eastAsia="Arial" w:hAnsi="Arial"/>
          <w:sz w:val="16"/>
          <w:szCs w:val="16"/>
          <w:color w:val="auto"/>
        </w:rPr>
        <w:t>including a single vial formulation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designed for commercial distribution. The study also permitted multiple dosing in liver cancer patients.</w:t>
      </w:r>
    </w:p>
    <w:p>
      <w:pPr>
        <w:spacing w:after="0"/>
        <w:rPr>
          <w:sz w:val="20"/>
          <w:szCs w:val="20"/>
          <w:color w:val="auto"/>
        </w:rPr>
      </w:pPr>
      <w:r>
        <w:rPr>
          <w:rFonts w:ascii="Arial" w:cs="Arial" w:eastAsia="Arial" w:hAnsi="Arial"/>
          <w:sz w:val="18"/>
          <w:szCs w:val="18"/>
          <w:color w:val="auto"/>
        </w:rPr>
        <w:t>This clinical trial was completed in 2008.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701 Patient Phase III Global Clinical Trial - Primary Liver Cancer (The HEAT Study)</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HEAT Study for ThermoDox</w:t>
      </w:r>
      <w:r>
        <w:rPr>
          <w:rFonts w:ascii="Arial" w:cs="Arial" w:eastAsia="Arial" w:hAnsi="Arial"/>
          <w:sz w:val="28"/>
          <w:szCs w:val="28"/>
          <w:color w:val="auto"/>
          <w:vertAlign w:val="superscript"/>
        </w:rPr>
        <w:t>®</w:t>
      </w:r>
      <w:r>
        <w:rPr>
          <w:rFonts w:ascii="Arial" w:cs="Arial" w:eastAsia="Arial" w:hAnsi="Arial"/>
          <w:sz w:val="17"/>
          <w:szCs w:val="17"/>
          <w:color w:val="auto"/>
        </w:rPr>
        <w:t>, in combination with RFA, was conducted in patients with primary liver cancer under a Special Protocol Assessment agreed to with the FDA. The Special Protocol Assessment (“SPA”) agreed to with the FDA specified PFS as the HEAT Study’s primary endpoint. We scheduled a meeting with the HEAT Study independent Data Monitoring Committee (“iDMC”) on January 30, 2013 in order to conduct an analysis of the</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HEAT Study’s PFS endpoint. Following review by the iDMC, on January 31, 2013, we announced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RFA did not meet the HEAT Study’s primary endpoint of PFS. Specifically, we determined, after conferring with the iDMC, that the HEAT Study did not meet the goal of demonstrating persuasive evidence of clinical effectiveness that could form the basis for regulatory approval in the population chosen for the HEAT Study.</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The HEAT Study was designed to show a 33 percent improvement in PFS with 80 percent power and a p-value = 0.05. In the trial,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was well-tolerated with no unexpected serious adverse events.</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provided for in the SPA, we continued to follow patients enrolled in the HEAT Study to the secondary endpoint of Overall Survival (OS). We have evaluated data from nine sweeps of OS since the announcement of the HEAT Study’s primary endpoint result, with each showing progressive improvement in statistical significance. The most recent post-hoc OS analysis from the HEAT Study (as of July 15, 2016 and announced on August 15, 2016) demonstrated that in a large, well bounded subgroup of patients (n=285, 41% of the study patients), the combination of ThermoDox® and optimized RFA provided a 54% risk improvement in OS compared to optimized RFA alone. The Hazard Ratio at this latest OS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3"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These data continue to strongly suggest that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may significantly improve OS compared to a RFA control in patients whose lesions undergo optimized RFA treatment for 45 minutes or more as well as support the protocol for our Phase III OPTIMA Study as described below.</w:t>
      </w:r>
    </w:p>
    <w:p>
      <w:pPr>
        <w:spacing w:after="0" w:line="20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may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550 Patient Phase III Global Clinical Trial - Primary Liver Cancer (The OPTIMA Study)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Based on the OS data from the post-hoc analysis of results from the HEAT Study discussed above, we submitted our proposed pivotal Phase III clinical protocol for FDA review in the fourth quarter of 2013. On February 24, 2014, we announced that the FDA, after its customary 30-day review period, accepted without comment, subject to compliance with regulatory standards, clearance for the OPTIMA Study, our pivotal, double-blind, placebo-controlled Phase III</w:t>
      </w:r>
    </w:p>
    <w:p>
      <w:pPr>
        <w:jc w:val="both"/>
        <w:spacing w:after="0" w:line="239" w:lineRule="auto"/>
        <w:rPr>
          <w:sz w:val="20"/>
          <w:szCs w:val="20"/>
          <w:color w:val="auto"/>
        </w:rPr>
      </w:pPr>
      <w:r>
        <w:rPr>
          <w:rFonts w:ascii="Arial" w:cs="Arial" w:eastAsia="Arial" w:hAnsi="Arial"/>
          <w:sz w:val="17"/>
          <w:szCs w:val="17"/>
          <w:color w:val="auto"/>
        </w:rPr>
        <w:t xml:space="preserve">trial of ThermoDox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standardized RFA in primary liver cancer. The OPTIMA Study represents an evaluation of ThermoDox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combination with a first line therapy, RFA, for newly diagnosed, intermediate stage HCC patients. HCC incidence globally is approximately 850,000 new cases per year. Approximately only 30% of newly diagnosed patients can be addressed with RFA alone. The OPTIMA Study is supported with a convincing hypothesis developed from an overall survival analysis of a large subgroup of patients from the HEAT Study.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91" w:lineRule="auto"/>
        <w:rPr>
          <w:sz w:val="20"/>
          <w:szCs w:val="20"/>
          <w:color w:val="auto"/>
        </w:rPr>
      </w:pPr>
      <w:r>
        <w:rPr>
          <w:rFonts w:ascii="Arial" w:cs="Arial" w:eastAsia="Arial" w:hAnsi="Arial"/>
          <w:sz w:val="16"/>
          <w:szCs w:val="16"/>
          <w:color w:val="auto"/>
        </w:rPr>
        <w:t>Designed with extensive input from globally recognized HCC researchers and clinicians and after formal written consultation with the FDA, the OPTIMA Study was launched in the 2014. The OPTIMA Study is expected to enroll up to 550 patients globally at up to 65 sites in the U.S., Canada, the EU, China and</w:t>
      </w:r>
    </w:p>
    <w:p>
      <w:pPr>
        <w:jc w:val="both"/>
        <w:spacing w:after="0" w:line="224" w:lineRule="auto"/>
        <w:rPr>
          <w:sz w:val="20"/>
          <w:szCs w:val="20"/>
          <w:color w:val="auto"/>
        </w:rPr>
      </w:pPr>
      <w:r>
        <w:rPr>
          <w:rFonts w:ascii="Arial" w:cs="Arial" w:eastAsia="Arial" w:hAnsi="Arial"/>
          <w:sz w:val="18"/>
          <w:szCs w:val="18"/>
          <w:color w:val="auto"/>
        </w:rPr>
        <w:t xml:space="preserve">elsewhere in the Asia Pacific region, and will evaluate ThermoDox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OPTIMA Study is 80% powered to show a 33% improvement in OS. The statistical plan calls for two interim efficacy analyses by an independent iDMC.</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CFDA to conduct the OPTIMA Study in China. This clinical trial application approval will now allow Celsion to enroll patients at up to 20 clinical sites in China. With the addition of these Chinese clinical sites, the Company expects to complete enrollment in the OPTIMA Study by the end of the third quarter of 2018. On April 26, 2016, we announced that the first patient in China has been enrolled in the OPTIMA Study. Results from the OPTIMA Study, if successful, will provide the basis for a global registration filing and marketing approval.</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w:t>
      </w:r>
    </w:p>
    <w:p>
      <w:pPr>
        <w:jc w:val="both"/>
        <w:ind w:right="20"/>
        <w:spacing w:after="0" w:line="221" w:lineRule="auto"/>
        <w:rPr>
          <w:sz w:val="20"/>
          <w:szCs w:val="20"/>
          <w:color w:val="auto"/>
        </w:rPr>
      </w:pPr>
      <w:r>
        <w:rPr>
          <w:rFonts w:ascii="Arial" w:cs="Arial" w:eastAsia="Arial" w:hAnsi="Arial"/>
          <w:sz w:val="18"/>
          <w:szCs w:val="18"/>
          <w:color w:val="auto"/>
        </w:rPr>
        <w:t>tumor volume significantly improved overall survival in patients treated with RFA plus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compared to patients treated with RFA alone. For all patients with single lesions treated with RFA plus ThermoDox</w:t>
      </w:r>
      <w:r>
        <w:rPr>
          <w:rFonts w:ascii="Arial" w:cs="Arial" w:eastAsia="Arial" w:hAnsi="Arial"/>
          <w:sz w:val="30"/>
          <w:szCs w:val="30"/>
          <w:color w:val="auto"/>
          <w:vertAlign w:val="superscript"/>
        </w:rPr>
        <w:t>®:</w:t>
      </w:r>
    </w:p>
    <w:p>
      <w:pPr>
        <w:spacing w:after="0" w:line="8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unit increase in RFA duration per tumor volume improved overall survival by 20% (p=0.017; n=227);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significant differences in subgroup of patients with RFA burn times per tumor volume greater than 2.5 minutes per ml;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Cox multiple covariate analysis showed overall survival to be significant (p=0.038; Hazard Ratio = 0.85);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Burn time per tumor volume did not have a significant effect on overall survival in single lesion patients treated with RFA only.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7, 2017, the Company announced that the independent Data Monitoring Committee (DMC) for the Company's OPTIMA Study completed a regularly scheduled review of the first 50% of patients enrolled in the trial and has unanimously recommended that the OPTIMA Study continue according to protocol to its final data readout. The DMC reviewed study data at regular intervals, with the primary responsibilities of ensuring the safety of all patients enrolled in the study, the quality of the data collected, and the continued scientific validity of the study design. As part of its review of the first 275 patients, the DMC monitored a quality matrix relating to the total clinical data set, confirming the timely collection of data, that all data are current as well as other data collection and quality criteria.</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hosted an Investigators Meeting with physicians in South East Asia and key opinion leaders on July 22-23, 2017 in Bangkok, Thailand. A second Investigators Meeting was held on September 23, 2017 with physicians in China. As of December 31, 2017, the Company had initiated approximately 65 clinical sites in 14 countries and has plans to activate up to 8 additional clinical trial sites in China and Vietnam by the middle of 2018.</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continue with partnerships, such as our arrangement with Hisun and Yakult Honsha Co., Ltd. (“Yakult”) to the extent feasible. In addition, we have assessed our product pipeline and research and development priorities. As we evaluate strategic alternatives, we will need to consider many factors, including investment in, or acquisition of, complementary businesses, technologies or products, possible capital raising transactions, partnering opportunities and working capital requirements. However, as demonstrated by the HEAT Study results announced on January 31,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financial condition and market value.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GEN-1 (IL-12 DNA PLASMID VECTOR ENCASED IN A NANOPARTICLE DELIVERY SYSTEM)</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20, 2014, we completed the acquisition of substantially all of the assets of EGEN. Pursuant to the Asset Purchase Agreement,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Asset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acquisition, we acquired GEN-1, an IL-12 DNA plasmid vector encased in a nanoparticle delivery system which enables cell transfection followed by persistent, local secretion of the IL-12 protein,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Ovarian cancer is the most lethal of gynecological malignancies among women with an overall five-year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to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Celsion’s GEN-1 approach for IL-12 delivery is designed to achieve local concentrations of IL-12 at the tumor site with minimal increases in systemic circulation. This DNA-based approach involves intraperitoneal administration of an IL-12 plasmid formulated with a proprietary lipopolymer delivery system PEG-PEI-Cholesterol. In this approach, our GEN-1 immunotherapy is combined with standard chemotherapy drugs to achieve better clinical outcome than with chemotherapy alone. Increases in IL-12 concentrations at the tumor site for several days (up to one week) after a single administration will create a potent immune environment against the tumor and a direct killing of the tumor with concomitant use of cytotoxic chemotherapy together will result in more robust and durable antitumor response than chemotherapy alone. The activation of the body’s immune system will potentially eliminate the chemotherapy resistant cells and lower the risk of recurrence.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 OVATION Study</w:t>
      </w:r>
    </w:p>
    <w:p>
      <w:pPr>
        <w:spacing w:after="0" w:line="229"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In February 2015, we announced that the FDA accepted, without objection, the Phase Ib dose-escalation clinical trial of GEN-1 in combination with the standard of care in neo-adjuvant ovarian cancer (the “OVATION Study”). On September 30, 2015, we announced enrollment of the first patient in the OVATION Study. The OVATION Study is designed (i) to identify a safe, tolerable and potentially therapeutically active dose of GEN-1 by recruiting and maximizing an immune response and (ii) to enroll three to six patients per dose level to evaluate safety and efficacy and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78"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 On October 3, 2017,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(IFN-g)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ratio of CD8+ cells to immunosuppressive cells was increased in approximately 75% of patients suggesting an overall shift in the tumor</w:t>
      </w:r>
    </w:p>
    <w:p>
      <w:pPr>
        <w:spacing w:after="0" w:line="34" w:lineRule="exact"/>
        <w:rPr>
          <w:rFonts w:ascii="Arial" w:cs="Arial" w:eastAsia="Arial" w:hAnsi="Arial"/>
          <w:sz w:val="17"/>
          <w:szCs w:val="17"/>
          <w:color w:val="auto"/>
        </w:rPr>
      </w:pPr>
    </w:p>
    <w:p>
      <w:pPr>
        <w:ind w:left="660"/>
        <w:spacing w:after="0" w:line="261" w:lineRule="auto"/>
        <w:rPr>
          <w:rFonts w:ascii="Arial" w:cs="Arial" w:eastAsia="Arial" w:hAnsi="Arial"/>
          <w:sz w:val="17"/>
          <w:szCs w:val="17"/>
          <w:color w:val="auto"/>
        </w:rPr>
      </w:pPr>
      <w:r>
        <w:rPr>
          <w:rFonts w:ascii="Arial" w:cs="Arial" w:eastAsia="Arial" w:hAnsi="Arial"/>
          <w:sz w:val="18"/>
          <w:szCs w:val="18"/>
          <w:color w:val="auto"/>
        </w:rPr>
        <w:t>microenvironment from immunosuppressive to pro-immune stimulatory following treatment with GEN-1. An increase in CD8+ to immunosuppressive T-cell populations is a leading indicator and believed to be a good predictor of improved overall survival.</w:t>
      </w:r>
    </w:p>
    <w:p>
      <w:pPr>
        <w:spacing w:after="0" w:line="18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ind w:right="180"/>
        <w:spacing w:after="0" w:line="264" w:lineRule="auto"/>
        <w:rPr>
          <w:sz w:val="20"/>
          <w:szCs w:val="20"/>
          <w:color w:val="auto"/>
        </w:rPr>
      </w:pPr>
      <w:r>
        <w:rPr>
          <w:rFonts w:ascii="Arial" w:cs="Arial" w:eastAsia="Arial" w:hAnsi="Arial"/>
          <w:sz w:val="18"/>
          <w:szCs w:val="18"/>
          <w:color w:val="auto"/>
        </w:rPr>
        <w:t>The Company also reported positive clinical data from the first fourteen patients who have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("DCR") and an 86% objective response rate ("ORR"). Of the five patients treated in the highest dose cohort, there was a 100% objective response rate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Fourteen patients had successful resections of their tumors, with nine patients (64%) having an R0 resection, which indicates a microscopically margin-negative resection in which no gross or microscopic tumor remains in the tumor bed. Seven out of eight (87%) patients in the highest two dose cohorts experienced a R0 surgical resection. All five patients treated at the highest dose cohort experienced a R0 surgical resection.</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the 13 patients who received GEN-1 treatment in all four dose escalating cohorts, only five patients' cancers have progressed as of March 15, 2018. Median PFS for all 13 patients in the OVATION Study is 21.4 months as of March 15, 2018 and counting. This compares favorably to the historical median progression-free survival of 12 months for newly diagnosed patients with Stage III and IV ovarian cancer that undergo neoadjuvant chemotherapy followed by interval debulking surgery. Summarized below are the latest PFS results for all patients treated per protocol in the OVATION Study: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II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90 patient randomized Phase II study. GEN-1 has demonstrated positive safety and efficacy data in the recently completed dose escalation Phase IB trial in combination with neoadjuvant chemotherapy.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study protocol was unanimously supported by an expert medical advisory board and lead investigators from the Phase IB OVATION Study and is summarized below:</w:t>
      </w:r>
    </w:p>
    <w:p>
      <w:pPr>
        <w:spacing w:after="0" w:line="170" w:lineRule="exact"/>
        <w:rPr>
          <w:sz w:val="20"/>
          <w:szCs w:val="20"/>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Open label, 1:1 randomized design</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Enrollment up to 90 patients with Stage III/IV ovarian cancer patients at ten U.S. centers</w:t>
      </w:r>
    </w:p>
    <w:p>
      <w:pPr>
        <w:spacing w:after="0" w:line="225" w:lineRule="exact"/>
        <w:rPr>
          <w:rFonts w:ascii="Arial" w:cs="Arial" w:eastAsia="Arial" w:hAnsi="Arial"/>
          <w:sz w:val="18"/>
          <w:szCs w:val="18"/>
          <w:color w:val="auto"/>
        </w:rPr>
      </w:pPr>
    </w:p>
    <w:p>
      <w:pPr>
        <w:ind w:left="540" w:right="180" w:hanging="26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Primary endpoint of improvement in progression-free survival (PFS) comparing GEN-1 with neoadjuvant chemotherapy versus neoadjuvant chemotherapy alone.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is a viable alternative to current approaches to gene delivery due to several distinguishing characteristics, including enhanced molecular versatility that allows for complex modifications to improve activity and safety.</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design of TheraPlas delivery systems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escaped into systemic circulation. PPC is the delivery component of our lead TheraPlas product, GEN-1, which is in clinical development for the treatment ovarian cancer and in preclinical development for the treatment of glioblastoma. The PPC manufacturing process has been scaled up from bench scale (1-2 g) to 0.6Kg, and several cGMP lots have been produced with reproducible quality.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Another approach to improve PEI activity involved crosslinking low-molecular-weight PEIs through degradable linkages to create larger and degradable structures. Two cross-linked polymers have been synthesized with this approach and optimized for transfection activity. Both cross-linked polymers expressed several fold higher transfection activity than their respective monomers and lower cyotoxicity than a commercially available 25 kDa polymer. One embodiment of the polymer is being developed for in vivo delivery of plasmid DNA and mRNA. Intravenous administration of the nanoparticles carrying DNA or mRNA payload in mice has produced expression with high degree of lung specificity. The lung specificity and safety for mRNA delivery following intravenous administration in mice has been confirmed in non-human primates. These results demonstrate potential clinical utility for delivery of therapeutic DNA and RNA for lung diseases and pulmonary disorders.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TheraPlas has emerged as a viable alternative to current approaches due to several distinguishing characteristics such as strong molecular versatility that allows for complex modifications to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strong position to capitalize on the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AND DEVELOPMENT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not generated and do not expect to generate any revenue from product sales in the next several years, if at all. An element of our business strategy has been to pursue, as resources permit, the research and development of a range of product candidates for a variety of indications. We may also evaluate licensing cancer products from third parties for cancer treatments to expand our current product pipeline. This is intended to allow us to diversify the risks associated with our research and development expenditures.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We may also consider and evaluate strategic alternatives, including investment in, or acquisition of, complementary businesses, technologies or products. As demonstrated by the HEAT Study results,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business strategy includes the possibility of entering into collaborative arrangements with third parties to complete the development and commercialization of our product candidates. In the event that third parties take over the clinical trial process for one or more of our product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7"/>
          <w:szCs w:val="17"/>
          <w:color w:val="auto"/>
        </w:rPr>
        <w:t>As of December 31, 2017, we had $24.2 million dollars in cash and short-term investments including interest receivable. Given our development plans, we anticipate cash resources will be sufficient to fund our operations into the third quarter of 2019. Other than the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“ATM Agreement”) the Company has with Cantor Fitzgerald &amp; Co. (see Note 10), we have no other committed sources of additional capital. 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if one of our product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See </w:t>
      </w:r>
      <w:r>
        <w:rPr>
          <w:rFonts w:ascii="Arial" w:cs="Arial" w:eastAsia="Arial" w:hAnsi="Arial"/>
          <w:sz w:val="17"/>
          <w:szCs w:val="17"/>
          <w:b w:val="1"/>
          <w:bCs w:val="1"/>
          <w:i w:val="1"/>
          <w:iCs w:val="1"/>
          <w:color w:val="auto"/>
        </w:rPr>
        <w:t>Item 7 – Management’s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Discussion and Analysis of Financial Condition and Results of Operations </w:t>
      </w:r>
      <w:r>
        <w:rPr>
          <w:rFonts w:ascii="Arial" w:cs="Arial" w:eastAsia="Arial" w:hAnsi="Arial"/>
          <w:sz w:val="17"/>
          <w:szCs w:val="17"/>
          <w:color w:val="auto"/>
        </w:rPr>
        <w:t>for additional information regarding the Company’s financial condition,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engaged in a limited amount of research and development in our own facilities and have sponsored research programs in partnership with various research institutions, including the NCI and Duke University. We are currently, with minimal cash expenditures, sponsoring clinical and pre-clinical research at the University of Oxford, University of Utrecht and the Children’s Research Institute. The majority of the spending in research and development is for the funding of ThermoDox® clinical trials. Research and development expenses were approximately $13.1 million and $14.6 million for the years ended December 31, 2017 and 2016, respectively. See </w:t>
      </w:r>
      <w:r>
        <w:rPr>
          <w:rFonts w:ascii="Arial" w:cs="Arial" w:eastAsia="Arial" w:hAnsi="Arial"/>
          <w:sz w:val="17"/>
          <w:szCs w:val="17"/>
          <w:b w:val="1"/>
          <w:bCs w:val="1"/>
          <w:i w:val="1"/>
          <w:iCs w:val="1"/>
          <w:color w:val="auto"/>
        </w:rPr>
        <w:t>Item 7 – Management’s Discussion and Analysis of Financial Condition and Results of Operations</w:t>
      </w:r>
      <w:r>
        <w:rPr>
          <w:rFonts w:ascii="Arial" w:cs="Arial" w:eastAsia="Arial" w:hAnsi="Arial"/>
          <w:sz w:val="17"/>
          <w:szCs w:val="17"/>
          <w:color w:val="auto"/>
        </w:rPr>
        <w:t xml:space="preserve"> for additional information regarding expenditures related to our research and development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authorities in the U.S.,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the United States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the FDA regulates drugs and biological products under the Federal Food, Drug, and Cosmetic Act (FDCA), the Public Health Service Act (PHSA)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vehicle by which FDA approves a new pharmaceutical product for sale and marketing in the U.S. is a New Drug Application (“NDA”) or a Biologics License Application (BLA). A new drug or biological product cannot be marketed in the United States without FDA’s approval of an NDA/BLA. The steps ordinarily required before a new drug can be marketed in the U.S. include (a) completion of pre-clinical and clinical studies; (b) submission and FDA acceptance of an Investigational New Drug application (IND), which must become effective before human clinical trials may commence; (c) completion of adequate and well-controlled human clinical trials to establish the safety and efficacy of the product to support each of its proposed indications; (d) submission and FDA acceptance of an NDA/BLA; (e) completion of an FDA inspection and potential audits of the facilities where the drug or biological product is manufactured to assess compliance with the current good manufacturing practices (cGMP) and to assure adequate identity, strength, quality, purity, and potency; and (e) FDA review and approval of the NDA/BLA.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97" w:lineRule="auto"/>
        <w:rPr>
          <w:sz w:val="20"/>
          <w:szCs w:val="20"/>
          <w:color w:val="auto"/>
        </w:rPr>
      </w:pPr>
      <w:r>
        <w:rPr>
          <w:rFonts w:ascii="Arial" w:cs="Arial" w:eastAsia="Arial" w:hAnsi="Arial"/>
          <w:sz w:val="16"/>
          <w:szCs w:val="16"/>
          <w:color w:val="auto"/>
        </w:rPr>
        <w:t>Pre-clinical tests include laboratory evaluations of product chemistry, toxicity, formulation and stability, as well as animal studies, to assess the potential safety and efficacy of the product. Pre-clinical safety tests must be conducted by laboratories that comply with FDA regulations regarding good laboratory practice. The results of pre-clinical tests are submitted to the FDA as part of an IND and are reviewed by the FDA before the commencement of human clinical trials. Submission of an IND will not necessarily result in FDA authorization to commence clinical trials, and the absence of FDA objection to an IND does not necessarily mean that the FDA will ultimately approve an NDA/BLA or that a product candidate otherwise will come to market.</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patient informed consent. Also, each clinical trial must be approved by an Institutional Review Board (IRB), and is subject to ongoing IRB monitoring.</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circumstances, a therapeutic product candidate being studied in clinical trials may be made available for treatment of individual patients. Pursuant to the 21st Century Cures Act (Cures Act) which was signed into law in December 2016, the manufacturer of an investigational product for a serious disease or condition is required to make available, such as by posting on its website, its policy on evaluating and responding to requests for individual patient access to such investigational product.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can be no assurance that any of our clinical trials will be completed successfully within any specified time period or at all. Either the FDA or we may suspend clinical trials at any time on various grounds, including among other things, if we, the FDA, our independent DMC, or the IRB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pivotal clinical trial protocols of any of our current or future product candidates will be successful.</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pre-clinical studies and clinical trials, if successful, are submitted to FDA in the form of an NDA or BLA. Among other things, the FDA reviews an NDA to determine whether the product is safe and effective for its intended use and reviews a BLA to determine whether the product is safe, pure, and potent, and in each case, whether the product candidate is being manufactured in accordance with cGMP. The testing, submission, and approval process requires substantial time, effort, and financial resources, including substantial application user fees and annual product and establishment user fees. On August 3, 2017, Congress passed the FDA Reauthorization Act of 2017 (FDARA) which reauthorizes the various user fees to facilitate the FDA’s product review and oversight. There can be no assurance that any approval will be granted for any product at any time, according to any schedule, or at all. The FDA may refuse to accept or approve an application if it determines that applicable regulatory criteria are not satisfied. The FDA may also require additional testing for safety and efficacy. Even, if regulatory approval is granted, the approval will be limited to specific indications. There can be no assurance that any of our current product candidates will receive regulatory approvals for marketing or, if approved, that approval will be for any or all of the indications that we request.</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has agreed to certain performance goals in the review of NDAs and BLAs. The FDA has 60 days from its receipt of an NDA or BLA to determine whether the application will be accepted for filing based on the agency’s threshold determination that it is sufficiently complete to permit substantive review. Once the NDA/BLA is accepted for filing, most standard reviews applications are completed within ten months of filing; most priority review applications are reviewed within six months of filing. Priority review are applied to a product candidate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FDA Regulations Specific to Gene-Based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Food and Drug Administration (FDA) regulates gene-based products as biological products. Biological products intended for therapeutic use may be regulated by either the Center for Biologics Evaluation &amp; Research (CBER) or the Center for Biologics Evaluation &amp; Research (CDER). Gene-based products are subject to extensive regulation under the FDCA, the PHSA, and their implementing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Controls for Biological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After a BLA is approved, the biological product may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biological products, manufacturers must address any safety issues that arise, are subject to recalls or a halt in manufacturing, and are subject to periodic inspection after approval.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has various programs, including Fast Track, priority review, accelerated approval and breakthrough therapy, which are intended to expedite or simplify the process for reviewing product candidates, or provide for the approval of a product candidate on the basis of a surrogate endpoint. Even if a product candidate qualifies for one or more of these programs, the FDA may later decide that the product candidate no longer meets the conditions for qualification or that the time period for FDA review or approval will be lengthened. Generally, product candidates that are eligible for these programs are those for serious or life-threatening conditions, those with the potential to address unmet medical needs and those that offer meaningful benefits over existing treatments. For example, Fast Track is a process designed to facilitate the development and expedite the review of product candidates to treat serious or life-threatening diseases or conditions and fill unmet medical needs.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Fast Track and priority review do not affect the standards for approval, the FDA will attempt to facilitate early and frequent meetings with a sponsor of a Fast Track designated product candidate and expedite review of the application for a product candidate designated for priority review. Accelerated approval provides for an earlier approval for a new product candidate that meets the following criteria: is intended to treat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 surrogate endpoint is a laboratory measurement or physical sign used as an indirect or substitute measurement representing a clinically meaningful outcome. As a condition of approval, the FDA may require that a sponsor of a product candidate receiving accelerated approval perform post-marketing clinical trials to verify and describe the predicted effect on irreversible morbidity or mortality or other clinical endpoint, and the product may be subject to accelerated withdrawal procedures.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Food and Drug Administration Safety and Innovation Act (FDASIA) which was signed into law in July 2012, the U.S. Congress encouraged the FDA to utilize innovative and flexible approaches to the assessment of product candidates under accelerated approval. The law required the FDA to issue related guidance and also promulgate confirming regulatory changes. In May 2014, the FDA published a final Guidance for Industry titled “Expedited Programs for Serious Conditions—Drugs and Biologics,” which provides guidance on FDA programs that are intended to facilitate and expedite development and review of new product candidates as well as threshold criteria generally applicable to concluding that a product candidate is a candidate for these expedited development and review programs.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Fast Track, accelerated approval and priority review programs discussed above, the FDA also provided guidance on a new program for Breakthrough Therapy designation, established by FDASIA to subject a new category of product candidates to accelerated approval. A sponsor may seek FDA designation of a product candidate as a “breakthrough therapy” if the product candidate is intended, alone or in combination with one or more other therapeutics,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request for Breakthrough Therapy designation should be submitted concurrently with, or as an amendment to, an IND, but ideally no later than the end of Phase 2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Disclosure of Clinical Trial Information</w:t>
      </w:r>
    </w:p>
    <w:p>
      <w:pPr>
        <w:spacing w:after="0" w:line="225"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within one year of completion, although disclosure of the results of these trials can be delayed in certain circumstances for up to two additional years. Competitors may use this publicly available information to gain knowledge regarding the progress of development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2009, the FDA granted orphan drug designation for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HCC.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Exclusivity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FDCA provides a five-year period of non-patent data exclusivity within the U.S. to the first applicant to gain approval of an NDA for a new chemical entity. A drug is a new chemical entity if the FDA has not previously approved any other new drug containing the same active moiety. During the exclusivity period, the FDA generally may not accept for review an abbreviated new drug application (ANDA) or a 505(b)(2) NDA submitted by another company that references the previously approved drug. However, an ANDA or 505(b)(2) NDA referencing the new chemical entity may be submitted after four years if it contains a certification of patent invalidity or non-infringement.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 candidates shown to be highly similar to or interchangeable with an FDA licensed reference product. Biosimilarity sufficient to reference a prior FDA-approved product requires that there be no differences in conditions of use, route of administration, dosage form, and strength, and no clinically meaningful differences between the biological product candidate and the reference product in terms of safety, purity, and potency. Biosimilarity must be shown through analytical trials, animal trials, and a clinical trial or trials, unless the Secretary of Health and Human Services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biological product and the reference product may be switched after one has been previously administered without increasing safety risks or risks of diminished efficacy relative to exclusive use of the reference product.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reference product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biological products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product in favor of the first interchangeable biosimilar applicant, or (iv) 42 months after the first interchangeable biosimilar’s application has been approved if a patent lawsuit is ongoing within the 42-month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for drugs, or safety, purity, and potency for biological products, and complying with requirements concerning advertising and promotional labeling. As a condition of approval of an NDA/BLA,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products in the event of material deficiencies or defects in manufacture. A governmentally mandated recall, or a voluntary recall by us, could result from a number of events or factors, including component failures, manufacturing errors, instability of product or defects in labeling.</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manufacturing establishments in the U.S. and abroad are subject to periodic inspections by the FDA and must comply with current good manufacturing practices (cGMP). To maintain compliance with cGMP, manufacturers must expend funds, time and effort in the areas of production and quality control. The manufacturing process must be capable of consistently producing quality batches of the product candidate and the manufacturer must develop methods for testing the quality, purity and potency of the product candidate. Additionally, appropriate packaging must be selected and tested and stability studies must be conducted to demonstrate that the product candidate does not undergo unacceptable deterioration over its proposed shelf-life.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Clinical Studies to Support an IND, NDA, or BLA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will accept as support for an IND, NDA, or BLA a well-designed, well-conducted, non-IND foreign clinical trial if it was conducted in accordance with GCP and the FDA is able to validate the data from the trial through an on-site inspection, if necessary. A sponsor or applicant who wishes to rely on a non-IND foreign clinical trial to support an IND must submit supporting information to the FDA to demonstrate that the trial conformed to GCP. This information includes the investigator’s qualifications; a description of the research facilities; a detailed summary of the protocol and trial results and, if requested, case records or additional background data; a description of the drug substance and drug product, including the components, formulation, specifications, and, if available, the bioavailability of the product candidate; information showing that the trial is adequate and well controlled; the name and address of the independent ethics committee that reviewed the trial and a statement that the independent ethics committee meets the required definition; a summary of the independent ethics committee’s decision to approve or modify and approve the trial, or to provide a favorable opinion; a description of how informed consent was obtained; a description of what incentives, if any, were provided to subjects to participate; a description of how the sponsor monitored the trial and ensured that the trial was consistent with the protocol; a description of how investigators were trained to comply with GCP and to conduct the trial in accordance with the trial protocol; and a statement on whether written commitments by investigators to comply with GCP and the protocol were obtained.</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Legislation and Regulations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Outside of the U.S.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regulations in the U.S., we will be subject to a variety of regulations of other countries governing, among other things, any clinical trials and commercial sales and distribution of our product candidates. Whether or not we obtain FDA approval (clinical trial or marketing) for a product, we must obtain the requisite approvals from regulatory authorities in countries outside of the U.S., such as the EU and Chine, prior to the commencement of clinical trials or marketing of the products in those countries. The approval process and requirements governing the conduct of clinical trials, product licensing, pricing and reimbursement vary greatly from place to place, and the time may be longer or shorter than that required for FDA approval.</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EU, before starting a clinical trial, a valid request for authorization must be submitted by the sponsor to the competent authority of the EU Member State(s) in which the sponsor plans to conduct the clinical trial, as well as to an independent national Ethics Committee. A clinical trial may commence only once the relevant Ethics Committee(s) has (have) issued a favorable opinion and the competent authority of the EU Member State(s) concerned has (have) not informed the sponsor of any grounds for non-acceptance. Failure to comply with the EU requirements may subject a company to the rejection of the request and the prohibition to start a clinical trial. Clinical trials conducted in the EU (or used for marketing authorization application in the EU) must be conducted in accordance with applicable Good Clinical Practice (“GCP”) and Good Manufacturing Practice (“GMP”) rules, ICH guidelines and be consistent with ethical principles. EU Member State inspections are regularly conducted to verify the sponsor’s compliance with applicable rules. The sponsor is required to record and report to the relevant national competent authorities (and to the Ethics Committee) information about suspected serious unexpected adverse reactions (“SU.S.A.Rs”). The way clinical trials are conducted in the EU will undergo a major change when the new EU Clinical Trial Regulation (Regulation 536/2014) comes into application in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90" w:lineRule="auto"/>
        <w:rPr>
          <w:sz w:val="20"/>
          <w:szCs w:val="20"/>
          <w:color w:val="auto"/>
        </w:rPr>
      </w:pPr>
      <w:r>
        <w:rPr>
          <w:rFonts w:ascii="Arial" w:cs="Arial" w:eastAsia="Arial" w:hAnsi="Arial"/>
          <w:sz w:val="16"/>
          <w:szCs w:val="16"/>
          <w:color w:val="auto"/>
        </w:rPr>
        <w:t>As in the U.S., no medicinal product may be placed on the EU market unless a marketing authorization has been issued. In the EU, medicinal products may be authorized either via the mutual recognition and decentralized procedure, the national procedure or the centralized procedure. The centralized procedure, which is compulsory for medicines produced by biotechnology or those medicines intended to treat AIDS, cancer, neurodegenerative disorders or diabetes and is optional for those medicines that are highly innovative, provides for the grant of a single marketing authorization that is valid for all EU Member States. Marketing authorizations granted via the centralized procedure are valid for all EU Member States. Products submitted for approval via the centralized procedure are assessed by the Committee for Medicinal Products for Human Use (CHMP), a committee within the European Medicine Agency (EMA). The CHMP assesses, inter alia, whether a medicine meets the necessary quality, safety and efficacy requirements and whether it has a positive risk-benefit balance. The requirements for an application dossier for a biological product contain different aspects than that of a chemical medicinal product.</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EU, the requirements for pricing, coverage and reimbursement of any product candidates for which we obtain regulatory approval are provided for by the national laws of EU Member States. Governments influence the price of pharmaceutical products through their pricing and reimbursement rules and control of national health care systems that fund a large part of the cost of those products to consumers.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seek orphan designations for our product candidates. In the EU, as we understand it, a medicinal product may be designated as an orphan medicinal product if the sponsor can establish that it is intended for the diagnosis, prevention or treatment of a life-threatening or chronically debilitating condition affecting not more than five in 10 thousand persons, or that, for the same purposes, it is unlikely that the marketing of the medicinal product would generate sufficient return; and that there exists no satisfactory method of diagnosis, prevention or treatment of the condition in question that has been authorized in the EU or, if such method exists, that the medicinal product will be of significant benefit to those affected by that condition. Sponsors who obtain orphan designation benefit from a type of scientific advice specific for designated orphan medicinal products and protocol assistance from the EMA. Fee reductions are also available depending on the status of the sponsor and the type of service required. Marketing authorization applications for designated orphan medicinal products must be submitted through the centralized procedure.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EU Data Protection Directive and Member State implementing legislation may also apply to health-related and other personal information obtained outside of the U.S. The Directive will be replaced by the EU General Data Protection Regulation in May 2018. The Regulation will increase our responsibility and liability in relation to personal data that we process, and we may be required to put in place additional mechanisms to ensure compliance with the new EU data protection rules.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preclinical, clinical or commercial quantities of any of our product candidates. We currently contract with third party contract manufacturing organizations (CMOs) for our preclinical and clinical trial supplies, and we expect to continue to do so to meet the preclinical and any clinical requirements of our product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Manufacturing is subject to extensive regulations that impose various procedural and documentation requirements, which govern record keeping, manufacturing processes and controls, personnel, quality control and quality assurance, among others. Our CMOs manufacture our product candidates under current Good Manufacturing Practice (cGMP) conditions. cGMP is a regulatory standard for the production of pharmaceuticals that will be used in humans.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current focus is on the development of our existing portfolio, the completion of clinical trials and, if and where appropriate, the registration of our product candidates. We currently do not have marketing, sales and distribution capabilities. If we receive marketing and commercialization approval for any of our product candidates, we intend to market the product either directly or through strategic alliances and distribution agreements with third parties. The ultimate implementation of our strategy for realizing the financial value of our product candidates is dependent on the results of clinical trials for our product candidates, the availability of regulatory approvals and the ability to negotiate acceptable commercial terms with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 the discovery and development of new methods for treating and preventing disease is intense. We face, and will continue to face,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product candidates.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our competitors, either alone or together with their collaborative partners, have substantially greater financial resources and larger research and development staffs than we do. In addition, most of these organizations, either alone or together with their collaborators, have significantly greater experience than we do in developing products, undertaking preclinical testing and clinical trials, obtaining FDA and other regulatory approvals of products,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ThermoDox®</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there are many drugs and devices marketed and under development for the treatment of cancer, the Company is not aware of any other heat activated drug delivery product either being marketed or in human clinical development. In addition, the Company is not aware of any other Phase III clinical trial for the treatment of HCC or primary liver cancer.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GEN-1</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Studied indications for GEN-1 include ovarian cancer and glioblastoma multiforme (GBM) brain cancer. In evaluating the competitive landscape for both indications, early stage indications are treated with chemotherapy (temozolomide, BCNU, CCNU for brain cancer; docetaxel, doxil and cisplatinum for</w:t>
      </w:r>
    </w:p>
    <w:p>
      <w:pPr>
        <w:jc w:val="both"/>
        <w:spacing w:after="0" w:line="205" w:lineRule="auto"/>
        <w:rPr>
          <w:sz w:val="20"/>
          <w:szCs w:val="20"/>
          <w:color w:val="auto"/>
        </w:rPr>
      </w:pPr>
      <w:r>
        <w:rPr>
          <w:rFonts w:ascii="Arial" w:cs="Arial" w:eastAsia="Arial" w:hAnsi="Arial"/>
          <w:sz w:val="18"/>
          <w:szCs w:val="18"/>
          <w:color w:val="auto"/>
        </w:rPr>
        <w:t>ovarian cancer), while later stage ovarian and GBM cancer are treated with Bevacizumab - Avastin</w:t>
      </w:r>
      <w:r>
        <w:rPr>
          <w:rFonts w:ascii="Arial" w:cs="Arial" w:eastAsia="Arial" w:hAnsi="Arial"/>
          <w:sz w:val="30"/>
          <w:szCs w:val="30"/>
          <w:color w:val="auto"/>
          <w:vertAlign w:val="superscript"/>
        </w:rPr>
        <w:t>®</w:t>
      </w:r>
      <w:r>
        <w:rPr>
          <w:rFonts w:ascii="Arial" w:cs="Arial" w:eastAsia="Arial" w:hAnsi="Arial"/>
          <w:sz w:val="18"/>
          <w:szCs w:val="18"/>
          <w:color w:val="auto"/>
        </w:rPr>
        <w:t>, an anti-angiogenesis inhibitor. Avastin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currently also being evaluated for early stage disease.</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 xml:space="preserve">In product positioning for both indications, there currently is no direct immunotherapy competitor for GEN-1, which will be studied as an adjuvant to both chemotherapy standard of care regimens, as well as anti-angiogenesis compounds. To support these cases, we have conducted clinical studies in combination with chemotherapy for ovarian cancer, and preclinical studies in combination with both temozolomide and Bevacizumab-Avastin </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License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1999, we entered into a license agreement with Duke University under which we received exclusive rights, subject to certain exceptions, to commercialize and use Duke’s thermo-liposome technology. In relation to these liposome patents licensed from Duke University, we have filed two additional patents related to the formulation and use of liposomes. We have also licensed from Valentis, CA certain global rights covering the use of pegylation for temperature sensitive liposomes.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In 2003, our obligations under the license agreement with Duke University with respect to the testing and regulatory milestones and other licensed technology performance deadlines were eliminated in exchange for a payment of shares of our common stock. The license agreement continues to be subject to agreements to pay a royalty based upon future sales. In conjunction with the patent holder, we have filed international applications for a certain number of the U.S. patents.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rights under the license agreement with Duke University extend for the longer of 20 years or the end of any term for which any relevant patents are issued by the United States Patent and Trademark Office. Currently we have rights to Duke’s patent for its thermo-liposome technology in the U.S., which expires in 2018, and to future patents received by Duke in Canada, the EU, Japan and Australia, where it has patent applications have been granted. The European grant provides coverage in the European Community. For this technology, our license rights are worldwide, including the U.S., Canada, certain EU Member States, Australia, Hong Kong, and Japan.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and Proprietary Rights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Celsion holds an exclusive license agreement with Duke University for its temperature-sensitive liposome technology that covers the ThermoDox® formulation. Celsion also has issued patents which pertain specifically to methods of storing stabilized, temperature-sensitive liposomal formulations and will assist in the protection of global rights. These patents will extend the overall term of the ThermoDox® patent portfolio to 2026. These patents are the first in this family, which includes pending applications in the U.S., Europe and additional key commercial geographies in Asia. This extended patent runway to 2026 allows for the evaluation of future development activities for ThermoDox® and Celsion's heat-sensitive liposome technology platform.</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ThermoDox® technology, we either exclusively license or own U.S. and international patents with claims and methods and compositions of matters that cover various aspects of lysolipid thermally-sensitive liposomes technology, with expiration dates ranging from 2018 to 2026.</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TheraPlas technology, we own three U.S. and international patents and related applications with claims and methods and compositions of matters that cover various aspects of TheraPlas and GEN-1 technologies, with expiration dates ranging from 2020 to 2028.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addition to the rights available to us under completed or pending license agreements, we rely on our proprietary know-how and experience in the development and use of heat for medical therapies,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w:t>
      </w:r>
      <w:r>
        <w:rPr>
          <w:rFonts w:ascii="Arial" w:cs="Arial" w:eastAsia="Arial" w:hAnsi="Arial"/>
          <w:sz w:val="16"/>
          <w:szCs w:val="16"/>
          <w:b w:val="1"/>
          <w:bCs w:val="1"/>
          <w:color w:val="auto"/>
        </w:rPr>
        <w:t>“Item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1A, Risk Factors,” </w:t>
      </w:r>
      <w:r>
        <w:rPr>
          <w:rFonts w:ascii="Arial" w:cs="Arial" w:eastAsia="Arial" w:hAnsi="Arial"/>
          <w:sz w:val="16"/>
          <w:szCs w:val="16"/>
          <w:color w:val="auto"/>
        </w:rPr>
        <w:t>including, but not limited to, “We rely on trade secret protection and other unpatented proprietary rights for important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w:t>
      </w:r>
      <w:r>
        <w:rPr>
          <w:rFonts w:ascii="Arial" w:cs="Arial" w:eastAsia="Arial" w:hAnsi="Arial"/>
          <w:sz w:val="16"/>
          <w:szCs w:val="16"/>
          <w:b w:val="1"/>
          <w:bCs w:val="1"/>
          <w:color w:val="auto"/>
        </w:rPr>
        <w:t>“Item 1A, Risk Factors,”</w:t>
      </w:r>
      <w:r>
        <w:rPr>
          <w:rFonts w:ascii="Arial" w:cs="Arial" w:eastAsia="Arial" w:hAnsi="Arial"/>
          <w:sz w:val="16"/>
          <w:szCs w:val="16"/>
          <w:color w:val="auto"/>
        </w:rPr>
        <w:t xml:space="preserve"> including, but not limited to, “Our business depends on licensing agreements with third parties to permit us to use patented technologies. The loss of any of our rights under these agreements could impair our ability to develop and market our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26, 2018, we employed 21 full-time employees. We also maintain active independent contractor relationships with various individuals, most of whom have month-to-month or annual consulting agreements. None of our employees are covered by a collective bargaining agreement, and we consider our relations with our employees to be good.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Celsion was founded in 1982 and is a Delaware corporation. Our principal executive offices are located at 997 Lenox Drive, Suite 100, Lawrenceville, NJ 08648. Our telephone number is (609) 896-9100. The Company’s website is www.celsion.com. The information contained in, or that can be accessed through, our website is not part of, and is not incorporated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available free of charge through our website, www.celsion.com, our Annual Report on Form 10-K, Quarterly Reports on Form 10-Q, Current Reports on Form 8-K, and all amendments to those reports as soon as reasonably practicable after such material is electronically filed with or furnished to the Securities and Exchange Commission (the SEC). In addition, our website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In addition, copies of these documents will be made available free of charge upon written request. The public may read and copy any materials filed with the SEC at the SEC’s Public Reference Room at 100 F Street, NE, Washington, DC 20549. The public may obtain information on the operation of the Public Reference Room by calling the SEC at 1-800-SEC-0330. The SEC also maintains an internet site that contains reports, proxy and information statements and other information regarding issuers that file periodic and other reports electronically with the Securities and Exchange Commission. The address of that site is www.sec.gov. The information available on or through our website is not a part of this Annual Report on Form 10-K and should not be relied upon.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On February 6, 2018, we filed a prospectus supplement to the base prospectus that forms a part of the registration statement on Form S-3 (File No. 333-206789), filed on September 4, 2015 and declared effective by the SEC on September 25, 2015, pursuant to which we may offer and sell up to $10,000,000 of shares of common stock from time to time under the ATM Agreement. In January 2018 and thus far in 2018, we have sold 457,070 shares of common stock for net proceeds of $1.3 million under the ATM. As of the date of this filing, we have approximately $12.2 million available for future sales under the ATM.</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or historical results and our forward-looking statements. We note these factors for investors as permitted by Section 21E of the Securities Exchange Act, and Section 27A of the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our inception, our expenses have substantially exceeded our revenue, resulting in continuing losses and an accumulated deficit of $262 million at December 31, 2017. For the years ended December 31, 2017 and 2016, we incurred a net loss of $20.4 million, and $22.1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 its primary endpoint in our earlier Phase III clinical trial.</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I/II dose escalating trial evaluating GEN-1, known as the OVATION II Study, in ovarian cancer patients.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generated significant revenue and have incurred significant net losses in each year since our inception. For the year ended December 31, 2017, we had a net loss of $20.4 million and used $16.6 million to fund operations. We have incurred approximately $262 million of cumulated net losses. As of December 31, 2017, we had approximately $24.2 million in cash and short-term investments including interest receivable.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and other preclinical studies. We completed a Phase I dose-escalation clinical trial of GEN-1 in combination with the standard of care in neo-adjuvant ovarian cancer in the third quarter of 2017 and plan to expand our clinical development program for GEN-1 in ovarian cancer in 2018.</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1"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820" w:right="4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auto"/>
        </w:rPr>
      </w:pPr>
    </w:p>
    <w:p>
      <w:pPr>
        <w:jc w:val="both"/>
        <w:ind w:left="820" w:right="140" w:hanging="326"/>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1"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rFonts w:ascii="Arial" w:cs="Arial" w:eastAsia="Arial" w:hAnsi="Arial"/>
          <w:sz w:val="18"/>
          <w:szCs w:val="18"/>
          <w:color w:val="auto"/>
        </w:rPr>
      </w:pPr>
    </w:p>
    <w:p>
      <w:pPr>
        <w:jc w:val="both"/>
        <w:ind w:left="820" w:right="260" w:hanging="326"/>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 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1" w:lineRule="exact"/>
        <w:rPr>
          <w:rFonts w:ascii="Arial" w:cs="Arial" w:eastAsia="Arial" w:hAnsi="Arial"/>
          <w:sz w:val="18"/>
          <w:szCs w:val="18"/>
          <w:color w:val="auto"/>
        </w:rPr>
      </w:pPr>
    </w:p>
    <w:p>
      <w:pPr>
        <w:jc w:val="both"/>
        <w:ind w:left="820" w:right="160" w:hanging="326"/>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1" w:lineRule="exact"/>
        <w:rPr>
          <w:sz w:val="20"/>
          <w:szCs w:val="20"/>
          <w:color w:val="auto"/>
        </w:rPr>
      </w:pPr>
    </w:p>
    <w:p>
      <w:pPr>
        <w:jc w:val="both"/>
        <w:ind w:right="160"/>
        <w:spacing w:after="0" w:line="272" w:lineRule="auto"/>
        <w:rPr>
          <w:sz w:val="20"/>
          <w:szCs w:val="20"/>
          <w:color w:val="auto"/>
        </w:rPr>
      </w:pPr>
      <w:r>
        <w:rPr>
          <w:rFonts w:ascii="Arial" w:cs="Arial" w:eastAsia="Arial" w:hAnsi="Arial"/>
          <w:sz w:val="17"/>
          <w:szCs w:val="17"/>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4"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3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conducted a Phase I dose-escalation clinical trial of GEN-1 in combination with the standard of care in neo-adjuvant ovarian cancer starting in the second half of 2015 and completing enrollment in 2017. We also plan to expand our ovarian cancer development program to include a Phase I/II dose escalating trial evaluating GEN-1 in ovarian cancer patients. The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7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jc w:val="both"/>
        <w:ind w:right="140"/>
        <w:spacing w:after="0" w:line="266" w:lineRule="auto"/>
        <w:rPr>
          <w:sz w:val="20"/>
          <w:szCs w:val="20"/>
          <w:color w:val="auto"/>
        </w:rPr>
      </w:pPr>
      <w:r>
        <w:rPr>
          <w:rFonts w:ascii="Arial" w:cs="Arial" w:eastAsia="Arial" w:hAnsi="Arial"/>
          <w:sz w:val="18"/>
          <w:szCs w:val="18"/>
          <w:b w:val="1"/>
          <w:bCs w:val="1"/>
          <w:color w:val="auto"/>
        </w:rPr>
        <w:t>We have obtained Orphan Drug Designation for for ThermoDox® and may seek Orphan Drug Designation for other product candidates, but we may be unsuccessful or may be unable to maintain the benefits associated with Orphan Drug Designation, including the potential for market exclusivity.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Europe. As part of our business strategy, we may seek Orphan Drug Designation for other product candidates, but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though we have obtained Orphan Drug Designation for ThermoDox®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other product candidates, we may never receive such designations.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several years to limit the growth of healthcare costs, including price regulation, competitive pricing, coverage and payment policies, comparative effectiveness of therapies, technology assessments and managed-care arrangements. For example, the Affordable Care Act, passed in 2010,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Further, the 2016 Presidential and Congressional elections and subsequent developments have caused the future state of many core aspects of the current health care marketplace to be uncertain, as the new Presidential Administration and Congress have repeatedly expressed a desire to repeal all or portions of the Affordable Care Act.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$27.02 and a low price of $4.20 in the 52-week period ended December 31, 2016, a high price of $7.14 and a low price of $1.28 in the 52-week period ended December 31, 2017, and a high price of $2.82 and a low price of $2.12 from January 1, 2018 through March 26, 2018. Among the factors that may cause the market price of our common stock to fluctuate are the risks described in this “Risk Factors” section and other factors, including:</w:t>
      </w:r>
    </w:p>
    <w:p>
      <w:pPr>
        <w:spacing w:after="0" w:line="173" w:lineRule="exact"/>
        <w:rPr>
          <w:sz w:val="20"/>
          <w:szCs w:val="20"/>
          <w:color w:val="auto"/>
        </w:rPr>
      </w:pPr>
    </w:p>
    <w:p>
      <w:pPr>
        <w:ind w:left="760" w:hanging="42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760" w:right="900" w:hanging="42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 especially changes in laws and regulations applicable to our product candidates;</w:t>
      </w:r>
    </w:p>
    <w:p>
      <w:pPr>
        <w:spacing w:after="0" w:line="170" w:lineRule="exact"/>
        <w:rPr>
          <w:rFonts w:ascii="Arial" w:cs="Arial" w:eastAsia="Arial" w:hAnsi="Arial"/>
          <w:sz w:val="18"/>
          <w:szCs w:val="18"/>
          <w:color w:val="auto"/>
        </w:rPr>
      </w:pPr>
    </w:p>
    <w:p>
      <w:pPr>
        <w:ind w:left="760" w:right="900" w:hanging="42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70" w:lineRule="exact"/>
        <w:rPr>
          <w:rFonts w:ascii="Arial" w:cs="Arial" w:eastAsia="Arial" w:hAnsi="Arial"/>
          <w:sz w:val="18"/>
          <w:szCs w:val="18"/>
          <w:color w:val="auto"/>
        </w:rPr>
      </w:pPr>
    </w:p>
    <w:p>
      <w:pPr>
        <w:ind w:left="760" w:hanging="42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760" w:right="900" w:hanging="428"/>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26, 2018, we had 17,740,035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March 26, 2018, we have a significant number of securities convertible into, or allowing the purchase of, our common stock, including 3,058,42 shares of common stock issuable upon exercise of warrants outstanding, 589,741 options to purchase shares of our common stock and restricted stock awards outstanding, and 110,152 shares of common stock reserved for future issuance under our stock incentive plan. Under the Controlled</w:t>
      </w:r>
    </w:p>
    <w:p>
      <w:pPr>
        <w:spacing w:after="0" w:line="3"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 xml:space="preserve">Equity Offering </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entered into with Cantor Fitzgerald &amp; Co. on February 1, 2013, we may offer and sell, from time to time through “at-the-market” offerings, up to an aggregate of $25 million of shares of our common stock. We have sold $12.8 million in gross proceeds under the Sales Agreement as of March 26, 2018.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March 26, 2018, the closing sale price per share of our common stock was $2.53, the total market value of our publicly held shares of our common stock (excluding shares held by our executive officers, directors and 10% or more stockholders) was approximately $44.7 million and the total market value of our listed securities was approximately $44.9 million. There is no assurance that we will continue to meet the minimum closing price requirement and other listing requirements. As of December 31, 2017, we had stockholders’ equity of approximately $26.7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2017, 2016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and 2017.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2011, we entered into a lease with Brandywine Operating Partnership, L.P., a Delaware limited partnership for a 10,870 square foot premises located in Lawrenceville, New Jersey in connection with the relocation of our offices from Columbia, Maryland. In late 2015, Lenox Drive Office Park LLC, purchased the real estate and office building and assumed the lease. Under the current terms of the lease, which was amended effective May 1, 2017 and is set to expire on September 1, 2022, we reduced the size of the premises to 7,565 square feet and are paying a monthly rent that ranges from approximately $18,900 in the first year to approximately $20,500 in the final year of the amendment. We also have a one-time option to cancel the lease as of the 24th month after the commencement date of the amendment.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Asset Purchase Agreement, in June 2014, we assumed the existing lease with another landlord for an 11,500 square foot premises located in Huntsville, Alabama. In January 2018, we entered into a new 60-month lease agreement for 9,049 square feet with rent payments of approximately $18,100 per month. We paid $502,716 and $578,943 in connection with these leases in 2017 and 2016, respectively. Following is a summary of the future minimum payments required under leases that have initial or remaining lease terms of one year or more as of December 31, 2017:</w:t>
      </w:r>
    </w:p>
    <w:p>
      <w:pPr>
        <w:sectPr>
          <w:pgSz w:w="11900" w:h="16838" w:orient="portrait"/>
          <w:cols w:equalWidth="0" w:num="1">
            <w:col w:w="11420"/>
          </w:cols>
          <w:pgMar w:left="240" w:top="580" w:right="239" w:bottom="1440" w:gutter="0" w:footer="0" w:header="0"/>
        </w:sect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ending December 31: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2021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2023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Total minimum lease payments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Operating</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347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4" w:lineRule="exact"/>
        <w:rPr>
          <w:sz w:val="20"/>
          <w:szCs w:val="20"/>
          <w:color w:val="auto"/>
        </w:rPr>
      </w:pPr>
    </w:p>
    <w:p>
      <w:pPr>
        <w:ind w:left="880" w:hanging="88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452,093</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450,430</w:t>
      </w:r>
    </w:p>
    <w:p>
      <w:pPr>
        <w:spacing w:after="0" w:line="3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454,213</w:t>
      </w:r>
    </w:p>
    <w:p>
      <w:pPr>
        <w:spacing w:after="0" w:line="3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457,995</w:t>
      </w:r>
    </w:p>
    <w:p>
      <w:pPr>
        <w:spacing w:after="0" w:line="3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379,823</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18,098</w:t>
      </w:r>
    </w:p>
    <w:p>
      <w:pPr>
        <w:spacing w:after="0" w:line="32" w:lineRule="exact"/>
        <w:rPr>
          <w:sz w:val="20"/>
          <w:szCs w:val="20"/>
          <w:color w:val="auto"/>
        </w:rPr>
      </w:pPr>
    </w:p>
    <w:p>
      <w:pPr>
        <w:ind w:left="760" w:hanging="760"/>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2,212,652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9347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9120" w:space="720"/>
            <w:col w:w="1580"/>
          </w:cols>
          <w:pgMar w:left="240" w:top="580" w:right="23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We believe our existing facilities are suitable and adequate to conduct our business.</w:t>
      </w:r>
    </w:p>
    <w:p>
      <w:pPr>
        <w:spacing w:after="0" w:line="200" w:lineRule="exact"/>
        <w:rPr>
          <w:sz w:val="20"/>
          <w:szCs w:val="20"/>
          <w:color w:val="auto"/>
        </w:rPr>
      </w:pPr>
    </w:p>
    <w:p>
      <w:pPr>
        <w:spacing w:after="0" w:line="2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for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trades on The NASDAQ Capital Market under the symbol “CLSN”. The following table sets forth the high and low reported sale prices for the periods indicated as adjusted to reflect the 14 to 1 reverse stock split of our common stock effective May 26,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2018</w:t>
            </w:r>
          </w:p>
        </w:tc>
        <w:tc>
          <w:tcPr>
            <w:tcW w:w="2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January 1, 2018 through March 26, 2018</w:t>
            </w:r>
          </w:p>
        </w:tc>
        <w:tc>
          <w:tcPr>
            <w:tcW w:w="3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Year Ended December 31, 2017</w:t>
            </w:r>
          </w:p>
        </w:tc>
        <w:tc>
          <w:tcPr>
            <w:tcW w:w="2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2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27.86</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24.92</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19.60</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17.36</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March 28, 2018, the last reported sale price for our common stock on the NASDAQ Capital Market was $2.53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26, 2018, there were approximately 19,000 stockholders of record of our common stock. The actual number of stockholders is greater than this number of record stockholders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See “Item 12. Security Ownership of Certain Beneficial Owners and Management and Related Stockholder Matter—Equity Compensation Plan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Shares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discussions should be read in conjunction with our financial statements and related notes thereto included in this Annual Report on Form 10-</w:t>
      </w:r>
    </w:p>
    <w:p>
      <w:pPr>
        <w:spacing w:after="0" w:line="46" w:lineRule="exact"/>
        <w:rPr>
          <w:sz w:val="20"/>
          <w:szCs w:val="20"/>
          <w:color w:val="auto"/>
        </w:rPr>
      </w:pPr>
    </w:p>
    <w:p>
      <w:pPr>
        <w:jc w:val="both"/>
        <w:ind w:firstLine="8"/>
        <w:spacing w:after="0" w:line="252" w:lineRule="auto"/>
        <w:tabs>
          <w:tab w:leader="none" w:pos="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following discussion contains forward-looking statements made pursuant to the safe harbor provisions of Section 27A of the Securities Act and Section 21E of the Securities Exchange Act of 1934 and the Private Securities Litigation Reform Act of 1995. These statements are based on our beliefs and expectations about future outcomes and are subject to risks and uncertainties that could cause actual results to differ materially from anticipated results. Factors that could cause or contribute to such differences include those described under </w:t>
      </w:r>
      <w:r>
        <w:rPr>
          <w:rFonts w:ascii="Arial" w:cs="Arial" w:eastAsia="Arial" w:hAnsi="Arial"/>
          <w:sz w:val="18"/>
          <w:szCs w:val="18"/>
          <w:b w:val="1"/>
          <w:bCs w:val="1"/>
          <w:color w:val="auto"/>
        </w:rPr>
        <w:t>“Part I, Item 1A – Risk Factors”</w:t>
      </w:r>
      <w:r>
        <w:rPr>
          <w:rFonts w:ascii="Arial" w:cs="Arial" w:eastAsia="Arial" w:hAnsi="Arial"/>
          <w:sz w:val="18"/>
          <w:szCs w:val="18"/>
          <w:color w:val="auto"/>
        </w:rPr>
        <w:t xml:space="preserve"> appearing in this Annual Report on Form 10-K and factors described in other cautionary statements, cautionary language and risk factors set forth in other documents that we file with the Securities and Exchange Commission. We undertake no obligation to publicly update forward-looking statements,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Celsion is a fully-integrated development stage oncology drug company focused on advancing a portfolio of innovative cancer treatments, including directed chemotherapies, DNA-mediated immunotherapy and RNA based therapies. Our lead product candidate is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 proprietary heat-activated liposomal encapsulation of doxorubicin, currently in a Phase III clinical trial for the treatment of primary liver cancer (the “OPTIMA Study”), and a Phase II clinical trial for the treatment of recurrent chest wall breast cancer (the “DIGNITY Study”). Second in our pipeline is GEN-1, a DNA-mediated immunotherapy for the localized treatment of ovarian and brain cancers. We have two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and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being evaluated in a Phase III clinical trial for primary liver cancer (the “OPTIMA Study”) which was initiated in 2014 and a Phase II clinical trial for recurrent chest wall breast cancer (the “DIGNITY Study”).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 xml:space="preserve">The HEAT Study. </w:t>
      </w:r>
      <w:r>
        <w:rPr>
          <w:rFonts w:ascii="Arial" w:cs="Arial" w:eastAsia="Arial" w:hAnsi="Arial"/>
          <w:sz w:val="16"/>
          <w:szCs w:val="16"/>
          <w:color w:val="auto"/>
        </w:rPr>
        <w:t>On January 31, 2013, we announced that ThermoDox</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combination with radio frequency ablation (“RFA”) did not meet the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of progression free survival (“PFS”) for the 701-patient clinical trial in patients with hepatocellular carcinoma (HCC), also known as primary liver cancer (the HEAT Study). We determined, after conferring with the HEAT Study’s independent DMC, that the HEAT Study did not meet the goal of demonstrating persuasive evidence of clinical effectiveness, that being a clinically meaningful improvement in progression free survival (PFS), that could</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form the basis for regulatory approval. In the trial,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well-tolerated with no unexpected serious adverse events. Following the announcement of the HEAT Study results, we continued to follow patients for overall survival (OS), the secondary endpoint of the HEAT Study. We have conducted a comprehensive analysis of the data from the HEAT Study to assess the future strategic value and development strategy for ThermoDox</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Findings from the HEAT Study post-hoc data analysis suggest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substantially improve overall survival, when compared to the control group, in patients if their lesions undergo a 45-minute RFA procedure standardized for a lesion greater than 3 cm in diameter. Data from nine OS sweeps have been conducted since the top line PFS data from the HEAT Study were announced in January 2013, with each data set demonstrating progressive improvement in clinical benefit and statistical significance. On August 15, 2016, the Company announced the most recent post-hoc OS analysis from the HEAT Study. These results demonstrated that in a large, well bounded subgroup of patients with a single lesion (n=285, 41% of the HEAT Study patients), the combination of ThermoDox® and optimized RFA provided an average 54% risk improvement in OS compared to optimized RFA alone. The Hazard Ratio at this latest OS analysis is 0.65 (95% CI 0.45 - 0.94) with a p-value of 0.02. Median OS for the ThermoDox® group has been reached which translates into a two-year survival benefit over the optimized RFA group (projected to be greater than 80 months for the ThermoDox® plus optimized RFA group compared to</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less than 60 months projection for the optimized RFA only group). These data continue to strongly suggest that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may significantly improve Overall Survival compared to a RFA control in patients whose lesions undergo optimized RFA treatment for 45 minutes or more as well as support the protocol for our Phase III OPTIMA Study as described below.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Findings from the HEAT Study post-hoc data analysis have shown to be well balanced and not diminished in anyway by other factors. Supplementary computational modeling and prospective preclinical animal studies have shown additional support the relationship between heating duration and clinical outcomes. These data have been presented, without objection, at multiple scientific and medical conferences in 2013 through 2016 by key HEAT Study investigators and leading liver cancer experts.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October 16, 2017, the Company announced the publication of the manuscript, “Phase III HEAT STUDY Adding Lyso-Thermosensitive Liposomal Doxorubicin to Radiofrequency Ablation in Patients with Unresectable Hepatocellular Carcinoma Lesions,” in </w:t>
      </w:r>
      <w:r>
        <w:rPr>
          <w:rFonts w:ascii="Arial" w:cs="Arial" w:eastAsia="Arial" w:hAnsi="Arial"/>
          <w:sz w:val="16"/>
          <w:szCs w:val="16"/>
          <w:i w:val="1"/>
          <w:iCs w:val="1"/>
          <w:color w:val="auto"/>
        </w:rPr>
        <w:t>Clinical Cancer Research</w:t>
      </w:r>
      <w:r>
        <w:rPr>
          <w:rFonts w:ascii="Arial" w:cs="Arial" w:eastAsia="Arial" w:hAnsi="Arial"/>
          <w:sz w:val="16"/>
          <w:szCs w:val="16"/>
          <w:color w:val="auto"/>
        </w:rPr>
        <w:t>, a peer-reviewed</w:t>
      </w:r>
    </w:p>
    <w:p>
      <w:pPr>
        <w:jc w:val="both"/>
        <w:spacing w:after="0" w:line="238" w:lineRule="auto"/>
        <w:rPr>
          <w:sz w:val="20"/>
          <w:szCs w:val="20"/>
          <w:color w:val="auto"/>
        </w:rPr>
      </w:pPr>
      <w:r>
        <w:rPr>
          <w:rFonts w:ascii="Arial" w:cs="Arial" w:eastAsia="Arial" w:hAnsi="Arial"/>
          <w:sz w:val="18"/>
          <w:szCs w:val="18"/>
          <w:color w:val="auto"/>
        </w:rPr>
        <w:t>medical journal. The article reports on one of the largest controlled studies in hepatocellular carcinoma. It provides a comprehensive review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primary liver cancer. The article details learnings from the Company’s 701 patient HEAT Study and includes results from computer simulation studies and includes findings from a post hoc subgroup analysis, all of which are consistent with each other and which - when examined together - suggests a clearer understanding of a key ThermoDox® heat-based mechanism of action: the longer the target tissue is heated, the greater the doxorubicin tissue concentration. Additionally, the article explores a new hypothesis prompted by these findings: ThermoDox® when used in combination with Radiofrequency Ablation (RFA) standardized to a minimum dwell time of 45 minutes (sRFA &gt; 45 minutes), may increase the overall survival (OS) of patients with HCC. The lead author is Won Young Tak, M.D., Ph.D., Professor Internal Medicine, Gastroenterology &amp; Hepatology, Kyungpook National University Hospital Daegu, Republic of Korea, and there are 22 HEAT Study co-authors along with Nicholas Borys, M.D., Celsion’s senior vice president and chief medical officer.</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The OPTIMA Study. </w:t>
      </w:r>
      <w:r>
        <w:rPr>
          <w:rFonts w:ascii="Arial" w:cs="Arial" w:eastAsia="Arial" w:hAnsi="Arial"/>
          <w:sz w:val="16"/>
          <w:szCs w:val="16"/>
          <w:color w:val="auto"/>
        </w:rPr>
        <w:t>On February 24, 2014, we announced that the United States Food and Drug Administration (FDA), after its customary 30-day review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accepted our IND without comment, subject to compliance with regulatory standards, for our pivotal, double-blind, placebo-controlled Phase III trial</w:t>
      </w:r>
    </w:p>
    <w:p>
      <w:pPr>
        <w:jc w:val="both"/>
        <w:spacing w:after="0" w:line="234" w:lineRule="auto"/>
        <w:rPr>
          <w:sz w:val="20"/>
          <w:szCs w:val="20"/>
          <w:color w:val="auto"/>
        </w:rPr>
      </w:pPr>
      <w:r>
        <w:rPr>
          <w:rFonts w:ascii="Arial" w:cs="Arial" w:eastAsia="Arial" w:hAnsi="Arial"/>
          <w:sz w:val="16"/>
          <w:szCs w:val="16"/>
          <w:color w:val="auto"/>
        </w:rPr>
        <w:t>of ThermoDox</w:t>
      </w:r>
      <w:r>
        <w:rPr>
          <w:rFonts w:ascii="Arial" w:cs="Arial" w:eastAsia="Arial" w:hAnsi="Arial"/>
          <w:sz w:val="26"/>
          <w:szCs w:val="26"/>
          <w:color w:val="auto"/>
          <w:vertAlign w:val="superscript"/>
        </w:rPr>
        <w:t>®</w:t>
      </w:r>
      <w:r>
        <w:rPr>
          <w:rFonts w:ascii="Arial" w:cs="Arial" w:eastAsia="Arial" w:hAnsi="Arial"/>
          <w:sz w:val="16"/>
          <w:szCs w:val="16"/>
          <w:color w:val="auto"/>
        </w:rPr>
        <w:t>, our proprietary heat-activated liposomal encapsulation of doxorubicin in combination with RFA in primary liver cancer, also known as HCC (the OPTIMA Study). The OPTIMA Study trial design is based on the comprehensive analysis of data from the HEAT study, which, as described previously,</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demonstrated that treatment with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resulted in a 54% risk improvement in overall survival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patients globally at up to 75 sites in the U.S., Canada, the EU, China and elsewhere in the Asia Pacific region, and will evaluate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combination with standardized RFA, which will require a minimum of 45 minutes across all investigators and clinical sites for treating lesions 3 to 7 centimeters, versus standardized RFA alone. The primary endpoint for the trial is OS, and the secondary endpoints for the trial are PFS and safety. The statistical plan calls for two interim efficacy analyses by an independent DMC.</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CFDA to conduct the OPTIMA Study in China. This clinical trial application approval will now allow Celsion to enroll patients at up to 20 additional clinical sites in China. Results from the OPTIMA Study, if successful, will provide the basis for a global registration filing and marketing approval.</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 For all patients with single lesions treated with RFA plus ThermoDox</w:t>
      </w:r>
      <w:r>
        <w:rPr>
          <w:rFonts w:ascii="Arial" w:cs="Arial" w:eastAsia="Arial" w:hAnsi="Arial"/>
          <w:sz w:val="30"/>
          <w:szCs w:val="30"/>
          <w:color w:val="auto"/>
          <w:vertAlign w:val="superscript"/>
        </w:rPr>
        <w:t>®:</w:t>
      </w:r>
    </w:p>
    <w:p>
      <w:pPr>
        <w:spacing w:after="0" w:line="6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 unit increase in RFA duration per tumor volume improved overall survival by 20% (p=0.017; n=227);</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significant differences in subgroup of patients with RFA burn times per tumor volume greater than 2.5 minutes per ml;</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Cox multiple covariate analysis showed overall survival to be significant (p=0.038; Hazard Ratio = 0.85);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Burn time per tumor volume did not have a significant effect on overall survival in single lesion patients treated with RFA only.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7, 2017, the Company announced that the independent Data Monitoring Committee (DMC) for the Company's OPTIMA Study completed a regularly scheduled review of the first 50% of patients enrolled in the trial and has unanimously recommended that the OPTIMA Study continue according to protocol to its final data readout. The DMC reviewed study data at regular intervals, with the primary responsibilities of ensuring the safety of all patients enrolled in the study, the quality of the data collected, and the continued scientific validity of the study design. As part of its review of the first 275 patients, the DMC monitored a quality matrix relating to the total clinical data set, confirming the timely collection of data, that all data are current as well as other data collection and quality criteria.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7"/>
          <w:szCs w:val="17"/>
          <w:color w:val="auto"/>
        </w:rPr>
        <w:t>The Company hosted an Investigators Meeting with physicians in South East Asia and key opinion leaders on July 22-23, 2017 in Bangkok, Thailand. A second Investigators Meeting was held on September 23, 2017 with physicians in China. As of December 31, 2017, the Company had initiated approximately 65 clinical sites in 14 countries and has plans to activate up to 8 additional clinical trial sites in China and Vietnam by the middle of 2018.</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auto"/>
        </w:rPr>
        <w:t xml:space="preserve">The DIGNITY Study. </w:t>
      </w:r>
      <w:r>
        <w:rPr>
          <w:rFonts w:ascii="Arial" w:cs="Arial" w:eastAsia="Arial" w:hAnsi="Arial"/>
          <w:sz w:val="17"/>
          <w:szCs w:val="17"/>
          <w:color w:val="auto"/>
        </w:rPr>
        <w:t>On December 14, 2015, we announced final data from the Phase I/II study of ThermoDox</w:t>
      </w:r>
      <w:r>
        <w:rPr>
          <w:rFonts w:ascii="Arial" w:cs="Arial" w:eastAsia="Arial" w:hAnsi="Arial"/>
          <w:sz w:val="28"/>
          <w:szCs w:val="28"/>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recurrent chest wall (RCW) breast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cancer (the DIGNITY Study) at the San Antonio Breast Cancer Symposium. The DIGNITY Study is designed to establish a safe therapeutic dose in Phase I, and in Phase II to demonstrate local control, including complete and partial responses, and stable disease as its primary endpoint. The DIGNITY Study is also planned to evaluate kinetics in ThermoDox® produced from more than one manufacturing site. Of the 28 patients enrolled and treated, 21 patients were eligible for evaluation of efficacy. Approximately 62% of evaluable patients experienced a local response, including six complete responses and seven partial responses. In order for us to focus on our most immediate registrational opportunities, our research in RCW breast cancer has been suspended. We may reinitiate this program following a successful trial in primary liver cancer.</w:t>
      </w:r>
    </w:p>
    <w:p>
      <w:pPr>
        <w:spacing w:after="0" w:line="20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These data are consistent with the combined clinical data from two Phase I trials, our Phase I DIGNITY</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Study and the Duke University sponsored Phase I trial of ThermoDox® plus hyperthermia in RCW breast cancer in December 2013. The two similarly designed Phase I studies enrolled patients with highly resistant tumors found on the chest wall and who had progressed on previous therapy including chemotherapy, radiation therapy and hormone therapy. There were 29 patients treated in the two trials, including 11 patients in the DIGNITY Study and 18 patients in the Duke study. Of the 29 patients treated, 23 were eligible for evaluation of efficacy. A local response rate of over 60 percent was reported in 14 of the 23 evaluable patients with five complete responses and nine partial responses.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 Assets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20, 2014, we completed the acquisition of substantially all of the assets of EGEN, Inc., an Alabama corporation (EGEN), pursuant to an Asset Purchase Agreement. CLSN Laboratories, Inc., a Delaware corporation and a wholly-owned subsidiary of ours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total purchase price for the asset acquisition is up to $44.4 million, including potential future earnout payments of up to $30.4 million contingent upon achievement of certain earnout milestones set forth in the Asset Purchase Agreement. The earn-out milestone liability was valued on the date of acquisition and is being valued at the end of each quarter with any change in its value recognized in the financial statements. At the closing, we paid approximately $3.0 million in cash after the expense adjustment and issued 193,728 shares of our common stock to EGEN. The shares of common stock were issued in a private transaction exempt from registration under the Securities Act of 1933, as amended, pursuant to Section 4(2) thereof. In addition, 47,862 shares of common stock were held back by us at the closing and were issued to EGEN pending satisfactory resolution of any post-closing adjustments for expenses or in relation to EGEN’s indemnification obligations under the Asset Purchase Agreement. These shares were issued on June 16,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ind w:right="40"/>
        <w:spacing w:after="0" w:line="308" w:lineRule="auto"/>
        <w:rPr>
          <w:sz w:val="20"/>
          <w:szCs w:val="20"/>
          <w:color w:val="auto"/>
        </w:rPr>
      </w:pPr>
      <w:r>
        <w:rPr>
          <w:rFonts w:ascii="Arial" w:cs="Arial" w:eastAsia="Arial" w:hAnsi="Arial"/>
          <w:sz w:val="17"/>
          <w:szCs w:val="17"/>
          <w:color w:val="auto"/>
        </w:rPr>
        <w:t>There being no immediate opportunity to out-license TheraSilence, earnout payments have been adjusted and now up to $24.4 million will become payable, in cash, shares of our common stock or a combination thereof, at our option, upon achievement of two major milestone events as follows:</w:t>
      </w:r>
    </w:p>
    <w:p>
      <w:pPr>
        <w:spacing w:after="0" w:line="147" w:lineRule="exact"/>
        <w:rPr>
          <w:sz w:val="20"/>
          <w:szCs w:val="20"/>
          <w:color w:val="auto"/>
        </w:rPr>
      </w:pPr>
    </w:p>
    <w:p>
      <w:pPr>
        <w:ind w:left="820" w:right="80" w:hanging="650"/>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 and</w:t>
      </w:r>
    </w:p>
    <w:p>
      <w:pPr>
        <w:spacing w:after="0" w:line="170" w:lineRule="exact"/>
        <w:rPr>
          <w:rFonts w:ascii="Arial" w:cs="Arial" w:eastAsia="Arial" w:hAnsi="Arial"/>
          <w:sz w:val="18"/>
          <w:szCs w:val="18"/>
          <w:color w:val="auto"/>
        </w:rPr>
      </w:pPr>
    </w:p>
    <w:p>
      <w:pPr>
        <w:ind w:left="820" w:right="80" w:hanging="650"/>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obligations to make the earnout payments will terminate on the seventh anniversary of the closing date. As of now, the Company does not anticipate that the ovarian cancer earnout payment will be made before the fourth quarter of 2019. The Company is continuing to evaluate the development of GEN-1 in glioblastoma multiforme brain cancer in light of other substantial competitive development programs in this indication.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we borrowed an additional $5.0 million pursuant to a certain Loan and Security Agreement dated as of November 25, 2013, by and between Hercules Technology Growth Capital, Inc. and us. We used the loan proceeds to pay the upfront cash payment to EGEN at closing and certain transaction costs incurred in connection with the acquisition.</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w:t>
      </w:r>
    </w:p>
    <w:p>
      <w:pPr>
        <w:spacing w:after="0" w:line="3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3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24,211,000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(Covenant not to compete)</w:t>
            </w:r>
          </w:p>
        </w:tc>
        <w:tc>
          <w:tcPr>
            <w:tcW w:w="2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1,591,000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1,976,000</w:t>
            </w:r>
          </w:p>
        </w:tc>
      </w:tr>
      <w:tr>
        <w:trPr>
          <w:trHeight w:val="20"/>
        </w:trPr>
        <w:tc>
          <w:tcPr>
            <w:tcW w:w="6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27,813,000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(235,000)</w:t>
            </w:r>
          </w:p>
        </w:tc>
      </w:tr>
      <w:tr>
        <w:trPr>
          <w:trHeight w:val="20"/>
        </w:trPr>
        <w:tc>
          <w:tcPr>
            <w:tcW w:w="6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27,578,000</w:t>
            </w:r>
          </w:p>
        </w:tc>
      </w:tr>
      <w:tr>
        <w:trPr>
          <w:trHeight w:val="20"/>
        </w:trPr>
        <w:tc>
          <w:tcPr>
            <w:tcW w:w="65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acquisition, we obtained GEN-1,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IPR&amp;D consists of EGEN's drug technology platforms: GEN-1, TheraPlas and TheraSilence. The fair value of the IPR&amp;D drug technology platforms was estimated to be $24.2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jc w:val="both"/>
        <w:spacing w:after="0" w:line="287" w:lineRule="auto"/>
        <w:rPr>
          <w:sz w:val="20"/>
          <w:szCs w:val="20"/>
          <w:color w:val="auto"/>
        </w:rPr>
      </w:pPr>
      <w:r>
        <w:rPr>
          <w:rFonts w:ascii="Arial" w:cs="Arial" w:eastAsia="Arial" w:hAnsi="Arial"/>
          <w:sz w:val="16"/>
          <w:szCs w:val="16"/>
          <w:color w:val="auto"/>
        </w:rPr>
        <w:t xml:space="preserve">To calculate fair value of </w:t>
      </w:r>
      <w:r>
        <w:rPr>
          <w:rFonts w:ascii="Arial" w:cs="Arial" w:eastAsia="Arial" w:hAnsi="Arial"/>
          <w:sz w:val="16"/>
          <w:szCs w:val="16"/>
          <w:i w:val="1"/>
          <w:iCs w:val="1"/>
          <w:color w:val="auto"/>
        </w:rPr>
        <w:t>the IPR&amp;D</w:t>
      </w:r>
      <w:r>
        <w:rPr>
          <w:rFonts w:ascii="Arial" w:cs="Arial" w:eastAsia="Arial" w:hAnsi="Arial"/>
          <w:sz w:val="16"/>
          <w:szCs w:val="16"/>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closing of the acquisition, the IPR&amp;D was considered indefinite lived intangible assets and was not amortized. The IPR&amp;D is reviewed on an annual basis or more frequently if there appears to be an indication of impairment. At December 31, 2016, the Company determined one of the IPR&amp;D assets related to the development of its RNA delivery system being developed with collaborators using their RNA product candidates, valued at $1.4 million, was impaired. Therefore, the Company wrote off the value of this IPR&amp;D asset incurring a non-cash charge of $1.4 million in the fourth quarter of 2016. In connection with the write-off of this IPR&amp;D asset, the Company concluded there was no probability of payments of the earn-out milestones associated with this asset and therefore reduced the earn-out milestone liability by $0.7 million at the same time. At September 30, 2017, after our assessment of the totality of the events that could impair IPR&amp;D, the Company determined certain IPR&amp;D assets related to the development of its glioblastoma multiforme cancer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$9.4 million, was partially impaired and wrote down the GBM asset to $6.9 million incurring a non-cash charge of $2.5 million in the third quarter of 2017. In connection with the write-off of this IPR&amp;D asset, the Company concluded there was a reduced probability of payments of the earn-out milestones associated with the GBM asset and therefore reduced the earn-out milestone liability from $13.8 million to $12.5 million, recording a non-cash benefit of $1.2 million in the third quarter of 2017. The Company concluded none of the other IPR&amp;D assets were impaired at December 31,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Not To Compete (CNTC)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GEN-1 OVATION Study. </w:t>
      </w:r>
      <w:r>
        <w:rPr>
          <w:rFonts w:ascii="Arial" w:cs="Arial" w:eastAsia="Arial" w:hAnsi="Arial"/>
          <w:sz w:val="17"/>
          <w:szCs w:val="17"/>
          <w:color w:val="auto"/>
        </w:rPr>
        <w:t>In February 2015, we announced that the FDA accepted, without objection, the Phase I dose-escalation clinical trial of GEN-1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with the standard of care in neo-adjuvant ovarian cancer (the OVATION Study). On September 30, 2015, we announced enrollment of the first patient in the OVATION Study. The OVATION Study is designed to (i) to identify a safe, tolerable and potentially therapeutically active dose of GEN-1 by recruiting and maximizing an immune response and (ii) to enroll three to six patients per dose level and will evaluate safety and efficacy and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78" w:lineRule="exact"/>
        <w:rPr>
          <w:sz w:val="20"/>
          <w:szCs w:val="20"/>
          <w:color w:val="auto"/>
        </w:rPr>
      </w:pPr>
    </w:p>
    <w:p>
      <w:pPr>
        <w:ind w:left="660" w:right="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 2017,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ind w:right="40"/>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(IFN-g)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ratio of CD8+ cells to immunosuppressive cells was increased in approximately 75% of patients suggesting an overall shift in the tumor</w:t>
      </w:r>
    </w:p>
    <w:p>
      <w:pPr>
        <w:spacing w:after="0" w:line="34" w:lineRule="exact"/>
        <w:rPr>
          <w:rFonts w:ascii="Arial" w:cs="Arial" w:eastAsia="Arial" w:hAnsi="Arial"/>
          <w:sz w:val="17"/>
          <w:szCs w:val="17"/>
          <w:color w:val="auto"/>
        </w:rPr>
      </w:pPr>
    </w:p>
    <w:p>
      <w:pPr>
        <w:ind w:left="660"/>
        <w:spacing w:after="0" w:line="261" w:lineRule="auto"/>
        <w:rPr>
          <w:rFonts w:ascii="Arial" w:cs="Arial" w:eastAsia="Arial" w:hAnsi="Arial"/>
          <w:sz w:val="17"/>
          <w:szCs w:val="17"/>
          <w:color w:val="auto"/>
        </w:rPr>
      </w:pPr>
      <w:r>
        <w:rPr>
          <w:rFonts w:ascii="Arial" w:cs="Arial" w:eastAsia="Arial" w:hAnsi="Arial"/>
          <w:sz w:val="18"/>
          <w:szCs w:val="18"/>
          <w:color w:val="auto"/>
        </w:rPr>
        <w:t>microenvironment from immunosuppressive to pro-immune stimulatory following treatment with GEN-1. An increase in CD8+ to immunosuppressive T-cell populations is a leading indicator and believed to be a good predictor of improved overall survival.</w:t>
      </w:r>
    </w:p>
    <w:p>
      <w:pPr>
        <w:spacing w:after="0" w:line="18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treatment-related decrease in the percentage of immunosuppressive T-cell (Foxp3+), which is consistent with the reduction of Foxp3+ T-cells in the primary tumor tissue, and a shift in tumor naïve CD8+ cell population to more efficient tumor killing memory effector CD8+ cells .</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also reported positive clinical data from the first fourteen patients who have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1" w:lineRule="exact"/>
        <w:rPr>
          <w:sz w:val="20"/>
          <w:szCs w:val="20"/>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("DCR") and an 86% objective response rate ("ORR"). Of the five patients treated in the highest dose cohort, there was a 100% objective response rate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Fourteen patients had successful resections of their tumors, with nine patients (64%) having an R0 resection, which indicates a microscopically margin-negative resection in which no gross or microscopic tumor remains in the tumor bed. Seven out of eight (87%) patients in the highest two dose cohorts experienced a R0 surgical resection. All five patients treated at the highest dose cohort experienced a R0 surgical resection.</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 13 patients who received GEN-1 treatment in all four dose escalating cohorts, only five patients' cancers have progressed as of March 15, 2018. Median PFS for all 13 patients in the OVATION Study is 21.4 months as of March 15, 2018 and counting. This compares favorably to the historical median progression-free survival of 12 months for newly diagnosed patients with Stage III and IV ovarian cancer that undergo neoadjuvant chemotherapy followed by interval debulking surgery. Summarized below are the latest PFS results for all patients treated per protocol in the OVATION Study: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II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90 patient randomized Phase II study. GEN-1 has demonstrated positive safety and efficacy data in the recently completed dose escalation Phase IB trial in combination with neoadjuvant chemotherapy.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study protocol was unanimously supported by an expert medical advisory board and lead investigators from the Phase IB OVATION Study and is summarized below:</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Open label, 1:1 randomized design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Enrollment up to 90 patients with Stage III/IV ovarian cancer patients at ten U.S. centers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Primary endpoint of improvement in progression-free survival (PFS) comparing GEN-1 with neoadjuvant chemotherapy versus neoadjuvant chemotherapy alone.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 Item 1A. Risk Factors" in this Annual Report on Form 10-K.</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2017, we had approximately $24.2 million in cash, investment securities and interest receivable. The Company believes it has sufficient capital resources to fund its operations into the third quarter of 2019. The Company will be required to obtain additional funding in order to continue the development of its current product candidates within the anticipated time periods, if at all, and to continue to fund operations. As more fully discussed in Note 10, the Company had approximately $13.5 million available for future sales under its ATM facility it has with Cantor Fitzgerald &amp; Co. as of December 31, 2017. Besides this ATM facility, the Company does not have any committed sources of financing at this time, and there is uncertainty whether additional funding will be available when needed on terms that will be acceptable to it, or at all. If the Company would not be able to obtain financing when needed, it could be unable to carry out the business plan and may have to significantly limit its operations and its business and its financial condition and results of operations could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and 2016, we issued a total of 15.6 million shares of common stock; in the following equity transactions for an aggregate $50 million in gross proceeds.</w:t>
      </w:r>
    </w:p>
    <w:p>
      <w:pPr>
        <w:spacing w:after="0" w:line="170" w:lineRule="exact"/>
        <w:rPr>
          <w:sz w:val="20"/>
          <w:szCs w:val="20"/>
          <w:color w:val="auto"/>
        </w:rPr>
      </w:pPr>
    </w:p>
    <w:p>
      <w:pPr>
        <w:ind w:left="660" w:right="20" w:hanging="227"/>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received gross proceeds of $22.0 million from the exercise of warrants to purchase approximately 7.6 million shares of common stock in 2017.</w:t>
      </w:r>
    </w:p>
    <w:p>
      <w:pPr>
        <w:spacing w:after="0" w:line="170" w:lineRule="exact"/>
        <w:rPr>
          <w:rFonts w:ascii="Arial" w:cs="Arial" w:eastAsia="Arial" w:hAnsi="Arial"/>
          <w:sz w:val="18"/>
          <w:szCs w:val="18"/>
          <w:color w:val="auto"/>
        </w:rPr>
      </w:pPr>
    </w:p>
    <w:p>
      <w:pPr>
        <w:jc w:val="both"/>
        <w:ind w:left="660" w:hanging="227"/>
        <w:spacing w:after="0" w:line="25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October 27, 2017, the Company entered into an underwriting agreement (the “Underwriting Agreement”) with Oppenheimer &amp; Co. Inc. (the “Underwriter”), relating to the issuance and sale (the “October 2007 Offering”) of 2,640,000 shares of common stock of the Company and warrants to purchase an aggregate of 1,320,000 shares of common stock of the Company. Each share of common stock was sold together with 0.5 warrants (the “Investor Warrants”), each whole Investor Warrant being exercisable for one share of common stock, at a offering price of $2.50 per share and related Investor Warrants. Pursuant to the terms of the Underwriting Agreement, the Underwriter has agreed to purchase the shares and related Investor Warrants from the Company at a price of $2.325 per share and related Investor Warrant. Each Investor Warrant is exercisable six months from the date of issuance. The Investor Warrants have an exercise price of $3.00 per whole share, and expire five years from the date first exercisable. The Company received $6.6 million of gross proceeds from the sale of the Shares and Investor Warrant. The October 2017 Offering closed on October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jc w:val="both"/>
        <w:ind w:left="660" w:right="60" w:hanging="328"/>
        <w:spacing w:after="0" w:line="28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 million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$0.8 million, are immediately exercisable for $0.01 per share of common stock and do not have an expiration date. As of August 11, 2017, the Prefunded Series CCC Warrants were fully exercised.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w:t>
      </w:r>
    </w:p>
    <w:p>
      <w:pPr>
        <w:spacing w:after="0" w:line="177" w:lineRule="exact"/>
        <w:rPr>
          <w:rFonts w:ascii="Arial" w:cs="Arial" w:eastAsia="Arial" w:hAnsi="Arial"/>
          <w:sz w:val="16"/>
          <w:szCs w:val="16"/>
          <w:color w:val="auto"/>
        </w:rPr>
      </w:pPr>
    </w:p>
    <w:p>
      <w:pPr>
        <w:jc w:val="both"/>
        <w:ind w:left="660" w:right="40" w:hanging="328"/>
        <w:spacing w:after="0" w:line="288"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1,384,705 shares of common stock of the Company at an offering price of $3.22 per share. In addition, the Company sold Series AA Warrants (the Series AA Warrants) to purchase up to 1,177,790 shares of common stock and Pre-Funded Series BB Warrants (the Pre-Funded Series BB Warrants) to purchase up to 185,713 shares of common stock. The Series AA Warrants have an exercise price of $3.22 per share, have a five-year life and are immediately exercisable. The Pre-Funded Series BB Warrants were offered at $3.08 per share, are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 During the first quarter of 2017, all 185,713 of the Series BB Pre-Funded warrants were exercised in full.</w:t>
      </w:r>
    </w:p>
    <w:p>
      <w:pPr>
        <w:spacing w:after="0" w:line="169" w:lineRule="exact"/>
        <w:rPr>
          <w:rFonts w:ascii="Arial" w:cs="Arial" w:eastAsia="Arial" w:hAnsi="Arial"/>
          <w:sz w:val="16"/>
          <w:szCs w:val="16"/>
          <w:color w:val="auto"/>
        </w:rPr>
      </w:pPr>
    </w:p>
    <w:p>
      <w:pPr>
        <w:jc w:val="both"/>
        <w:ind w:left="660" w:right="60" w:hanging="283"/>
        <w:spacing w:after="0" w:line="259"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On December 23, 2016, the Company entered into a Securities Purchase Agreement with certain institutional investors, pursuant to which the Company sold, in a registered direct offering, an aggregate of 367,343 shares of common stock at an offering price of $4.90 per share for gross proceeds of approximately $1.8 million. In a concurrent private placement, the Company issued to the same investors warrants to purchase up to 367,343 shares of common stock at an exercise price of $6.44 per share.</w:t>
      </w:r>
    </w:p>
    <w:p>
      <w:pPr>
        <w:spacing w:after="0" w:line="186" w:lineRule="exact"/>
        <w:rPr>
          <w:rFonts w:ascii="Arial" w:cs="Arial" w:eastAsia="Arial" w:hAnsi="Arial"/>
          <w:sz w:val="18"/>
          <w:szCs w:val="18"/>
          <w:color w:val="auto"/>
        </w:rPr>
      </w:pPr>
    </w:p>
    <w:p>
      <w:pPr>
        <w:jc w:val="both"/>
        <w:ind w:left="660" w:right="80" w:hanging="328"/>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June 13, 2016, the Company entered into a Securities Purchase Agreement with an institutional investor, pursuant to which the Company sold, in a registered direct offering, an aggregate of 165,126 shares of common stock and Pre-funded Series B Warrants to purchase 150,000 shares of common stock for an aggregate purchase price of approximately $6.0 million. In a concurrent private placement, the Company issued to the same investor warrants to purchase up to 630,252 shares of common stock. As of August 11, 2017, the Pre-funded Series B Warrants were fully exercised.</w:t>
      </w:r>
    </w:p>
    <w:p>
      <w:pPr>
        <w:spacing w:after="0" w:line="191" w:lineRule="exact"/>
        <w:rPr>
          <w:rFonts w:ascii="Arial" w:cs="Arial" w:eastAsia="Arial" w:hAnsi="Arial"/>
          <w:sz w:val="18"/>
          <w:szCs w:val="18"/>
          <w:color w:val="auto"/>
        </w:rPr>
      </w:pPr>
    </w:p>
    <w:p>
      <w:pPr>
        <w:jc w:val="both"/>
        <w:ind w:left="660" w:right="100" w:hanging="328"/>
        <w:spacing w:after="0" w:line="250" w:lineRule="auto"/>
        <w:tabs>
          <w:tab w:leader="none" w:pos="660" w:val="left"/>
        </w:tabs>
        <w:numPr>
          <w:ilvl w:val="0"/>
          <w:numId w:val="31"/>
        </w:numPr>
        <w:rPr>
          <w:rFonts w:ascii="Arial" w:cs="Arial" w:eastAsia="Arial" w:hAnsi="Arial"/>
          <w:sz w:val="31"/>
          <w:szCs w:val="31"/>
          <w:color w:val="auto"/>
          <w:vertAlign w:val="superscript"/>
        </w:rPr>
      </w:pPr>
      <w:r>
        <w:rPr>
          <w:rFonts w:ascii="Arial" w:cs="Arial" w:eastAsia="Arial" w:hAnsi="Arial"/>
          <w:sz w:val="16"/>
          <w:szCs w:val="16"/>
          <w:color w:val="auto"/>
        </w:rPr>
        <w:t>We are a party 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December 31, 2015, the Company sold and issued an aggregate of 105,681 shares of common stock under the ATM, receiving approximately $7.4 million in net proceeds. The Company did not have any sales under the ATM in 2016. During 2017, the Company sold 1,221,348 shares of common stock under the ATM, receiving approximately $3.9 million in net proceeds</w:t>
      </w:r>
    </w:p>
    <w:p>
      <w:pPr>
        <w:spacing w:after="0" w:line="200" w:lineRule="exact"/>
        <w:rPr>
          <w:sz w:val="20"/>
          <w:szCs w:val="20"/>
          <w:color w:val="auto"/>
        </w:rPr>
      </w:pPr>
    </w:p>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June 20, 2014, we completed the acquisition of substantially all the assets of EGEN, Inc. At the closing, we paid approximately $3.0 million in cash and issued 193,728 shares of its common stock to EGEN. In addition, 47,862 shares of common stock were issuable to EGEN pending satisfactory resolution of any post-closing adjustments of expenses and EGEN’s indemnification obligations under the EGEN Purchase Agreement. These shares were issued on June 16, 2017.</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 The obligations under the Hercules Credit Agreement are in the form of secured indebtedness bearing interest at a calculated prime-based variable rate (11.25% per annum since inception through December 17, 2015, 11.50% from December 18, 2015 through December 15, 2016 and 11.75% since). Payments under the loan agreement were interest only for the first twelve months after loan closing, followed by a 30-month amortization period of principal and interest through June 1, 2017, at which time this loan was paid in full.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jc w:val="both"/>
        <w:spacing w:after="0" w:line="261" w:lineRule="auto"/>
        <w:rPr>
          <w:sz w:val="20"/>
          <w:szCs w:val="20"/>
          <w:color w:val="auto"/>
        </w:rPr>
      </w:pPr>
      <w:r>
        <w:rPr>
          <w:rFonts w:ascii="Arial" w:cs="Arial" w:eastAsia="Arial" w:hAnsi="Arial"/>
          <w:sz w:val="18"/>
          <w:szCs w:val="18"/>
          <w:color w:val="auto"/>
        </w:rPr>
        <w:t xml:space="preserve">Please refer to Note 2 of the Financial Statements contained in this Form 10-K. Also refer to </w:t>
      </w:r>
      <w:r>
        <w:rPr>
          <w:rFonts w:ascii="Arial" w:cs="Arial" w:eastAsia="Arial" w:hAnsi="Arial"/>
          <w:sz w:val="18"/>
          <w:szCs w:val="18"/>
          <w:b w:val="1"/>
          <w:bCs w:val="1"/>
          <w:color w:val="auto"/>
        </w:rPr>
        <w:t>Item IA, Risk Factors</w:t>
      </w:r>
      <w:r>
        <w:rPr>
          <w:rFonts w:ascii="Arial" w:cs="Arial" w:eastAsia="Arial" w:hAnsi="Arial"/>
          <w:sz w:val="18"/>
          <w:szCs w:val="18"/>
          <w:color w:val="auto"/>
        </w:rPr>
        <w:t>, including, but not limited to</w:t>
      </w:r>
      <w:r>
        <w:rPr>
          <w:rFonts w:ascii="Arial" w:cs="Arial" w:eastAsia="Arial" w:hAnsi="Arial"/>
          <w:sz w:val="18"/>
          <w:szCs w:val="18"/>
          <w:i w:val="1"/>
          <w:iCs w:val="1"/>
          <w:color w:val="auto"/>
        </w:rPr>
        <w:t>, “We will</w:t>
      </w:r>
      <w:r>
        <w:rPr>
          <w:rFonts w:ascii="Arial" w:cs="Arial" w:eastAsia="Arial" w:hAnsi="Arial"/>
          <w:sz w:val="18"/>
          <w:szCs w:val="18"/>
          <w:color w:val="auto"/>
        </w:rPr>
        <w:t xml:space="preserve"> </w:t>
      </w:r>
      <w:r>
        <w:rPr>
          <w:rFonts w:ascii="Arial" w:cs="Arial" w:eastAsia="Arial" w:hAnsi="Arial"/>
          <w:sz w:val="18"/>
          <w:szCs w:val="18"/>
          <w:i w:val="1"/>
          <w:iCs w:val="1"/>
          <w:color w:val="auto"/>
        </w:rPr>
        <w:t>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statements, which appear at Item 8 to this Annual Report on Form 10-K, have been prepared in accordance with accounting principles generally accepted in the U.S., which require that we make certain assumptions and estimates and, in connection therewith, adopt certain accounting policies. Our significant accounting policies are set forth in Note 1 to our financial statements. Of those policies, we believe that the policies discussed below may involve a higher degree of judgment and may be more critical to an accurate reflection of our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 which simplifies various aspects of accounting for share-based payments. The areas for simplification involve several aspects of the accounting for share-based payment transactions, including the income tax consequences and classification on the statements of cash flows. The Company adopted the standard during the first quarter of 2017 and has elected to recognize the effect of forfeitures in compensation cost when they occur. There was no retrospective impact to the consolidated financial statements, including the consolidated statements of cash flows as a result of the adoption of this standard.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Other Intangible Assets and Goodwill</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to our Consolidated Financial Statements,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accounting principles generally accepted in the U.S.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2017 and Fiscal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recognized revenue of $500,000 in each of the years 2017 and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expenses decreased to $13.1 million in 2017 compared to $14.6 million in 2016. Costs associated with the Phase III OPTIMA Study were $6.7 million in 2017 compared to $5.6 million in 2016. Increased costs in the OPTIMA Study are due to patient costs and investigator grants associated with higher enrollment in 2017 as compared to 2016. Costs associated with the HEAT Study were insignificant in 2017 compared to $0.4 million in 2016. Costs associated with the HEAT Study are expected to be minimal as the Company completed its final post-hoc overall survival analysis in 2016 and is in the process of closing out the study. Costs associated with our RCW breast cancer clinical trial were insignificant in 2017 compared to $0.3 million in 2016. Other clinical costs were $2.4 million in 2017 compared to $3.2 million in 2016. The decrease in other clinical costs is associated with the reduction of costs to support the Company’s ThermoDox® studies in the EU. Other research and development costs related to preclinical operations and regulatory affairs were $0.2 million in 2017 compared to $0.4 million in 2016.</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associated with the production of ThermoDox® to support the OPTIMA Study decreased to $1.1 million in 2017 from $1.5 million incurred in 2017. Costs associated with CLSN Laboratories (which includes research and development activities and clinical studies for GEN-1, TheraPlas and TheraSilence) were $2.5 million in 2017 compared to $3.2 million in 2016. The Company has sufficient quantities of clinical supplies and the related components to fulfill its TheromDox® requirements in the OPTIMA Study through enrollment and is expanding its capabilities to produce GEN-1 for its planned clinical study requirements beyond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decreased by $0.6 million to $5.9 million in 2017 compared to $6.5 million in 2017. This decrease is primarily the result of reductions in professional fees of $0.3 million and a reduction of $0.3 million of non-cash amortization expense related to other intangible assets from the June 2014 EGEN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will be recognized in the financial statement. As of December 31, 2017, the Company fair valued these milestones at $12.5 million and recognized a non-cash benefit of $0.6 million in 2017 as a result of the change in the fair value of these milestones from $13.2 million at December 31, 2016. At December 31, 2016, the Company fair valued the earn-out milestone liability at $13.2 million and recognized a non-cash gain of $0.7 million during 2016 as a result of the change in the fair value of earn-out milestone liability of $13.9 million at December 31, 2015. Included in the non-cash gain during 2016, was the $0.7 million reduction of the liability during the fourth quarter of 2016 related to the write down of one of the in-process research and development assets (see Note 5) as the Company believes there is no probability of the payout of the related earn-out milestone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September 30, 2017, after our assessment of the totality of the events that could impair IPR&amp;D, the Company determined certain IPR&amp;D assets related to the development of its glioblastoma multiforme cancer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$9.4 million, was partially impaired and wrote down the GBM asset to $6.9 million incurring a non-cash charge of $2.5 million in the third quarter of 2017. In connection with the writeoff of this IPR&amp;D asset, the Company concluded there was a reduced probability of payments of the earn-out milestones associated with the GBM asset and therefore reduced the earn-out milestone liability from $13.8 million to $12.5 million, recording a non-cash benefit of $1.2 million in the third quarter of 2017. The Company concluded none of the other IPR&amp;D assets were impaired at December 31, 2017.</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2016, the Company concluded one of the IPR&amp;D assets related to the development of its RNA delivery system being developed with collaborators using their RNA product candidates, valued at $1.4 million, was impaired. Therefore, the Company wrote off the value of this IPR&amp;D asset incurring a non-cash charge of $1.4 million in the fourth quarter of 2016. As previously mentioned above, the Company concluded there was no probability of payment of the earn-out milestones associated with this asset and therefore reduced the earn-out milestone liability by $0.7 million at the same time. The Company concluded none of the other IPR&amp;D assets were impaired at December 31, 2016.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its debt facilities the Company incurred $0.1 million and $0.7 million in interest expense in 2017 and 2016, respectively. The loan balance and end of term charges on its debt facilities were paid in full in June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2017 and 2016 was not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Deemed dividend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2017, we recognized deemed dividends totaling $0.3 million collectively in regard to multiple agreements with certain warrant holders, pursuant to which these warrant holders agreed to exercise, and the Company agreed to reprice certain warrants as summarized below:</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Warrants to purchase 790,410 shares of common stock were repriced at $2.70;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Warrants to purchase 506,627 shares of common stock were repriced at $1.65.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$3.0 million in gross proceeds from the sale of the repriced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$262 million at December 31, 2017.</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2017 we had total current assets of $24.3 million (including cash, cash equivalents and short-term investments and related interest receivable on short-term investments of $24.2 million) and current liabilities of $6.2 million, resulting in net working capital of $18.1 million. At December 31, 2016, we had total current assets of $4.5 million (including cash, cash equivalents and short-term investments and related interest receivable on short term investments of $4.3 million) and current liabilities of $8.4 million, resulting in net working deficit of $3.9 million.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for 2017 was $16.6 million. Our net loss of $20.4 million for 2017 included (i) $1.1 million in non-cash stock-based compensation expense, (ii) a non-cash charge of $2.5 million in the impairment of one of its IPR&amp;D product candidates (iii) a $0.2 million in non-cash amortization expense of other intangible assets and (iv) $0.6 million in a non-cash benefit based on the change in the earn-out milestone liability. The $16.6 million net cash used in operating activities was mostly funded from cash and cash equivalents, short term investments and cash proceeds received in equity financings during 2017. At December 31, 2017, we had cash, cash equivalents and short-term investments and related interest receivable on short term investments of $24.2 million.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$36.5 million during 2017, $17.9 million of which resulted from net proceeds from sales of our common stock and net proceeds of $21.1 million from the exercise of warrants into common stock during 2017, which was partially offset by $2.6 million in debt service payments under the Hercules Credit Agreement.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14, 2017, the Company entered into a securities purchase agreement whereby it sold, in a public offering, an aggregate of 1,384,705 shares of common stock, Series AA Warrants to purchase up to 1,177,790 shares of common stock and Pre-Funded Series BB Warrants to purchase up to 185,713 shares of common stock for an aggregate of approximately $5.0 million in gross proceeds. During the first quarter of 2017, all 185,713 of the Series BB Pre-Funded warrants were exercised in full. The Company received gross proceeds of $2.1 million from the exercise of Series AA Warrants to purchase 638,809 shares of common stock during the first nine months of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June 2017, the Company entered into multiple agreements with certain warrant holders, pursuant to which these warrant holders agreed to exercise, and the Company agreed to reprice, certain warrants. A total of warrants to purchase 790,410 shares of common stock were repriced at $2.70 and warrants to purchase 506,627 shares of common stock were repriced at $1.65 and the Company received $3.0 million in gross proceeds from the sale of these repriced warrants.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jc w:val="both"/>
        <w:spacing w:after="0" w:line="268" w:lineRule="auto"/>
        <w:rPr>
          <w:sz w:val="20"/>
          <w:szCs w:val="20"/>
          <w:color w:val="auto"/>
        </w:rPr>
      </w:pPr>
      <w:r>
        <w:rPr>
          <w:rFonts w:ascii="Arial" w:cs="Arial" w:eastAsia="Arial" w:hAnsi="Arial"/>
          <w:sz w:val="17"/>
          <w:szCs w:val="17"/>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$4,243,500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$793,100, were immediately exercisable for $0.01 per share of common stock and do not have an expiration date. In a concurrent private placement, the Company agreed to issue to each investor, for each share of common stock and pre-funded warrant purchased in the offering, a Series AAA Warrant and Series BBB Warrant, each to purchase one share of common stock. The Series AAA Warrants were initially exercisable six months following issuance, and terminate five and one-half years following issuance. The Series AAA Warrants have an exercise price of $2.07 per share and are exercisable to purchase an aggregate of 2,435,000 shares of common stock. The Series BBB Warrants were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27, 2017, the Company entered into an underwriting agreement (the “Underwriting Agreement”) with Oppenheimer &amp; Co. Inc. (the “Underwriter”), relating to the issuance and sale (the “October 2007 Offering”) of 2,640,000 shares of common stock of the Company and warrants to purchase an aggregate of 1,320,000 shares of common stock of the Company. Each share of common stock was sold together with 0.5 warrants (the “Investor Warrants”), each whole Investor Warrant being exercisable for one share of common stock, at a offering price of $2.50 per share and related Investor Warrants. Pursuant to the terms of the Underwriting Agreement, the Underwriter has agreed to purchase the shares and related Investor Warrants from the Company at a price of $2.325 per share and related Investor Warrant. Each Investor Warrant is exercisable six months from the date of issuance. The Investor Warrants have an exercise price of $3.00 per whole share, and expire five years from the date first exercisable. The Company received $6.6 million of gross proceeds from the sale of the Shares and Investor Warrant.</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February 2013,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our common stock or to or through a market maker. We will pay Cantor a commission of three percent of the aggregate gross proceeds from each sale of ATM Shares. During 2017, the Company sold 1,221,348 shares of common stock under the ATM, receiving approximately $3.8 million in net proceeds. We have sold and issued an aggregate of 1,327,326 shares under the ATM Agreement as of December 31, 2017, receiving approximately $11.5 million in gross proceeds.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cash, investment securities and interest receivable of $24.2 million on hand at December 31, 2017 and have $13.5 million available for future sales under the ATM.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2011, we entered into a lease with Brandywine Operating Partnership, L.P., a Delaware limited partnership for a 10,870 square foot premises located in Lawrenceville, New Jersey in connection with the relocation of our offices from Columbia, Maryland. In late 2015, Lenox Drive Office Park LLC, purchased the real estate and office building and assumed the lease. Under the current terms of the lease, which was amended effective May 1, 2017 and is set to expire on September 1, 2022, we reduced the size of the premises to 7,565 square feet and are paying a monthly rent that ranges from approximately $18,900 in the first year to approximately $20,500 in the final year of the amendment. We also have a one-time option to cancel the lease as of the 24th month after the commencement date of the amendment.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Asset Purchase Agreement, in June 2014, we assumed the existing lease with another landlord for an 11,500 square foot premises located in Huntsville, Alabama. In January 2018, we entered into a new 60-month lease agreement for 9,049 square feet with rent payments of approximately $18,100 per month. We paid $502,716 and $578,943 in connection with these leases in 2017 and 2016, respectively. Following is a summary of the future minimum payments required under leases that have initial or remaining lease terms of one year or more as of December 31, 2017:</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ending December 31:</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0057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0057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2021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0057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2023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057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057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believe our existing facilities are suitable and adequate to conduct our business.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jc w:val="right"/>
        <w:ind w:right="340"/>
        <w:spacing w:after="0"/>
        <w:rPr>
          <w:sz w:val="20"/>
          <w:szCs w:val="20"/>
          <w:color w:val="auto"/>
        </w:rPr>
      </w:pPr>
      <w:r>
        <w:rPr>
          <w:rFonts w:ascii="Arial" w:cs="Arial" w:eastAsia="Arial" w:hAnsi="Arial"/>
          <w:sz w:val="18"/>
          <w:szCs w:val="18"/>
          <w:b w:val="1"/>
          <w:bCs w:val="1"/>
          <w:color w:val="auto"/>
        </w:rPr>
        <w:t>Operating</w:t>
      </w:r>
    </w:p>
    <w:p>
      <w:pPr>
        <w:spacing w:after="0" w:line="27" w:lineRule="exact"/>
        <w:rPr>
          <w:sz w:val="20"/>
          <w:szCs w:val="20"/>
          <w:color w:val="auto"/>
        </w:rPr>
      </w:pPr>
    </w:p>
    <w:p>
      <w:pPr>
        <w:jc w:val="right"/>
        <w:ind w:right="340"/>
        <w:spacing w:after="0"/>
        <w:rPr>
          <w:sz w:val="20"/>
          <w:szCs w:val="20"/>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9861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4" w:lineRule="exact"/>
        <w:rPr>
          <w:sz w:val="20"/>
          <w:szCs w:val="20"/>
          <w:color w:val="auto"/>
        </w:rPr>
      </w:pPr>
    </w:p>
    <w:p>
      <w:pPr>
        <w:ind w:left="980" w:hanging="971"/>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452,093</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450,430</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454,213</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457,995</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379,823</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18,098</w:t>
      </w:r>
    </w:p>
    <w:p>
      <w:pPr>
        <w:spacing w:after="0" w:line="32" w:lineRule="exact"/>
        <w:rPr>
          <w:sz w:val="20"/>
          <w:szCs w:val="20"/>
          <w:color w:val="auto"/>
        </w:rPr>
      </w:pPr>
    </w:p>
    <w:p>
      <w:pPr>
        <w:ind w:left="840" w:hanging="831"/>
        <w:spacing w:after="0"/>
        <w:tabs>
          <w:tab w:leader="none" w:pos="8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2,212,652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9861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8800" w:space="720"/>
            <w:col w:w="1900"/>
          </w:cols>
          <w:pgMar w:left="240" w:top="580" w:right="2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utilize off-balance sheet financing arrangements as a source of liquidity or financing.</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objective of our cash investment activities is to preserve principal while at the same time maximizing the income we receive from our investments without significantly increasing risk. Some of the securities that we invest in may be subject to market risk. This means that a change in prevailing interest rates may cause the principal amount of the investment to fluctuate. For example, if we hold a security that was issued with a fixed interest rate at the then-prevailing rate and the interest rate later rises, the principal amount of our investment will probably decline. A hypothetical 50 basis point increase in interest rates reduces the fair value of our available-for-sale securities at December 31, 2017 by an immaterial amount. To minimize this risk in the future, we intend to maintain our portfolio of cash equivalents and marketable securities in a variety of securities, including commercial paper, government and non-government debt securities and/or money market funds that invest in such securities. We have no holdings of derivative financial or commodity instruments. As of December 31, 2017, our investments consisted of investments in corporate notes and obligations or in money market accounts and checking funds with variable market rates of interest. We believe our credit risk is immaterial.</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supplementary data and report of independent registered public accounting firm are filed as part of this report on pages F-1 through F-32 and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56" w:name="page57"/>
    <w:bookmarkEnd w:id="56"/>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18, 2017, the Company with the approval of the Audit Committee of the Board of Directors (the "Audit Committee"), dismissed Dixon Hughes Goodman LLP (“DHG”) as the Company's independent registered public accounting firm and appointed WithumSmith+Brown, PC (“Withum”) as the Company's new independent registered public accounting firm.</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reports of DHG on the Company's financial statements for the fiscal years ended December 31, 2016 and Stegman and Company (“Stegman”) for the year ended December 31, 2015 contained no adverse opinion or disclaimer of opinion and were not qualified or modified as to audit scope or accounting principles, except that DHG’s report for the year ended December 31, 2016 contained a paragraph stating that there was substantial doubt about the Company's ability to continue as a going concern. The Company previously reported on the Current Report on Form 8-K filed on June 1, 2016 that, effective June 1, 2016, substantially all directors and employees of Stegman joined DHG.</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fiscal years ended December 31, 2016 and 2015, and the subsequent period through September 18, 2017 there were no disagreements with DHG or Stegman on any matter of accounting principles or practices, financial statement disclosure, or auditing scope or procedure, which disagreements, if not resolved to the satisfaction of DHG or Stegman would have caused DHG or Stegman to make reference to the subject matter of the disagreements in connection with their respective reports. During the fiscal years ended December 31, 2016 and 2015 and the subsequent period through September 18, 2017, there have been no reportable events (as defined in Item 304(a)(1)(v) of Regulation S-K). During the fiscal year ended December 31, 2017, there has not been any transaction or event similar to those which involved such disagreement or reportable event.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fiscal years ended December 31, 2016 and 2015, and the subsequent interim period through September 18, 2017, the date of DHG's dismissal, neither the Company, nor anyone on its behalf, consulted Withum regarding either (i) the application of accounting principles to a specific transaction, either completed or proposed; or the type of audit opinion that might be rendered on the registrant's financial statements, and no written report or oral advice was provided to the Company that was an important factor considered by the Company in reaching its decision as to an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conducted an evaluation of the effectiveness of the design and operation of our disclosure controls and procedures (as such term is defined in Rules 13a-15(e) and 15d-15(e) under the Securities Exchange Act of 1934, as amended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2017, which is the end of the period covered by this Annual Report on Form 10-K, our disclosure controls and procedures are effective.</w:t>
      </w:r>
    </w:p>
    <w:p>
      <w:pPr>
        <w:spacing w:after="0" w:line="18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2017. In making this assessment, management used the criteria set forth by the Committee of Sponsoring Organizations of the Treadway Commission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its evaluation, management has concluded that the Company’s internal control over financial reporting is effective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Regulation S-K Item 308(b), this Annual Report on Form 10-K does not include an attestation report of our company’s registered public accounting firm regarding internal control over financial reporting.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8"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in the fiscal quarter ended December 31, 2017, which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10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Code of Ethics and Business Conduct is applicable to all employees, including the principal executive officer, principal financial officer and principal accounting officer or controller, or persons performing similar functions. The Code of Ethics and Business Conduct is posted on our website at </w:t>
      </w:r>
      <w:r>
        <w:rPr>
          <w:rFonts w:ascii="Arial" w:cs="Arial" w:eastAsia="Arial" w:hAnsi="Arial"/>
          <w:sz w:val="18"/>
          <w:szCs w:val="18"/>
          <w:i w:val="1"/>
          <w:iCs w:val="1"/>
          <w:color w:val="auto"/>
        </w:rPr>
        <w:t>www.celsion.com</w:t>
      </w:r>
      <w:r>
        <w:rPr>
          <w:rFonts w:ascii="Arial" w:cs="Arial" w:eastAsia="Arial" w:hAnsi="Arial"/>
          <w:sz w:val="18"/>
          <w:szCs w:val="18"/>
          <w:color w:val="auto"/>
        </w:rPr>
        <w:t>.</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11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35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12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13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14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 w:name="page60"/>
    <w:bookmarkEnd w:id="59"/>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list of the consolidated financial statements of Celsion Corporation filed with this Annual Report on Form 10-K, together with the reports of our independent registered public accountants and Management’s Report on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900" w:type="dxa"/>
            <w:vAlign w:val="bottom"/>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REPORTS</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500" w:type="dxa"/>
            <w:vAlign w:val="bottom"/>
          </w:tcPr>
          <w:p>
            <w:pPr>
              <w:jc w:val="center"/>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0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50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Comprehensive Loss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500" w:type="dxa"/>
            <w:vAlign w:val="bottom"/>
          </w:tcPr>
          <w:p>
            <w:pPr>
              <w:jc w:val="center"/>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432"/>
        </w:trPr>
        <w:tc>
          <w:tcPr>
            <w:tcW w:w="10920" w:type="dxa"/>
            <w:vAlign w:val="bottom"/>
            <w:gridSpan w:val="2"/>
          </w:tcPr>
          <w:p>
            <w:pPr>
              <w:spacing w:after="0"/>
              <w:rPr>
                <w:sz w:val="20"/>
                <w:szCs w:val="20"/>
                <w:color w:val="auto"/>
              </w:rPr>
            </w:pPr>
            <w:r>
              <w:rPr>
                <w:rFonts w:ascii="Arial" w:cs="Arial" w:eastAsia="Arial" w:hAnsi="Arial"/>
                <w:sz w:val="18"/>
                <w:szCs w:val="18"/>
                <w:b w:val="1"/>
                <w:bCs w:val="1"/>
                <w:color w:val="auto"/>
              </w:rPr>
              <w:t>2. FINANCIAL STATEMENT SCHEDULES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All financial statement schedules are omitted because the information is inapplicable or presented in the notes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ectPr>
          <w:pgSz w:w="11900" w:h="16838" w:orient="portrait"/>
          <w:cols w:equalWidth="0" w:num="1">
            <w:col w:w="11420"/>
          </w:cols>
          <w:pgMar w:left="240" w:top="580" w:right="2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660"/>
        <w:spacing w:after="0"/>
        <w:rPr>
          <w:sz w:val="20"/>
          <w:szCs w:val="20"/>
          <w:color w:val="auto"/>
        </w:rPr>
      </w:pPr>
      <w:r>
        <w:rPr>
          <w:rFonts w:ascii="Arial" w:cs="Arial" w:eastAsia="Arial" w:hAnsi="Arial"/>
          <w:sz w:val="18"/>
          <w:szCs w:val="18"/>
          <w:b w:val="1"/>
          <w:bCs w:val="1"/>
          <w:color w:val="auto"/>
        </w:rPr>
        <w:t>DESCRIPTION</w:t>
      </w:r>
    </w:p>
    <w:p>
      <w:pPr>
        <w:spacing w:after="0" w:line="218" w:lineRule="exact"/>
        <w:rPr>
          <w:sz w:val="20"/>
          <w:szCs w:val="20"/>
          <w:color w:val="auto"/>
        </w:rPr>
      </w:pPr>
    </w:p>
    <w:p>
      <w:pPr>
        <w:sectPr>
          <w:pgSz w:w="11900" w:h="16838" w:orient="portrait"/>
          <w:cols w:equalWidth="0" w:num="2">
            <w:col w:w="4780" w:space="720"/>
            <w:col w:w="5920"/>
          </w:cols>
          <w:pgMar w:left="240" w:top="580" w:right="239" w:bottom="1440" w:gutter="0" w:footer="0" w:header="0"/>
          <w:type w:val="continuous"/>
        </w:sectPr>
      </w:pPr>
    </w:p>
    <w:p>
      <w:pPr>
        <w:spacing w:after="0" w:line="11" w:lineRule="exact"/>
        <w:rPr>
          <w:sz w:val="20"/>
          <w:szCs w:val="20"/>
          <w:color w:val="auto"/>
        </w:rPr>
      </w:pPr>
    </w:p>
    <w:p>
      <w:pPr>
        <w:ind w:left="840" w:right="20" w:hanging="568"/>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85">
        <w:r>
          <w:rPr>
            <w:rFonts w:ascii="Arial" w:cs="Arial" w:eastAsia="Arial" w:hAnsi="Arial"/>
            <w:sz w:val="18"/>
            <w:szCs w:val="18"/>
            <w:u w:val="single" w:color="auto"/>
            <w:color w:val="0000EE"/>
          </w:rPr>
          <w:t>Asset Purchase Agreement dated as of June 6, 2014, by and between Celsion Corporation and EGEN, Inc., incorporated herein by reference to</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Exhibit 2.1 to the Quarterly Report on Form 10-Q of the Company for the quarter ended June 30, 2014.</w:t>
        </w:r>
      </w:hyperlink>
    </w:p>
    <w:p>
      <w:pPr>
        <w:spacing w:after="0" w:line="170" w:lineRule="exact"/>
        <w:rPr>
          <w:sz w:val="20"/>
          <w:szCs w:val="20"/>
          <w:color w:val="auto"/>
        </w:rPr>
      </w:pPr>
    </w:p>
    <w:p>
      <w:pPr>
        <w:jc w:val="both"/>
        <w:ind w:left="840" w:hanging="523"/>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86">
        <w:r>
          <w:rPr>
            <w:rFonts w:ascii="Arial" w:cs="Arial" w:eastAsia="Arial" w:hAnsi="Arial"/>
            <w:sz w:val="18"/>
            <w:szCs w:val="18"/>
            <w:u w:val="single" w:color="auto"/>
            <w:color w:val="0000EE"/>
          </w:rPr>
          <w:t>Certificate of Incorporation of Celsion, as amended, incorporated herein by reference to Exhibit 3.1 to the Quarterly Report on Form 10-Q of the</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Company for the quarter ended June 30, 2004.</w:t>
        </w:r>
      </w:hyperlink>
    </w:p>
    <w:p>
      <w:pPr>
        <w:spacing w:after="0" w:line="170" w:lineRule="exact"/>
        <w:rPr>
          <w:sz w:val="20"/>
          <w:szCs w:val="20"/>
          <w:color w:val="auto"/>
        </w:rPr>
      </w:pPr>
    </w:p>
    <w:p>
      <w:pPr>
        <w:jc w:val="both"/>
        <w:ind w:left="840" w:right="20" w:hanging="523"/>
        <w:spacing w:after="0" w:line="264"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87">
        <w:r>
          <w:rPr>
            <w:rFonts w:ascii="Arial" w:cs="Arial" w:eastAsia="Arial" w:hAnsi="Arial"/>
            <w:sz w:val="18"/>
            <w:szCs w:val="18"/>
            <w:u w:val="single" w:color="auto"/>
            <w:color w:val="0000EE"/>
          </w:rPr>
          <w:t>Certificate of Ownership and Merger of Celsion Corporation (a Maryland Corporation) into Celsion (Delaware) Corporation (inter alia, changing</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the Company’s name to “Celsion Corporation” from “Celsion (Delaware) Corporation”), incorporated herein by reference to Exhibit 3.1.3 to the</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Annual Report on Form 10-K of the Company for the year ended September 30, 2000.</w:t>
        </w:r>
      </w:hyperlink>
    </w:p>
    <w:p>
      <w:pPr>
        <w:spacing w:after="0" w:line="181" w:lineRule="exact"/>
        <w:rPr>
          <w:rFonts w:ascii="Arial" w:cs="Arial" w:eastAsia="Arial" w:hAnsi="Arial"/>
          <w:sz w:val="18"/>
          <w:szCs w:val="18"/>
          <w:u w:val="single" w:color="auto"/>
          <w:color w:val="0000EE"/>
        </w:rPr>
      </w:pPr>
    </w:p>
    <w:p>
      <w:pPr>
        <w:ind w:left="30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r:id="rId88">
        <w:r>
          <w:rPr>
            <w:rFonts w:ascii="Arial" w:cs="Arial" w:eastAsia="Arial" w:hAnsi="Arial"/>
            <w:sz w:val="16"/>
            <w:szCs w:val="16"/>
            <w:u w:val="single" w:color="auto"/>
            <w:color w:val="0000EE"/>
          </w:rPr>
          <w:t>Certificate of Amendment of the Certificate of Incorporation effective and filed on February 27, 2006, incorporated therein by reference to Exhibit</w:t>
        </w:r>
      </w:hyperlink>
    </w:p>
    <w:p>
      <w:pPr>
        <w:spacing w:after="0" w:line="23" w:lineRule="exact"/>
        <w:rPr>
          <w:rFonts w:ascii="Arial" w:cs="Arial" w:eastAsia="Arial" w:hAnsi="Arial"/>
          <w:sz w:val="18"/>
          <w:szCs w:val="18"/>
          <w:u w:val="single" w:color="auto"/>
          <w:color w:val="0000EE"/>
        </w:rPr>
      </w:pPr>
    </w:p>
    <w:p>
      <w:pPr>
        <w:ind w:left="840"/>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3.1 to the Current Report on Form 8-K of the Company filed on March 1, 2006.</w:t>
        </w:r>
      </w:hyperlink>
    </w:p>
    <w:p>
      <w:pPr>
        <w:spacing w:after="0" w:line="211" w:lineRule="exact"/>
        <w:rPr>
          <w:rFonts w:ascii="Arial" w:cs="Arial" w:eastAsia="Arial" w:hAnsi="Arial"/>
          <w:sz w:val="18"/>
          <w:szCs w:val="18"/>
          <w:u w:val="single" w:color="auto"/>
          <w:color w:val="0000EE"/>
        </w:rPr>
      </w:pPr>
    </w:p>
    <w:p>
      <w:pPr>
        <w:jc w:val="both"/>
        <w:ind w:left="840" w:right="20" w:hanging="523"/>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89">
        <w:r>
          <w:rPr>
            <w:rFonts w:ascii="Arial" w:cs="Arial" w:eastAsia="Arial" w:hAnsi="Arial"/>
            <w:sz w:val="18"/>
            <w:szCs w:val="18"/>
            <w:u w:val="single" w:color="auto"/>
            <w:color w:val="0000EE"/>
          </w:rPr>
          <w:t>Certificate of Amendment to Certificate of Incorporation effective October 28, 2013, incorporated herein by reference to Exhibit 3.1 to the Current</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Report on Form 8-K of the Company filed on October 29, 2013.</w:t>
        </w:r>
      </w:hyperlink>
    </w:p>
    <w:p>
      <w:pPr>
        <w:spacing w:after="0" w:line="170" w:lineRule="exact"/>
        <w:rPr>
          <w:sz w:val="20"/>
          <w:szCs w:val="20"/>
          <w:color w:val="auto"/>
        </w:rPr>
      </w:pPr>
    </w:p>
    <w:p>
      <w:pPr>
        <w:ind w:left="840" w:right="260" w:hanging="523"/>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89">
        <w:r>
          <w:rPr>
            <w:rFonts w:ascii="Arial" w:cs="Arial" w:eastAsia="Arial" w:hAnsi="Arial"/>
            <w:sz w:val="18"/>
            <w:szCs w:val="18"/>
            <w:u w:val="single" w:color="auto"/>
            <w:color w:val="0000EE"/>
          </w:rPr>
          <w:t>Certificate of Amendment to Certificate of Incorporation effective June 15, 2016, incorporated herein by reference to Exhibit 3.1 to the Current</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Report on Form 8-K of the Company, filed on June 15, 2016.</w:t>
        </w:r>
      </w:hyperlink>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60" w:name="page61"/>
    <w:bookmarkEnd w:id="60"/>
    <w:p>
      <w:pPr>
        <w:ind w:left="560" w:right="220" w:hanging="517"/>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3.6</w:t>
      </w:r>
      <w:r>
        <w:rPr>
          <w:sz w:val="20"/>
          <w:szCs w:val="20"/>
          <w:color w:val="auto"/>
        </w:rPr>
        <w:tab/>
      </w:r>
      <w:hyperlink r:id="rId91">
        <w:r>
          <w:rPr>
            <w:rFonts w:ascii="Arial" w:cs="Arial" w:eastAsia="Arial" w:hAnsi="Arial"/>
            <w:sz w:val="18"/>
            <w:szCs w:val="18"/>
            <w:u w:val="single" w:color="auto"/>
            <w:color w:val="0000EE"/>
          </w:rPr>
          <w:t>Certificate of Amendment to Certificate of Incorporation, effective May 26, 2017, incorporated herein by reference to Exhibit 3.1 to the Current</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Report on Form 8-K of the Company, filed on May 26, 2017.</w:t>
        </w:r>
      </w:hyperlink>
    </w:p>
    <w:p>
      <w:pPr>
        <w:spacing w:after="0" w:line="170" w:lineRule="exact"/>
        <w:rPr>
          <w:sz w:val="20"/>
          <w:szCs w:val="20"/>
          <w:color w:val="auto"/>
        </w:rPr>
      </w:pPr>
    </w:p>
    <w:p>
      <w:pPr>
        <w:ind w:left="560" w:right="160" w:hanging="517"/>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3.7</w:t>
      </w:r>
      <w:r>
        <w:rPr>
          <w:sz w:val="20"/>
          <w:szCs w:val="20"/>
          <w:color w:val="auto"/>
        </w:rPr>
        <w:tab/>
      </w:r>
      <w:hyperlink r:id="rId92">
        <w:r>
          <w:rPr>
            <w:rFonts w:ascii="Arial" w:cs="Arial" w:eastAsia="Arial" w:hAnsi="Arial"/>
            <w:sz w:val="18"/>
            <w:szCs w:val="18"/>
            <w:u w:val="single" w:color="auto"/>
            <w:color w:val="0000EE"/>
          </w:rPr>
          <w:t>Amended and Restated By-laws dated November 27, 2011, incorporated herein by reference to Exhibit 3.1 to the Current Report on Form 8-K of</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the Company, filed on December 1, 2011.</w:t>
        </w:r>
      </w:hyperlink>
    </w:p>
    <w:p>
      <w:pPr>
        <w:spacing w:after="0" w:line="197" w:lineRule="exact"/>
        <w:rPr>
          <w:sz w:val="20"/>
          <w:szCs w:val="20"/>
          <w:color w:val="auto"/>
        </w:rPr>
      </w:pPr>
    </w:p>
    <w:p>
      <w:pPr>
        <w:ind w:left="560" w:right="280" w:hanging="517"/>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93">
        <w:r>
          <w:rPr>
            <w:rFonts w:ascii="Arial" w:cs="Arial" w:eastAsia="Arial" w:hAnsi="Arial"/>
            <w:sz w:val="18"/>
            <w:szCs w:val="18"/>
            <w:u w:val="single" w:color="auto"/>
            <w:color w:val="0000EE"/>
          </w:rPr>
          <w:t>Form of Common Stock Certificate, par value $0.01, incorporated herein by reference to Exhibit 4.1 to the Annual Report on Form 10-K of the</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Company for the year ended September 30, 2000.</w:t>
        </w:r>
      </w:hyperlink>
    </w:p>
    <w:p>
      <w:pPr>
        <w:spacing w:after="0" w:line="170" w:lineRule="exact"/>
        <w:rPr>
          <w:sz w:val="20"/>
          <w:szCs w:val="20"/>
          <w:color w:val="auto"/>
        </w:rPr>
      </w:pPr>
    </w:p>
    <w:p>
      <w:pPr>
        <w:ind w:left="560" w:hanging="494"/>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94">
        <w:r>
          <w:rPr>
            <w:rFonts w:ascii="Arial" w:cs="Arial" w:eastAsia="Arial" w:hAnsi="Arial"/>
            <w:sz w:val="18"/>
            <w:szCs w:val="18"/>
            <w:u w:val="single" w:color="auto"/>
            <w:color w:val="0000EE"/>
          </w:rPr>
          <w:t>Registration Rights Agreement, dated June 17, 2010, by and between Celsion Corporation and Small Cap Biotech Value, Ltd., incorporated herein</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by reference to Exhibit 4.1 to the Current Report on Form 8-K of the Company filed on June 18, 2010.</w:t>
        </w:r>
      </w:hyperlink>
    </w:p>
    <w:p>
      <w:pPr>
        <w:spacing w:after="0" w:line="170" w:lineRule="exact"/>
        <w:rPr>
          <w:sz w:val="20"/>
          <w:szCs w:val="20"/>
          <w:color w:val="auto"/>
        </w:rPr>
      </w:pPr>
    </w:p>
    <w:p>
      <w:pPr>
        <w:ind w:left="560" w:hanging="517"/>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95">
        <w:r>
          <w:rPr>
            <w:rFonts w:ascii="Arial" w:cs="Arial" w:eastAsia="Arial" w:hAnsi="Arial"/>
            <w:sz w:val="18"/>
            <w:szCs w:val="18"/>
            <w:u w:val="single" w:color="auto"/>
            <w:color w:val="0000EE"/>
          </w:rPr>
          <w:t>Form of Common Stock Warrant, incorporated herein by reference to Exhibit 4.2 to the Current Report on Form 8-K of the Company filed on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January 18, 2011.</w:t>
        </w:r>
      </w:hyperlink>
    </w:p>
    <w:p>
      <w:pPr>
        <w:spacing w:after="0" w:line="170" w:lineRule="exact"/>
        <w:rPr>
          <w:sz w:val="20"/>
          <w:szCs w:val="20"/>
          <w:color w:val="auto"/>
        </w:rPr>
      </w:pPr>
    </w:p>
    <w:p>
      <w:pPr>
        <w:ind w:left="40"/>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96">
        <w:r>
          <w:rPr>
            <w:rFonts w:ascii="Arial" w:cs="Arial" w:eastAsia="Arial" w:hAnsi="Arial"/>
            <w:sz w:val="16"/>
            <w:szCs w:val="16"/>
            <w:u w:val="single" w:color="auto"/>
            <w:color w:val="0000EE"/>
          </w:rPr>
          <w:t>Form of Common Stock Warrant incorporated herein by reference to Exhibit 4.1 to the Current Report on Form 8-K of the Company filed on June</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2, 2011.</w:t>
        </w:r>
      </w:hyperlink>
    </w:p>
    <w:p>
      <w:pPr>
        <w:spacing w:after="0" w:line="211" w:lineRule="exact"/>
        <w:rPr>
          <w:sz w:val="20"/>
          <w:szCs w:val="20"/>
          <w:color w:val="auto"/>
        </w:rPr>
      </w:pPr>
    </w:p>
    <w:p>
      <w:pPr>
        <w:ind w:left="560" w:hanging="517"/>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97">
        <w:r>
          <w:rPr>
            <w:rFonts w:ascii="Arial" w:cs="Arial" w:eastAsia="Arial" w:hAnsi="Arial"/>
            <w:sz w:val="18"/>
            <w:szCs w:val="18"/>
            <w:u w:val="single" w:color="auto"/>
            <w:color w:val="0000EE"/>
          </w:rPr>
          <w:t>Registration Rights Agreement, dated May 26, 2011, by and among Celsion Corporation and the purchasers named therein, incorporated herein by</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reference to Exhibit 10.2 to the Current Report on Form 8-K of the Company filed on June 2, 2011.</w:t>
        </w:r>
      </w:hyperlink>
    </w:p>
    <w:p>
      <w:pPr>
        <w:spacing w:after="0" w:line="170" w:lineRule="exact"/>
        <w:rPr>
          <w:sz w:val="20"/>
          <w:szCs w:val="20"/>
          <w:color w:val="auto"/>
        </w:rPr>
      </w:pPr>
    </w:p>
    <w:p>
      <w:pPr>
        <w:ind w:left="560" w:hanging="517"/>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98">
        <w:r>
          <w:rPr>
            <w:rFonts w:ascii="Arial" w:cs="Arial" w:eastAsia="Arial" w:hAnsi="Arial"/>
            <w:sz w:val="18"/>
            <w:szCs w:val="18"/>
            <w:u w:val="single" w:color="auto"/>
            <w:color w:val="0000EE"/>
          </w:rPr>
          <w:t>Form of Common Stock Purchase Warrant, incorporated herein by reference to Exhibit 4.1 to the Current Report on Form 8-K of the Company</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filed on July 6, 2011.</w:t>
        </w:r>
      </w:hyperlink>
    </w:p>
    <w:p>
      <w:pPr>
        <w:spacing w:after="0" w:line="170" w:lineRule="exact"/>
        <w:rPr>
          <w:sz w:val="20"/>
          <w:szCs w:val="20"/>
          <w:color w:val="auto"/>
        </w:rPr>
      </w:pPr>
    </w:p>
    <w:p>
      <w:pPr>
        <w:ind w:left="560" w:hanging="517"/>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99">
        <w:r>
          <w:rPr>
            <w:rFonts w:ascii="Arial" w:cs="Arial" w:eastAsia="Arial" w:hAnsi="Arial"/>
            <w:sz w:val="18"/>
            <w:szCs w:val="18"/>
            <w:u w:val="single" w:color="auto"/>
            <w:color w:val="0000EE"/>
          </w:rPr>
          <w:t>Registration Rights Agreement, dated July 25, 2011, by and between Celsion Corporation and the purchasers named therein, incorporated herein</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by reference to Exhibit 10.3 to the Current Report on Form 8-K of the Company filed on July 26, 2011.</w:t>
        </w:r>
      </w:hyperlink>
    </w:p>
    <w:p>
      <w:pPr>
        <w:spacing w:after="0" w:line="170" w:lineRule="exact"/>
        <w:rPr>
          <w:sz w:val="20"/>
          <w:szCs w:val="20"/>
          <w:color w:val="auto"/>
        </w:rPr>
      </w:pPr>
    </w:p>
    <w:p>
      <w:pPr>
        <w:ind w:left="560" w:hanging="517"/>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100">
        <w:r>
          <w:rPr>
            <w:rFonts w:ascii="Arial" w:cs="Arial" w:eastAsia="Arial" w:hAnsi="Arial"/>
            <w:sz w:val="18"/>
            <w:szCs w:val="18"/>
            <w:u w:val="single" w:color="auto"/>
            <w:color w:val="0000EE"/>
          </w:rPr>
          <w:t>Form of Common Stock Purchase Warrant, incorporated herein by reference to Exhibit 4.1 to the Current Report on Form 8-K of the Company</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filed on July 26, 2011.</w:t>
        </w:r>
      </w:hyperlink>
    </w:p>
    <w:p>
      <w:pPr>
        <w:spacing w:after="0" w:line="170" w:lineRule="exact"/>
        <w:rPr>
          <w:sz w:val="20"/>
          <w:szCs w:val="20"/>
          <w:color w:val="auto"/>
        </w:rPr>
      </w:pPr>
    </w:p>
    <w:p>
      <w:pPr>
        <w:ind w:left="560" w:hanging="517"/>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101">
        <w:r>
          <w:rPr>
            <w:rFonts w:ascii="Arial" w:cs="Arial" w:eastAsia="Arial" w:hAnsi="Arial"/>
            <w:sz w:val="18"/>
            <w:szCs w:val="18"/>
            <w:u w:val="single" w:color="auto"/>
            <w:color w:val="0000EE"/>
          </w:rPr>
          <w:t>Form of Warrant to Purchase Common Stock, incorporated herein by reference to Exhibit 4.2 to the Current Report on Form 8-K of the Company</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filed on July 26, 2011.</w:t>
        </w:r>
      </w:hyperlink>
    </w:p>
    <w:p>
      <w:pPr>
        <w:spacing w:after="0" w:line="170" w:lineRule="exact"/>
        <w:rPr>
          <w:sz w:val="20"/>
          <w:szCs w:val="20"/>
          <w:color w:val="auto"/>
        </w:rPr>
      </w:pPr>
    </w:p>
    <w:p>
      <w:pPr>
        <w:ind w:left="560" w:hanging="562"/>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02">
        <w:r>
          <w:rPr>
            <w:rFonts w:ascii="Arial" w:cs="Arial" w:eastAsia="Arial" w:hAnsi="Arial"/>
            <w:sz w:val="18"/>
            <w:szCs w:val="18"/>
            <w:u w:val="single" w:color="auto"/>
            <w:color w:val="0000EE"/>
          </w:rPr>
          <w:t>Form Warrant to Purchase Common Stock Purchase, incorporated herein by reference to Exhibit 4.1 to the Current Report on Form 8-K filed on</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December 6, 2011.</w:t>
        </w:r>
      </w:hyperlink>
    </w:p>
    <w:p>
      <w:pPr>
        <w:spacing w:after="0" w:line="170" w:lineRule="exact"/>
        <w:rPr>
          <w:sz w:val="20"/>
          <w:szCs w:val="20"/>
          <w:color w:val="auto"/>
        </w:rPr>
      </w:pPr>
    </w:p>
    <w:p>
      <w:pPr>
        <w:ind w:left="560" w:right="20" w:hanging="558"/>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103">
        <w:r>
          <w:rPr>
            <w:rFonts w:ascii="Arial" w:cs="Arial" w:eastAsia="Arial" w:hAnsi="Arial"/>
            <w:sz w:val="18"/>
            <w:szCs w:val="18"/>
            <w:u w:val="single" w:color="auto"/>
            <w:color w:val="0000EE"/>
          </w:rPr>
          <w:t>Registration Rights Agreement, dated December 1, 2011, by and between Celsion Corporation and the purchasers named therein, incorporated</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herein by reference to Exhibit 10.2 to the Current Report on Form 8-K of the Company filed on December 6, 2011.</w:t>
        </w:r>
      </w:hyperlink>
    </w:p>
    <w:p>
      <w:pPr>
        <w:spacing w:after="0" w:line="170" w:lineRule="exact"/>
        <w:rPr>
          <w:sz w:val="20"/>
          <w:szCs w:val="20"/>
          <w:color w:val="auto"/>
        </w:rPr>
      </w:pPr>
    </w:p>
    <w:p>
      <w:pPr>
        <w:ind w:left="560" w:hanging="562"/>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104">
        <w:r>
          <w:rPr>
            <w:rFonts w:ascii="Arial" w:cs="Arial" w:eastAsia="Arial" w:hAnsi="Arial"/>
            <w:sz w:val="18"/>
            <w:szCs w:val="18"/>
            <w:u w:val="single" w:color="auto"/>
            <w:color w:val="0000EE"/>
          </w:rPr>
          <w:t>Warrant to Purchase Stock, dated June 27, 2012, by and between Celsion Corporation and Oxford Finance LLC, incorporated herein by reference</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to Exhibit 4.1 to the Quarterly Report on Form 10-Q of the Company for the quarter ended June 30, 2012.</w:t>
        </w:r>
      </w:hyperlink>
    </w:p>
    <w:p>
      <w:pPr>
        <w:spacing w:after="0" w:line="170" w:lineRule="exact"/>
        <w:rPr>
          <w:sz w:val="20"/>
          <w:szCs w:val="20"/>
          <w:color w:val="auto"/>
        </w:rPr>
      </w:pPr>
    </w:p>
    <w:p>
      <w:pPr>
        <w:ind w:left="560" w:hanging="562"/>
        <w:spacing w:after="0" w:line="308" w:lineRule="auto"/>
        <w:tabs>
          <w:tab w:leader="none" w:pos="540" w:val="left"/>
        </w:tabs>
        <w:rPr>
          <w:rFonts w:ascii="Arial" w:cs="Arial" w:eastAsia="Arial" w:hAnsi="Arial"/>
          <w:sz w:val="17"/>
          <w:szCs w:val="17"/>
          <w:u w:val="single" w:color="auto"/>
          <w:color w:val="0000EE"/>
        </w:rPr>
      </w:pPr>
      <w:r>
        <w:rPr>
          <w:rFonts w:ascii="Arial" w:cs="Arial" w:eastAsia="Arial" w:hAnsi="Arial"/>
          <w:sz w:val="18"/>
          <w:szCs w:val="18"/>
          <w:color w:val="auto"/>
        </w:rPr>
        <w:t>4.13</w:t>
      </w:r>
      <w:r>
        <w:rPr>
          <w:sz w:val="20"/>
          <w:szCs w:val="20"/>
          <w:color w:val="auto"/>
        </w:rPr>
        <w:tab/>
      </w:r>
      <w:hyperlink r:id="rId105">
        <w:r>
          <w:rPr>
            <w:rFonts w:ascii="Arial" w:cs="Arial" w:eastAsia="Arial" w:hAnsi="Arial"/>
            <w:sz w:val="17"/>
            <w:szCs w:val="17"/>
            <w:u w:val="single" w:color="auto"/>
            <w:color w:val="0000EE"/>
          </w:rPr>
          <w:t>Warrant to Purchase Stock, dated June 27, 2012, by and between Celsion Corporation and Horizon Technology Finance Corporation, incorporated</w:t>
        </w:r>
      </w:hyperlink>
      <w:r>
        <w:rPr>
          <w:rFonts w:ascii="Arial" w:cs="Arial" w:eastAsia="Arial" w:hAnsi="Arial"/>
          <w:sz w:val="17"/>
          <w:szCs w:val="17"/>
          <w:u w:val="single" w:color="auto"/>
          <w:color w:val="0000EE"/>
        </w:rPr>
        <w:t xml:space="preserve"> </w:t>
      </w:r>
      <w:hyperlink r:id="rId105">
        <w:r>
          <w:rPr>
            <w:rFonts w:ascii="Arial" w:cs="Arial" w:eastAsia="Arial" w:hAnsi="Arial"/>
            <w:sz w:val="17"/>
            <w:szCs w:val="17"/>
            <w:u w:val="single" w:color="auto"/>
            <w:color w:val="0000EE"/>
          </w:rPr>
          <w:t>herein by reference to Exhibit 4.2 to the Quarterly Report on Form 10-Q of the Company for the quarter ended June 30, 2012.</w:t>
        </w:r>
      </w:hyperlink>
    </w:p>
    <w:p>
      <w:pPr>
        <w:spacing w:after="0" w:line="147" w:lineRule="exact"/>
        <w:rPr>
          <w:sz w:val="20"/>
          <w:szCs w:val="20"/>
          <w:color w:val="auto"/>
        </w:rPr>
      </w:pPr>
    </w:p>
    <w:p>
      <w:pPr>
        <w:ind w:left="560" w:hanging="562"/>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06">
        <w:r>
          <w:rPr>
            <w:rFonts w:ascii="Arial" w:cs="Arial" w:eastAsia="Arial" w:hAnsi="Arial"/>
            <w:sz w:val="18"/>
            <w:szCs w:val="18"/>
            <w:u w:val="single" w:color="auto"/>
            <w:color w:val="0000EE"/>
          </w:rPr>
          <w:t>Form of Common Stock Purchase Warrant, incorporated herein by reference to Exhibit 4.1 to the Current Report on Form 8-K of the Company</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filed on February 26, 2013.</w:t>
        </w:r>
      </w:hyperlink>
    </w:p>
    <w:p>
      <w:pPr>
        <w:spacing w:after="0" w:line="170" w:lineRule="exact"/>
        <w:rPr>
          <w:sz w:val="20"/>
          <w:szCs w:val="20"/>
          <w:color w:val="auto"/>
        </w:rPr>
      </w:pPr>
    </w:p>
    <w:p>
      <w:pPr>
        <w:ind w:left="560" w:hanging="562"/>
        <w:spacing w:after="0" w:line="277" w:lineRule="auto"/>
        <w:tabs>
          <w:tab w:leader="none" w:pos="54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107">
        <w:r>
          <w:rPr>
            <w:rFonts w:ascii="Arial" w:cs="Arial" w:eastAsia="Arial" w:hAnsi="Arial"/>
            <w:sz w:val="18"/>
            <w:szCs w:val="18"/>
            <w:u w:val="single" w:color="auto"/>
            <w:color w:val="0000EE"/>
          </w:rPr>
          <w:t>Form of Series A Common Stock Purchase Warrant, incorporated herein by reference to Exhibit 4.1 to the Current Report on Form 8-K of the</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Company filed on January 21, 2014.</w:t>
        </w:r>
      </w:hyperlink>
    </w:p>
    <w:p>
      <w:pPr>
        <w:spacing w:after="0" w:line="19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500" w:top="58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4.16</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4"/>
              </w:rPr>
            </w:pPr>
            <w:hyperlink r:id="rId109">
              <w:r>
                <w:rPr>
                  <w:rFonts w:ascii="Arial" w:cs="Arial" w:eastAsia="Arial" w:hAnsi="Arial"/>
                  <w:sz w:val="18"/>
                  <w:szCs w:val="18"/>
                  <w:color w:val="0000EE"/>
                  <w:w w:val="94"/>
                </w:rPr>
                <w:t>Form of Series B Common Stock Purchase Warrant, incorporated herein by reference to Exhibit 4.2 to the Current Report on Form 8-K of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Company filed on January 21, 2014.</w:t>
              </w:r>
            </w:hyperlink>
          </w:p>
        </w:tc>
        <w:tc>
          <w:tcPr>
            <w:tcW w:w="79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4.17</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Representative’s Common Stock Purchase Warrant, incorporated herein by reference to Exhibit 4.2 to the Current Report on Form 8-K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600" w:type="dxa"/>
            <w:vAlign w:val="bottom"/>
            <w:gridSpan w:val="19"/>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the Company filed on October 31, 2017.</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vMerge w:val="restart"/>
          </w:tcPr>
          <w:p>
            <w:pPr>
              <w:jc w:val="right"/>
              <w:ind w:right="150"/>
              <w:spacing w:after="0"/>
              <w:rPr>
                <w:sz w:val="20"/>
                <w:szCs w:val="20"/>
                <w:color w:val="auto"/>
              </w:rPr>
            </w:pPr>
            <w:r>
              <w:rPr>
                <w:rFonts w:ascii="Arial" w:cs="Arial" w:eastAsia="Arial" w:hAnsi="Arial"/>
                <w:sz w:val="18"/>
                <w:szCs w:val="18"/>
                <w:color w:val="auto"/>
              </w:rPr>
              <w:t>4.18</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Form of Placement Agent Common Stock Purchase Warrant incorporated herein by reference to Exhibit 4.4 to the Current Report on Form 8-K of</w:t>
              </w:r>
            </w:hyperlink>
          </w:p>
        </w:tc>
        <w:tc>
          <w:tcPr>
            <w:tcW w:w="0" w:type="dxa"/>
            <w:vAlign w:val="bottom"/>
          </w:tcPr>
          <w:p>
            <w:pPr>
              <w:spacing w:after="0"/>
              <w:rPr>
                <w:sz w:val="1"/>
                <w:szCs w:val="1"/>
                <w:color w:val="auto"/>
              </w:rPr>
            </w:pPr>
          </w:p>
        </w:tc>
      </w:tr>
      <w:tr>
        <w:trPr>
          <w:trHeight w:val="88"/>
        </w:trPr>
        <w:tc>
          <w:tcPr>
            <w:tcW w:w="820" w:type="dxa"/>
            <w:vAlign w:val="bottom"/>
            <w:vMerge w:val="continue"/>
          </w:tcPr>
          <w:p>
            <w:pPr>
              <w:spacing w:after="0"/>
              <w:rPr>
                <w:sz w:val="7"/>
                <w:szCs w:val="7"/>
                <w:color w:val="auto"/>
              </w:rPr>
            </w:pPr>
          </w:p>
        </w:tc>
        <w:tc>
          <w:tcPr>
            <w:tcW w:w="2640" w:type="dxa"/>
            <w:vAlign w:val="bottom"/>
            <w:gridSpan w:val="7"/>
            <w:vMerge w:val="restart"/>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the Company filed on July 11, 2017.</w:t>
              </w:r>
            </w:hyperlink>
          </w:p>
        </w:tc>
        <w:tc>
          <w:tcPr>
            <w:tcW w:w="7960" w:type="dxa"/>
            <w:vAlign w:val="bottom"/>
            <w:gridSpan w:val="12"/>
            <w:vMerge w:val="restart"/>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2640" w:type="dxa"/>
            <w:vAlign w:val="bottom"/>
            <w:tcBorders>
              <w:bottom w:val="single" w:sz="8" w:color="0000EE"/>
            </w:tcBorders>
            <w:gridSpan w:val="7"/>
            <w:vMerge w:val="continue"/>
          </w:tcPr>
          <w:p>
            <w:pPr>
              <w:spacing w:after="0"/>
              <w:rPr>
                <w:sz w:val="9"/>
                <w:szCs w:val="9"/>
                <w:color w:val="auto"/>
              </w:rPr>
            </w:pPr>
          </w:p>
        </w:tc>
        <w:tc>
          <w:tcPr>
            <w:tcW w:w="796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4.19</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Warrant Agreement to Purchase Shares of the Common Stock dated as of November 25, 2013, by and between Celsion Corporation and Hercules</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60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r:id="rId112">
              <w:r>
                <w:rPr>
                  <w:rFonts w:ascii="Arial" w:cs="Arial" w:eastAsia="Arial" w:hAnsi="Arial"/>
                  <w:sz w:val="18"/>
                  <w:szCs w:val="18"/>
                  <w:color w:val="0000EE"/>
                  <w:w w:val="96"/>
                </w:rPr>
                <w:t>Technology Growth Capital, Inc., incorporated herein by reference to Exhibit 4.2 to the Registration Statement on Form S-3 (File No.: 333-</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6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193936) filed on February 13, 2014.</w:t>
              </w:r>
            </w:hyperlink>
          </w:p>
        </w:tc>
        <w:tc>
          <w:tcPr>
            <w:tcW w:w="7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10"/>
              <w:spacing w:after="0"/>
              <w:rPr>
                <w:sz w:val="20"/>
                <w:szCs w:val="20"/>
                <w:color w:val="auto"/>
              </w:rPr>
            </w:pPr>
            <w:r>
              <w:rPr>
                <w:rFonts w:ascii="Arial" w:cs="Arial" w:eastAsia="Arial" w:hAnsi="Arial"/>
                <w:sz w:val="18"/>
                <w:szCs w:val="18"/>
                <w:color w:val="auto"/>
              </w:rPr>
              <w:t>4.20</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4"/>
              </w:rPr>
            </w:pPr>
            <w:hyperlink r:id="rId113">
              <w:r>
                <w:rPr>
                  <w:rFonts w:ascii="Arial" w:cs="Arial" w:eastAsia="Arial" w:hAnsi="Arial"/>
                  <w:sz w:val="18"/>
                  <w:szCs w:val="18"/>
                  <w:color w:val="0000EE"/>
                  <w:w w:val="94"/>
                </w:rPr>
                <w:t>Registration Agreement dated as of November 25, 2013, by and between Celsion Corporation and Hercules Technology Growth Capital, Inc.,</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600" w:type="dxa"/>
            <w:vAlign w:val="bottom"/>
            <w:gridSpan w:val="19"/>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incorporated herein by reference to Exhibit 4.3 to the Registration Statement on Form S-3 (File No.: 333-193936) filed on February 13, 2014.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4.21</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Registration Rights Agreement dated as of June 20, 2014, by and between Celsion Corporation and Egen, Inc., incorporated herein by reference to</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600" w:type="dxa"/>
            <w:vAlign w:val="bottom"/>
            <w:gridSpan w:val="1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Exhibit 4.1 to the Quarterly Report on Form 10-Q of the Company for the quarter ended June 30, 2014.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4.22</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Form of Common Stock Purchase Warrant, incorporated herein by reference to Exhibit 4.1 to the Current Report on Form 8-K of the Company</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600" w:type="dxa"/>
            <w:vAlign w:val="bottom"/>
            <w:gridSpan w:val="19"/>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filed on May 29, 2015.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4.23</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Form of Series A Warrant, incorporated by reference to Exhibit 4.1 to the Current report on Form 8-K of the Company filed with the SEC on June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16">
              <w:r>
                <w:rPr>
                  <w:rFonts w:ascii="Arial" w:cs="Arial" w:eastAsia="Arial" w:hAnsi="Arial"/>
                  <w:sz w:val="18"/>
                  <w:szCs w:val="18"/>
                  <w:color w:val="0000EE"/>
                  <w:w w:val="87"/>
                </w:rPr>
                <w:t>17, 2016.</w:t>
              </w:r>
            </w:hyperlink>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4.24</w:t>
            </w:r>
          </w:p>
        </w:tc>
        <w:tc>
          <w:tcPr>
            <w:tcW w:w="10600" w:type="dxa"/>
            <w:vAlign w:val="bottom"/>
            <w:gridSpan w:val="19"/>
          </w:tcPr>
          <w:p>
            <w:pPr>
              <w:spacing w:after="0"/>
              <w:rPr>
                <w:rFonts w:ascii="Arial" w:cs="Arial" w:eastAsia="Arial" w:hAnsi="Arial"/>
                <w:sz w:val="18"/>
                <w:szCs w:val="18"/>
                <w:color w:val="0000EE"/>
                <w:w w:val="94"/>
              </w:rPr>
            </w:pPr>
            <w:hyperlink r:id="rId117">
              <w:r>
                <w:rPr>
                  <w:rFonts w:ascii="Arial" w:cs="Arial" w:eastAsia="Arial" w:hAnsi="Arial"/>
                  <w:sz w:val="18"/>
                  <w:szCs w:val="18"/>
                  <w:color w:val="0000EE"/>
                  <w:w w:val="94"/>
                </w:rPr>
                <w:t>Form of Series B Warrant, incorporated by reference to Exhibit 4.2 to the Current report on Form 8-K of the Company filed on June 17, 2016.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7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4.25</w:t>
            </w:r>
          </w:p>
        </w:tc>
        <w:tc>
          <w:tcPr>
            <w:tcW w:w="10600" w:type="dxa"/>
            <w:vAlign w:val="bottom"/>
            <w:gridSpan w:val="19"/>
          </w:tcPr>
          <w:p>
            <w:pPr>
              <w:spacing w:after="0"/>
              <w:rPr>
                <w:rFonts w:ascii="Arial" w:cs="Arial" w:eastAsia="Arial" w:hAnsi="Arial"/>
                <w:sz w:val="18"/>
                <w:szCs w:val="18"/>
                <w:color w:val="0000EE"/>
                <w:w w:val="94"/>
              </w:rPr>
            </w:pPr>
            <w:hyperlink r:id="rId118">
              <w:r>
                <w:rPr>
                  <w:rFonts w:ascii="Arial" w:cs="Arial" w:eastAsia="Arial" w:hAnsi="Arial"/>
                  <w:sz w:val="18"/>
                  <w:szCs w:val="18"/>
                  <w:color w:val="0000EE"/>
                  <w:w w:val="94"/>
                </w:rPr>
                <w:t>Form of Series C Warrant, incorporated by reference to Exhibit 4.3 to the Current report on Form 8-K of the Company filed on June 17, 2016.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7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4.26</w:t>
            </w:r>
          </w:p>
        </w:tc>
        <w:tc>
          <w:tcPr>
            <w:tcW w:w="10240" w:type="dxa"/>
            <w:vAlign w:val="bottom"/>
            <w:tcBorders>
              <w:bottom w:val="single" w:sz="8" w:color="0000EE"/>
            </w:tcBorders>
            <w:gridSpan w:val="17"/>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Form of Series D Warrant, incorporated by reference to Exhibit 4.4 to the Current report on Form 8-K of the Company filed on June 17, 2016.</w:t>
              </w:r>
            </w:hyperlink>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4.27</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Form of Series AA Warrant, incorporated herein by reference to Exhibit 4.26 to the Registration Statement to the Registration Statement on Form</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600" w:type="dxa"/>
            <w:vAlign w:val="bottom"/>
            <w:gridSpan w:val="19"/>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S-1 of the Company filed on February 13, 2017.</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4.28</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7"/>
              </w:rPr>
            </w:pPr>
            <w:hyperlink r:id="rId121">
              <w:r>
                <w:rPr>
                  <w:rFonts w:ascii="Arial" w:cs="Arial" w:eastAsia="Arial" w:hAnsi="Arial"/>
                  <w:sz w:val="18"/>
                  <w:szCs w:val="18"/>
                  <w:color w:val="0000EE"/>
                  <w:w w:val="97"/>
                </w:rPr>
                <w:t>Form of Series BB Prefunded-Warrant, incorporated herein by reference to Exhibit 4.27 to the Registration Statement on Form S-1 of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7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Company filed on February 13, 2017.</w:t>
              </w:r>
            </w:hyperlink>
          </w:p>
        </w:tc>
        <w:tc>
          <w:tcPr>
            <w:tcW w:w="78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4.29</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Form of Series EE Warrant, incorporated herein by reference to Exhibit 4.28 to the Registration Statement on Form S-1 of the Company filed on</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22">
              <w:r>
                <w:rPr>
                  <w:rFonts w:ascii="Arial" w:cs="Arial" w:eastAsia="Arial" w:hAnsi="Arial"/>
                  <w:sz w:val="18"/>
                  <w:szCs w:val="18"/>
                  <w:color w:val="0000EE"/>
                  <w:w w:val="86"/>
                </w:rPr>
                <w:t>June 6, 2017.</w:t>
              </w:r>
            </w:hyperlink>
          </w:p>
        </w:tc>
        <w:tc>
          <w:tcPr>
            <w:tcW w:w="9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4.30</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Form of Series FF Prefunded-Warrant, incorporated herein by reference to Exhibit 4.29 to the Registration Statement on Form S-1 of the Company</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5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filed on June 6, 2017.</w:t>
              </w:r>
            </w:hyperlink>
          </w:p>
        </w:tc>
        <w:tc>
          <w:tcPr>
            <w:tcW w:w="90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4.31</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3"/>
              </w:rPr>
            </w:pPr>
            <w:hyperlink r:id="rId124">
              <w:r>
                <w:rPr>
                  <w:rFonts w:ascii="Arial" w:cs="Arial" w:eastAsia="Arial" w:hAnsi="Arial"/>
                  <w:sz w:val="18"/>
                  <w:szCs w:val="18"/>
                  <w:color w:val="0000EE"/>
                  <w:w w:val="93"/>
                </w:rPr>
                <w:t>Form of Representative’s Common Stock Purchase Warrant, incorporated herein by reference to Exhibit 4.30 to the Registration Statement on</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5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Form S-1 of the Company filed on June 6, 2017.</w:t>
              </w:r>
            </w:hyperlink>
          </w:p>
        </w:tc>
        <w:tc>
          <w:tcPr>
            <w:tcW w:w="71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4.32</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Form of Series AAA Common Stock Purchase Warrant, incorporated herein by reference to Exhibit 4.1 to the Current Report on Form 8-K of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Company filed on July 11, 2017.</w:t>
              </w:r>
            </w:hyperlink>
          </w:p>
        </w:tc>
        <w:tc>
          <w:tcPr>
            <w:tcW w:w="82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4.33</w:t>
            </w:r>
          </w:p>
        </w:tc>
        <w:tc>
          <w:tcPr>
            <w:tcW w:w="10600" w:type="dxa"/>
            <w:vAlign w:val="bottom"/>
            <w:tcBorders>
              <w:bottom w:val="single" w:sz="8" w:color="0000EE"/>
            </w:tcBorders>
            <w:gridSpan w:val="19"/>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Form of Series BBB Common Stock Purchase Warrant, incorporated herein by reference to Exhibit 4.2 to the Current Report on Form 8-K of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Company filed on July 11, 2017.</w:t>
              </w:r>
            </w:hyperlink>
          </w:p>
        </w:tc>
        <w:tc>
          <w:tcPr>
            <w:tcW w:w="82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4.34</w:t>
            </w:r>
          </w:p>
        </w:tc>
        <w:tc>
          <w:tcPr>
            <w:tcW w:w="10600" w:type="dxa"/>
            <w:vAlign w:val="bottom"/>
            <w:gridSpan w:val="19"/>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Form of Pre-Funded Series CCC Common Stock Purchase Warrant, incorporated herein by reference to Exhibit 4.1 to the Current Report on Form</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5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8-K of the Company filed on July 11,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820" w:type="dxa"/>
            <w:vAlign w:val="bottom"/>
          </w:tcPr>
          <w:p>
            <w:pPr>
              <w:spacing w:after="0"/>
              <w:rPr>
                <w:sz w:val="24"/>
                <w:szCs w:val="24"/>
                <w:color w:val="auto"/>
              </w:rPr>
            </w:pPr>
          </w:p>
        </w:tc>
        <w:tc>
          <w:tcPr>
            <w:tcW w:w="3140" w:type="dxa"/>
            <w:vAlign w:val="bottom"/>
            <w:tcBorders>
              <w:top w:val="single" w:sz="8" w:color="0000EE"/>
            </w:tcBorders>
            <w:gridSpan w:val="11"/>
          </w:tcPr>
          <w:p>
            <w:pPr>
              <w:spacing w:after="0"/>
              <w:rPr>
                <w:sz w:val="24"/>
                <w:szCs w:val="24"/>
                <w:color w:val="auto"/>
              </w:rPr>
            </w:pPr>
          </w:p>
        </w:tc>
        <w:tc>
          <w:tcPr>
            <w:tcW w:w="4300" w:type="dxa"/>
            <w:vAlign w:val="bottom"/>
            <w:gridSpan w:val="3"/>
          </w:tcPr>
          <w:p>
            <w:pPr>
              <w:jc w:val="right"/>
              <w:ind w:right="2460"/>
              <w:spacing w:after="0"/>
              <w:rPr>
                <w:sz w:val="20"/>
                <w:szCs w:val="20"/>
                <w:color w:val="auto"/>
              </w:rPr>
            </w:pPr>
            <w:r>
              <w:rPr>
                <w:rFonts w:ascii="Arial" w:cs="Arial" w:eastAsia="Arial" w:hAnsi="Arial"/>
                <w:sz w:val="18"/>
                <w:szCs w:val="18"/>
                <w:color w:val="auto"/>
              </w:rPr>
              <w:t>58</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7" w:right="239" w:bottom="1440" w:gutter="0" w:footer="0" w:header="0"/>
        </w:sectPr>
      </w:pPr>
    </w:p>
    <w:bookmarkStart w:id="62" w:name="page63"/>
    <w:bookmarkEnd w:id="62"/>
    <w:p>
      <w:pPr>
        <w:ind w:left="740" w:right="20" w:hanging="562"/>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4.35</w:t>
      </w:r>
      <w:r>
        <w:rPr>
          <w:sz w:val="20"/>
          <w:szCs w:val="20"/>
          <w:color w:val="auto"/>
        </w:rPr>
        <w:tab/>
      </w:r>
      <w:hyperlink r:id="rId128">
        <w:r>
          <w:rPr>
            <w:rFonts w:ascii="Arial" w:cs="Arial" w:eastAsia="Arial" w:hAnsi="Arial"/>
            <w:sz w:val="18"/>
            <w:szCs w:val="18"/>
            <w:u w:val="single" w:color="auto"/>
            <w:color w:val="0000EE"/>
          </w:rPr>
          <w:t>Form of Series DDD Common Stock Purchase Warrant, incorporated herein by reference to Exhibit 4.1 to Quarterly Report on Form 10-Q of the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Company for the quarter ended September 30, 2017.</w:t>
        </w:r>
      </w:hyperlink>
    </w:p>
    <w:p>
      <w:pPr>
        <w:spacing w:after="0" w:line="170" w:lineRule="exact"/>
        <w:rPr>
          <w:sz w:val="20"/>
          <w:szCs w:val="20"/>
          <w:color w:val="auto"/>
        </w:rPr>
      </w:pPr>
    </w:p>
    <w:p>
      <w:pPr>
        <w:ind w:left="740" w:hanging="562"/>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4.36</w:t>
      </w:r>
      <w:r>
        <w:rPr>
          <w:sz w:val="20"/>
          <w:szCs w:val="20"/>
          <w:color w:val="auto"/>
        </w:rPr>
        <w:tab/>
      </w:r>
      <w:hyperlink r:id="rId129">
        <w:r>
          <w:rPr>
            <w:rFonts w:ascii="Arial" w:cs="Arial" w:eastAsia="Arial" w:hAnsi="Arial"/>
            <w:sz w:val="18"/>
            <w:szCs w:val="18"/>
            <w:u w:val="single" w:color="auto"/>
            <w:color w:val="0000EE"/>
          </w:rPr>
          <w:t>Form of Series EEE Common Stock Purchase Warrant, incorporated herein by reference to Exhibit 4.1 to the Current Report on Form 8-K of the</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Company filed on October 31, 2017.</w:t>
        </w:r>
      </w:hyperlink>
    </w:p>
    <w:p>
      <w:pPr>
        <w:spacing w:after="0" w:line="170" w:lineRule="exact"/>
        <w:rPr>
          <w:sz w:val="20"/>
          <w:szCs w:val="20"/>
          <w:color w:val="auto"/>
        </w:rPr>
      </w:pPr>
    </w:p>
    <w:p>
      <w:pPr>
        <w:ind w:left="740" w:right="20" w:hanging="697"/>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130">
        <w:r>
          <w:rPr>
            <w:rFonts w:ascii="Arial" w:cs="Arial" w:eastAsia="Arial" w:hAnsi="Arial"/>
            <w:sz w:val="18"/>
            <w:szCs w:val="18"/>
            <w:u w:val="single" w:color="auto"/>
            <w:color w:val="0000EE"/>
          </w:rPr>
          <w:t>Celsion Corporation 2004 Stock Incentive Plan, incorporated herein by reference to Exhibit 10.1 to the Quarterly Report on Form 10-Q of the</w:t>
        </w:r>
      </w:hyperlink>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EE"/>
          </w:rPr>
          <w:t>Company for the quarter ended June 30, 2004.</w:t>
        </w:r>
      </w:hyperlink>
    </w:p>
    <w:p>
      <w:pPr>
        <w:spacing w:after="0" w:line="170" w:lineRule="exact"/>
        <w:rPr>
          <w:sz w:val="20"/>
          <w:szCs w:val="20"/>
          <w:color w:val="auto"/>
        </w:rPr>
      </w:pPr>
    </w:p>
    <w:p>
      <w:pPr>
        <w:ind w:left="740" w:hanging="697"/>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 </w:t>
      </w:r>
      <w:hyperlink r:id="rId131">
        <w:r>
          <w:rPr>
            <w:rFonts w:ascii="Arial" w:cs="Arial" w:eastAsia="Arial" w:hAnsi="Arial"/>
            <w:sz w:val="18"/>
            <w:szCs w:val="18"/>
            <w:u w:val="single" w:color="auto"/>
            <w:color w:val="0000EE"/>
          </w:rPr>
          <w:t>Celsion Corporation 2007 Stock Incentive Plan, as amended, incorporated herein by reference to Exhibit 10.1 to the Current Report on Form 8-K</w:t>
        </w:r>
      </w:hyperlink>
      <w:r>
        <w:rPr>
          <w:rFonts w:ascii="Arial" w:cs="Arial" w:eastAsia="Arial" w:hAnsi="Arial"/>
          <w:sz w:val="18"/>
          <w:szCs w:val="18"/>
          <w:color w:val="auto"/>
        </w:rPr>
        <w:t xml:space="preserve"> </w:t>
      </w:r>
      <w:hyperlink r:id="rId131">
        <w:r>
          <w:rPr>
            <w:rFonts w:ascii="Arial" w:cs="Arial" w:eastAsia="Arial" w:hAnsi="Arial"/>
            <w:sz w:val="18"/>
            <w:szCs w:val="18"/>
            <w:u w:val="single" w:color="auto"/>
            <w:color w:val="0000EE"/>
          </w:rPr>
          <w:t>of the Company filed on May 16, 2017.</w:t>
        </w:r>
      </w:hyperlink>
    </w:p>
    <w:p>
      <w:pPr>
        <w:spacing w:after="0" w:line="170" w:lineRule="exact"/>
        <w:rPr>
          <w:sz w:val="20"/>
          <w:szCs w:val="20"/>
          <w:color w:val="auto"/>
        </w:rPr>
      </w:pPr>
    </w:p>
    <w:p>
      <w:pPr>
        <w:ind w:left="740" w:hanging="697"/>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 </w:t>
      </w:r>
      <w:hyperlink r:id="rId132">
        <w:r>
          <w:rPr>
            <w:rFonts w:ascii="Arial" w:cs="Arial" w:eastAsia="Arial" w:hAnsi="Arial"/>
            <w:sz w:val="18"/>
            <w:szCs w:val="18"/>
            <w:u w:val="single" w:color="auto"/>
            <w:color w:val="0000EE"/>
          </w:rPr>
          <w:t>Form of Restricted Stock Agreement for Celsion Corporation 2004 Stock Incentive Plan, incorporated herein by reference to Exhibit 10.1 to the</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EE"/>
          </w:rPr>
          <w:t>Quarterly Report on Form 10-Q of the Company for the quarter ended September 30, 2006.</w:t>
        </w:r>
      </w:hyperlink>
    </w:p>
    <w:p>
      <w:pPr>
        <w:spacing w:after="0" w:line="170" w:lineRule="exact"/>
        <w:rPr>
          <w:sz w:val="20"/>
          <w:szCs w:val="20"/>
          <w:color w:val="auto"/>
        </w:rPr>
      </w:pPr>
    </w:p>
    <w:p>
      <w:pPr>
        <w:ind w:left="740" w:hanging="697"/>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10.4*** </w:t>
      </w:r>
      <w:hyperlink r:id="rId133">
        <w:r>
          <w:rPr>
            <w:rFonts w:ascii="Arial" w:cs="Arial" w:eastAsia="Arial" w:hAnsi="Arial"/>
            <w:sz w:val="18"/>
            <w:szCs w:val="18"/>
            <w:u w:val="single" w:color="auto"/>
            <w:color w:val="0000EE"/>
          </w:rPr>
          <w:t>Form of Stock Option Grant Agreement for Celsion Corporation 2004 Stock Incentive Plan, incorporated herein by reference to Exhibit 10.2 to the</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EE"/>
          </w:rPr>
          <w:t>Quarterly Report on Form 10-Q of the Company for the quarter ended September 30, 2006.</w:t>
        </w:r>
      </w:hyperlink>
    </w:p>
    <w:p>
      <w:pPr>
        <w:spacing w:after="0" w:line="170" w:lineRule="exact"/>
        <w:rPr>
          <w:sz w:val="20"/>
          <w:szCs w:val="20"/>
          <w:color w:val="auto"/>
        </w:rPr>
      </w:pPr>
    </w:p>
    <w:p>
      <w:pPr>
        <w:ind w:left="740" w:hanging="697"/>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10.5*** </w:t>
      </w:r>
      <w:hyperlink r:id="rId134">
        <w:r>
          <w:rPr>
            <w:rFonts w:ascii="Arial" w:cs="Arial" w:eastAsia="Arial" w:hAnsi="Arial"/>
            <w:sz w:val="18"/>
            <w:szCs w:val="18"/>
            <w:u w:val="single" w:color="auto"/>
            <w:color w:val="0000EE"/>
          </w:rPr>
          <w:t>Form of Restricted Stock Agreement for Celsion Corporation 2007 Stock Incentive Plan, incorporated herein by reference to Exhibit 10.1.5 to the</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EE"/>
          </w:rPr>
          <w:t>Annual Report on Form 10-K of the Company for the year ended December 31, 2007.</w:t>
        </w:r>
      </w:hyperlink>
    </w:p>
    <w:p>
      <w:pPr>
        <w:spacing w:after="0" w:line="170" w:lineRule="exact"/>
        <w:rPr>
          <w:sz w:val="20"/>
          <w:szCs w:val="20"/>
          <w:color w:val="auto"/>
        </w:rPr>
      </w:pPr>
    </w:p>
    <w:p>
      <w:pPr>
        <w:ind w:left="740" w:hanging="697"/>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10.6*** </w:t>
      </w:r>
      <w:hyperlink r:id="rId135">
        <w:r>
          <w:rPr>
            <w:rFonts w:ascii="Arial" w:cs="Arial" w:eastAsia="Arial" w:hAnsi="Arial"/>
            <w:sz w:val="18"/>
            <w:szCs w:val="18"/>
            <w:u w:val="single" w:color="auto"/>
            <w:color w:val="0000EE"/>
          </w:rPr>
          <w:t>Form of Stock Option Grant Agreement for Celsion Corporation 2007 Stock Incentive Plan, incorporated herein by reference to Exhibit 10.1.6 to</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EE"/>
          </w:rPr>
          <w:t>the Annual Report on Form 10-K of the Company for the year ended December 31, 2007.</w:t>
        </w:r>
      </w:hyperlink>
    </w:p>
    <w:p>
      <w:pPr>
        <w:spacing w:after="0" w:line="170" w:lineRule="exact"/>
        <w:rPr>
          <w:sz w:val="20"/>
          <w:szCs w:val="20"/>
          <w:color w:val="auto"/>
        </w:rPr>
      </w:pPr>
    </w:p>
    <w:p>
      <w:pPr>
        <w:ind w:left="740" w:right="20" w:hanging="697"/>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10.7*** </w:t>
      </w:r>
      <w:hyperlink r:id="rId136">
        <w:r>
          <w:rPr>
            <w:rFonts w:ascii="Arial" w:cs="Arial" w:eastAsia="Arial" w:hAnsi="Arial"/>
            <w:sz w:val="18"/>
            <w:szCs w:val="18"/>
            <w:u w:val="single" w:color="auto"/>
            <w:color w:val="0000EE"/>
          </w:rPr>
          <w:t>Stock Option Agreement effective January 3, 2007, between Celsion Corporation and Michael H. Tardugno, incorporated herein by reference</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EE"/>
          </w:rPr>
          <w:t>Exhibit 10.1 to the Current Report on Form 8-K of the Company filed on January 3, 2007.</w:t>
        </w:r>
      </w:hyperlink>
    </w:p>
    <w:p>
      <w:pPr>
        <w:spacing w:after="0" w:line="170" w:lineRule="exact"/>
        <w:rPr>
          <w:sz w:val="20"/>
          <w:szCs w:val="20"/>
          <w:color w:val="auto"/>
        </w:rPr>
      </w:pPr>
    </w:p>
    <w:p>
      <w:pPr>
        <w:ind w:left="740" w:right="20" w:hanging="562"/>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37">
        <w:r>
          <w:rPr>
            <w:rFonts w:ascii="Arial" w:cs="Arial" w:eastAsia="Arial" w:hAnsi="Arial"/>
            <w:sz w:val="18"/>
            <w:szCs w:val="18"/>
            <w:u w:val="single" w:color="auto"/>
            <w:color w:val="0000EE"/>
          </w:rPr>
          <w:t>Form Inducement Offer to Exercise Common Stock Purchase Warrants, incorporated herein by reference to exhibit 10.3 to the Quarterly Report on</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Form 10-Q of the Company for the quarter ended September 30, 2017.</w:t>
        </w:r>
      </w:hyperlink>
    </w:p>
    <w:p>
      <w:pPr>
        <w:spacing w:after="0" w:line="170" w:lineRule="exact"/>
        <w:rPr>
          <w:sz w:val="20"/>
          <w:szCs w:val="20"/>
          <w:color w:val="auto"/>
        </w:rPr>
      </w:pPr>
    </w:p>
    <w:p>
      <w:pPr>
        <w:ind w:left="740" w:hanging="562"/>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8">
        <w:r>
          <w:rPr>
            <w:rFonts w:ascii="Arial" w:cs="Arial" w:eastAsia="Arial" w:hAnsi="Arial"/>
            <w:sz w:val="18"/>
            <w:szCs w:val="18"/>
            <w:u w:val="single" w:color="auto"/>
            <w:color w:val="0000EE"/>
          </w:rPr>
          <w:t>Form of Warrant Exercise Agreement, incorporated herein by reference to Exhibit 10.1 to the Current Report on Form 8-K of the Company filed</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on June 26, 2017.</w:t>
        </w:r>
      </w:hyperlink>
    </w:p>
    <w:p>
      <w:pPr>
        <w:spacing w:after="0" w:line="170" w:lineRule="exact"/>
        <w:rPr>
          <w:sz w:val="20"/>
          <w:szCs w:val="20"/>
          <w:color w:val="auto"/>
        </w:rPr>
      </w:pPr>
    </w:p>
    <w:p>
      <w:pPr>
        <w:ind w:left="740" w:hanging="607"/>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39">
        <w:r>
          <w:rPr>
            <w:rFonts w:ascii="Arial" w:cs="Arial" w:eastAsia="Arial" w:hAnsi="Arial"/>
            <w:sz w:val="18"/>
            <w:szCs w:val="18"/>
            <w:u w:val="single" w:color="auto"/>
            <w:color w:val="0000EE"/>
          </w:rPr>
          <w:t>Form of Warrant Exercise Agreement, incorporated herein by reference to Exhibit 10.1 to the Current Report on Form 8-K of the Company filed</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on June 23, 2017.</w:t>
        </w:r>
      </w:hyperlink>
    </w:p>
    <w:p>
      <w:pPr>
        <w:spacing w:after="0" w:line="170" w:lineRule="exact"/>
        <w:rPr>
          <w:sz w:val="20"/>
          <w:szCs w:val="20"/>
          <w:color w:val="auto"/>
        </w:rPr>
      </w:pPr>
    </w:p>
    <w:p>
      <w:pPr>
        <w:ind w:left="740" w:hanging="603"/>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40">
        <w:r>
          <w:rPr>
            <w:rFonts w:ascii="Arial" w:cs="Arial" w:eastAsia="Arial" w:hAnsi="Arial"/>
            <w:sz w:val="18"/>
            <w:szCs w:val="18"/>
            <w:u w:val="single" w:color="auto"/>
            <w:color w:val="0000EE"/>
          </w:rPr>
          <w:t>Form of Warrant Exercise Agreement, incorporated herein by reference to Exhibit 10.1 to the Current Report on Form 8-K of the Company filed</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on June 9, 2017.</w:t>
        </w:r>
      </w:hyperlink>
    </w:p>
    <w:p>
      <w:pPr>
        <w:spacing w:after="0" w:line="170" w:lineRule="exact"/>
        <w:rPr>
          <w:sz w:val="20"/>
          <w:szCs w:val="20"/>
          <w:color w:val="auto"/>
        </w:rPr>
      </w:pPr>
    </w:p>
    <w:p>
      <w:pPr>
        <w:ind w:left="740" w:hanging="742"/>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10.12*** </w:t>
      </w:r>
      <w:hyperlink r:id="rId141">
        <w:r>
          <w:rPr>
            <w:rFonts w:ascii="Arial" w:cs="Arial" w:eastAsia="Arial" w:hAnsi="Arial"/>
            <w:sz w:val="18"/>
            <w:szCs w:val="18"/>
            <w:u w:val="single" w:color="auto"/>
            <w:color w:val="0000EE"/>
          </w:rPr>
          <w:t>Amended and Restated Employment Agreement, effective March 30, 2016, between Celsion Corporation and Mr. Michael H. Tardugno,</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incorporated by reference to Exhibit 10.8 to the Annual Report on Form 10-K of the Company filed on March 30, 2016.</w:t>
        </w:r>
      </w:hyperlink>
    </w:p>
    <w:p>
      <w:pPr>
        <w:spacing w:after="0" w:line="170" w:lineRule="exact"/>
        <w:rPr>
          <w:sz w:val="20"/>
          <w:szCs w:val="20"/>
          <w:color w:val="auto"/>
        </w:rPr>
      </w:pPr>
    </w:p>
    <w:p>
      <w:pPr>
        <w:ind w:left="740" w:hanging="742"/>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10.13*** </w:t>
      </w:r>
      <w:hyperlink r:id="rId142">
        <w:r>
          <w:rPr>
            <w:rFonts w:ascii="Arial" w:cs="Arial" w:eastAsia="Arial" w:hAnsi="Arial"/>
            <w:sz w:val="18"/>
            <w:szCs w:val="18"/>
            <w:u w:val="single" w:color="auto"/>
            <w:color w:val="0000EE"/>
          </w:rPr>
          <w:t>Employment Offer Letter, entered into on June 15, 2010, between the Company and Jeffrey W. Church, incorporated herein by reference to</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EE"/>
          </w:rPr>
          <w:t>Exhibit 10.1 to the Current Report on Form 8-K of the Company filed on June 18, 2010.</w:t>
        </w:r>
      </w:hyperlink>
    </w:p>
    <w:p>
      <w:pPr>
        <w:spacing w:after="0" w:line="170" w:lineRule="exact"/>
        <w:rPr>
          <w:sz w:val="20"/>
          <w:szCs w:val="20"/>
          <w:color w:val="auto"/>
        </w:rPr>
      </w:pPr>
    </w:p>
    <w:p>
      <w:pPr>
        <w:ind w:left="740" w:hanging="652"/>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43">
        <w:r>
          <w:rPr>
            <w:rFonts w:ascii="Arial" w:cs="Arial" w:eastAsia="Arial" w:hAnsi="Arial"/>
            <w:sz w:val="18"/>
            <w:szCs w:val="18"/>
            <w:u w:val="single" w:color="auto"/>
            <w:color w:val="0000EE"/>
          </w:rPr>
          <w:t>Patent License Agreement between the Company and Duke University dated November 10, 1999, incorporated herein by reference to Exhibit 10.9</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to the Annual Report on Form 10-K of the Company for the year ended September 30, 1999.</w:t>
        </w:r>
      </w:hyperlink>
    </w:p>
    <w:p>
      <w:pPr>
        <w:spacing w:after="0" w:line="170" w:lineRule="exact"/>
        <w:rPr>
          <w:sz w:val="20"/>
          <w:szCs w:val="20"/>
          <w:color w:val="auto"/>
        </w:rPr>
      </w:pPr>
    </w:p>
    <w:p>
      <w:pPr>
        <w:ind w:left="740" w:hanging="652"/>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44">
        <w:r>
          <w:rPr>
            <w:rFonts w:ascii="Arial" w:cs="Arial" w:eastAsia="Arial" w:hAnsi="Arial"/>
            <w:sz w:val="18"/>
            <w:szCs w:val="18"/>
            <w:u w:val="single" w:color="auto"/>
            <w:color w:val="0000EE"/>
          </w:rPr>
          <w:t>License Agreement dated July 18, 2003, between the Company and Duke University, incorporated herein by reference to Exhibit 10.1 to the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Registration Statement on Form S-3 (File No. 333-108318) filed on August 28, 2003.</w:t>
        </w:r>
      </w:hyperlink>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584" w:right="239" w:bottom="1440" w:gutter="0" w:footer="0" w:header="0"/>
        </w:sectPr>
      </w:pPr>
    </w:p>
    <w:bookmarkStart w:id="63" w:name="page64"/>
    <w:bookmarkEnd w:id="63"/>
    <w:p>
      <w:pPr>
        <w:jc w:val="both"/>
        <w:ind w:left="740" w:hanging="652"/>
        <w:spacing w:after="0" w:line="264"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46">
        <w:r>
          <w:rPr>
            <w:rFonts w:ascii="Arial" w:cs="Arial" w:eastAsia="Arial" w:hAnsi="Arial"/>
            <w:sz w:val="18"/>
            <w:szCs w:val="18"/>
            <w:u w:val="single" w:color="auto"/>
            <w:color w:val="0000EE"/>
          </w:rPr>
          <w:t>Development, Product Supply and Commercialization Agreement, effective December 5, 2008, by and between the Company and Yakult Honsha</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Co., Ltd., incorporated herein by reference to Exhibit 10.15 to the Annual Report on Form 10-K of the Company for the year ended December 31,</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2008.</w:t>
        </w:r>
      </w:hyperlink>
    </w:p>
    <w:p>
      <w:pPr>
        <w:spacing w:after="0" w:line="181" w:lineRule="exact"/>
        <w:rPr>
          <w:rFonts w:ascii="Arial" w:cs="Arial" w:eastAsia="Arial" w:hAnsi="Arial"/>
          <w:sz w:val="18"/>
          <w:szCs w:val="18"/>
          <w:u w:val="single" w:color="auto"/>
          <w:color w:val="0000EE"/>
        </w:rPr>
      </w:pPr>
    </w:p>
    <w:p>
      <w:pPr>
        <w:ind w:left="740" w:right="140" w:hanging="652"/>
        <w:spacing w:after="0" w:line="264"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47">
        <w:r>
          <w:rPr>
            <w:rFonts w:ascii="Arial" w:cs="Arial" w:eastAsia="Arial" w:hAnsi="Arial"/>
            <w:sz w:val="18"/>
            <w:szCs w:val="18"/>
            <w:u w:val="single" w:color="auto"/>
            <w:color w:val="0000EE"/>
          </w:rPr>
          <w:t>The 2nd Amendment To The Development, Product Supply And Commercialization Agreement, effective January 7, 2011, by and between the</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Company and Yakult Honsha Co., Ltd. incorporated herein by reference to Exhibit 10.1 to the Current Report on Form 8-K of the Company filed</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on January 18, 2011.</w:t>
        </w:r>
      </w:hyperlink>
    </w:p>
    <w:p>
      <w:pPr>
        <w:spacing w:after="0" w:line="181" w:lineRule="exact"/>
        <w:rPr>
          <w:rFonts w:ascii="Arial" w:cs="Arial" w:eastAsia="Arial" w:hAnsi="Arial"/>
          <w:sz w:val="18"/>
          <w:szCs w:val="18"/>
          <w:u w:val="single" w:color="auto"/>
          <w:color w:val="0000EE"/>
        </w:rPr>
      </w:pPr>
    </w:p>
    <w:p>
      <w:pPr>
        <w:ind w:left="740" w:right="140" w:hanging="607"/>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48">
        <w:r>
          <w:rPr>
            <w:rFonts w:ascii="Arial" w:cs="Arial" w:eastAsia="Arial" w:hAnsi="Arial"/>
            <w:sz w:val="18"/>
            <w:szCs w:val="18"/>
            <w:u w:val="single" w:color="auto"/>
            <w:color w:val="0000EE"/>
          </w:rPr>
          <w:t>Lease Agreement, executed July 21, 2011, by and between Celsion Corporation and Brandywine Operating Partnership, L.P., incorporated herein</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by reference to Exhibit 10.1 to the Current Report on Form 8-K of the Company filed on July 25, 2011.</w:t>
        </w:r>
      </w:hyperlink>
    </w:p>
    <w:p>
      <w:pPr>
        <w:spacing w:after="0" w:line="170" w:lineRule="exact"/>
        <w:rPr>
          <w:sz w:val="20"/>
          <w:szCs w:val="20"/>
          <w:color w:val="auto"/>
        </w:rPr>
      </w:pPr>
    </w:p>
    <w:p>
      <w:pPr>
        <w:ind w:left="740" w:right="660" w:hanging="607"/>
        <w:spacing w:after="0" w:line="342" w:lineRule="auto"/>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49">
        <w:r>
          <w:rPr>
            <w:rFonts w:ascii="Arial" w:cs="Arial" w:eastAsia="Arial" w:hAnsi="Arial"/>
            <w:sz w:val="16"/>
            <w:szCs w:val="16"/>
            <w:u w:val="single" w:color="auto"/>
            <w:color w:val="0000EE"/>
          </w:rPr>
          <w:t>First Amendment to Lease Agreement, executed April 20, 2017, by and between Celsion Corporation and Lenox Drive Office Park, LLC,</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incorporated herein by reference to Exhibit 10.1 to the Current Report on Form 10-Q of the Company filed on November 14, 2017.</w:t>
        </w:r>
      </w:hyperlink>
    </w:p>
    <w:p>
      <w:pPr>
        <w:spacing w:after="0" w:line="124" w:lineRule="exact"/>
        <w:rPr>
          <w:sz w:val="20"/>
          <w:szCs w:val="20"/>
          <w:color w:val="auto"/>
        </w:rPr>
      </w:pPr>
    </w:p>
    <w:p>
      <w:pPr>
        <w:ind w:left="80"/>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50">
        <w:r>
          <w:rPr>
            <w:rFonts w:ascii="Arial" w:cs="Arial" w:eastAsia="Arial" w:hAnsi="Arial"/>
            <w:sz w:val="16"/>
            <w:szCs w:val="16"/>
            <w:u w:val="single" w:color="auto"/>
            <w:color w:val="0000EE"/>
          </w:rPr>
          <w:t>Technology Development Agreement effective as of May 7, 2012, by and between Celsion Corporation and Zhejiang Hisun Pharmaceutical Co.</w:t>
        </w:r>
      </w:hyperlink>
    </w:p>
    <w:p>
      <w:pPr>
        <w:spacing w:after="0" w:line="23" w:lineRule="exact"/>
        <w:rPr>
          <w:sz w:val="20"/>
          <w:szCs w:val="20"/>
          <w:color w:val="auto"/>
        </w:rPr>
      </w:pPr>
    </w:p>
    <w:p>
      <w:pPr>
        <w:ind w:left="740"/>
        <w:spacing w:after="0"/>
        <w:rPr>
          <w:rFonts w:ascii="Arial" w:cs="Arial" w:eastAsia="Arial" w:hAnsi="Arial"/>
          <w:sz w:val="16"/>
          <w:szCs w:val="16"/>
          <w:u w:val="single" w:color="auto"/>
          <w:color w:val="0000EE"/>
        </w:rPr>
      </w:pPr>
      <w:hyperlink r:id="rId150">
        <w:r>
          <w:rPr>
            <w:rFonts w:ascii="Arial" w:cs="Arial" w:eastAsia="Arial" w:hAnsi="Arial"/>
            <w:sz w:val="16"/>
            <w:szCs w:val="16"/>
            <w:u w:val="single" w:color="auto"/>
            <w:color w:val="0000EE"/>
          </w:rPr>
          <w:t>Ltd., incorporated herein by reference to Exhibit 10.2 to the Quarterly Report on Form 10-Q of the Company for the quarter ended June 30, 2012.</w:t>
        </w:r>
      </w:hyperlink>
    </w:p>
    <w:p>
      <w:pPr>
        <w:spacing w:after="0" w:line="234" w:lineRule="exact"/>
        <w:rPr>
          <w:sz w:val="20"/>
          <w:szCs w:val="20"/>
          <w:color w:val="auto"/>
        </w:rPr>
      </w:pPr>
    </w:p>
    <w:p>
      <w:pPr>
        <w:jc w:val="both"/>
        <w:ind w:left="740" w:right="100" w:hanging="607"/>
        <w:spacing w:after="0" w:line="264"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51">
        <w:r>
          <w:rPr>
            <w:rFonts w:ascii="Arial" w:cs="Arial" w:eastAsia="Arial" w:hAnsi="Arial"/>
            <w:sz w:val="18"/>
            <w:szCs w:val="18"/>
            <w:u w:val="single" w:color="auto"/>
            <w:color w:val="0000EE"/>
          </w:rPr>
          <w:t>Loan and Security Agreement, dated June 27, 2012, by and among Celsion Corporation, Oxford Finance LLC, as collateral agent, and the lenders</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named therein, incorporated herein by reference to Exhibit 10.3 to the Quarterly Report on Form 10-Q of the Company for the quarter ended June</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30, 2012.</w:t>
        </w:r>
      </w:hyperlink>
    </w:p>
    <w:p>
      <w:pPr>
        <w:spacing w:after="0" w:line="181" w:lineRule="exact"/>
        <w:rPr>
          <w:rFonts w:ascii="Arial" w:cs="Arial" w:eastAsia="Arial" w:hAnsi="Arial"/>
          <w:sz w:val="18"/>
          <w:szCs w:val="18"/>
          <w:u w:val="single" w:color="auto"/>
          <w:color w:val="0000EE"/>
        </w:rPr>
      </w:pPr>
    </w:p>
    <w:p>
      <w:pPr>
        <w:ind w:left="740" w:right="520" w:hanging="607"/>
        <w:spacing w:after="0" w:line="224" w:lineRule="auto"/>
        <w:tabs>
          <w:tab w:leader="none" w:pos="720" w:val="left"/>
        </w:tabs>
        <w:rPr>
          <w:rFonts w:ascii="Arial" w:cs="Arial" w:eastAsia="Arial" w:hAnsi="Arial"/>
          <w:sz w:val="17"/>
          <w:szCs w:val="17"/>
          <w:u w:val="single" w:color="auto"/>
          <w:color w:val="0000EE"/>
        </w:rPr>
      </w:pPr>
      <w:hyperlink r:id="rId152"/>
      <w:r>
        <w:rPr>
          <w:rFonts w:ascii="Arial" w:cs="Arial" w:eastAsia="Arial" w:hAnsi="Arial"/>
          <w:sz w:val="36"/>
          <w:szCs w:val="36"/>
          <w:color w:val="000000"/>
          <w:vertAlign w:val="superscript"/>
        </w:rPr>
        <w:t>10.22</w:t>
      </w:r>
      <w:r>
        <w:rPr>
          <w:rFonts w:ascii="Arial" w:cs="Arial" w:eastAsia="Arial" w:hAnsi="Arial"/>
          <w:sz w:val="18"/>
          <w:szCs w:val="18"/>
          <w:color w:val="0000EE"/>
        </w:rPr>
        <w:tab/>
      </w:r>
      <w:hyperlink r:id="rId152">
        <w:r>
          <w:rPr>
            <w:rFonts w:ascii="Arial" w:cs="Arial" w:eastAsia="Arial" w:hAnsi="Arial"/>
            <w:sz w:val="17"/>
            <w:szCs w:val="17"/>
            <w:u w:val="single" w:color="auto"/>
            <w:color w:val="0000EE"/>
          </w:rPr>
          <w:t>Controlled Equity Offering</w:t>
        </w:r>
        <w:r>
          <w:rPr>
            <w:rFonts w:ascii="Arial" w:cs="Arial" w:eastAsia="Arial" w:hAnsi="Arial"/>
            <w:sz w:val="28"/>
            <w:szCs w:val="28"/>
            <w:u w:val="single" w:color="auto"/>
            <w:color w:val="0000EE"/>
            <w:vertAlign w:val="superscript"/>
          </w:rPr>
          <w:t>SM</w:t>
        </w:r>
        <w:r>
          <w:rPr>
            <w:rFonts w:ascii="Arial" w:cs="Arial" w:eastAsia="Arial" w:hAnsi="Arial"/>
            <w:sz w:val="17"/>
            <w:szCs w:val="17"/>
            <w:u w:val="single" w:color="auto"/>
            <w:color w:val="0000EE"/>
          </w:rPr>
          <w:t xml:space="preserve"> Sales Agreement, dated February 1, 2013, by and between Celsion Corporation and Cantor Fitzgerald &amp; Co.,</w:t>
        </w:r>
      </w:hyperlink>
      <w:r>
        <w:rPr>
          <w:rFonts w:ascii="Arial" w:cs="Arial" w:eastAsia="Arial" w:hAnsi="Arial"/>
          <w:sz w:val="17"/>
          <w:szCs w:val="17"/>
          <w:u w:val="single" w:color="auto"/>
          <w:color w:val="0000EE"/>
        </w:rPr>
        <w:t xml:space="preserve"> </w:t>
      </w:r>
      <w:hyperlink r:id="rId152">
        <w:r>
          <w:rPr>
            <w:rFonts w:ascii="Arial" w:cs="Arial" w:eastAsia="Arial" w:hAnsi="Arial"/>
            <w:sz w:val="17"/>
            <w:szCs w:val="17"/>
            <w:u w:val="single" w:color="auto"/>
            <w:color w:val="0000EE"/>
          </w:rPr>
          <w:t>incorporated herein by reference to Exhibit 10.1 to the Current Report on Form 8-K of the Company filed on February 1, 2013.</w:t>
        </w:r>
      </w:hyperlink>
    </w:p>
    <w:p>
      <w:pPr>
        <w:spacing w:after="0" w:line="206" w:lineRule="exact"/>
        <w:rPr>
          <w:rFonts w:ascii="Arial" w:cs="Arial" w:eastAsia="Arial" w:hAnsi="Arial"/>
          <w:sz w:val="18"/>
          <w:szCs w:val="18"/>
          <w:color w:val="0000EE"/>
        </w:rPr>
      </w:pPr>
    </w:p>
    <w:p>
      <w:pPr>
        <w:ind w:left="740" w:right="420" w:hanging="607"/>
        <w:spacing w:after="0" w:line="308" w:lineRule="auto"/>
        <w:tabs>
          <w:tab w:leader="none" w:pos="720" w:val="left"/>
        </w:tabs>
        <w:rPr>
          <w:rFonts w:ascii="Arial" w:cs="Arial" w:eastAsia="Arial" w:hAnsi="Arial"/>
          <w:sz w:val="17"/>
          <w:szCs w:val="17"/>
          <w:u w:val="single" w:color="auto"/>
          <w:color w:val="0000EE"/>
        </w:rPr>
      </w:pPr>
      <w:r>
        <w:rPr>
          <w:rFonts w:ascii="Arial" w:cs="Arial" w:eastAsia="Arial" w:hAnsi="Arial"/>
          <w:sz w:val="18"/>
          <w:szCs w:val="18"/>
          <w:color w:val="auto"/>
        </w:rPr>
        <w:t>10.23</w:t>
      </w:r>
      <w:r>
        <w:rPr>
          <w:sz w:val="20"/>
          <w:szCs w:val="20"/>
          <w:color w:val="auto"/>
        </w:rPr>
        <w:tab/>
      </w:r>
      <w:hyperlink r:id="rId153">
        <w:r>
          <w:rPr>
            <w:rFonts w:ascii="Arial" w:cs="Arial" w:eastAsia="Arial" w:hAnsi="Arial"/>
            <w:sz w:val="17"/>
            <w:szCs w:val="17"/>
            <w:u w:val="single" w:color="auto"/>
            <w:color w:val="0000EE"/>
          </w:rPr>
          <w:t>Securities Purchase Agreement, dated February 22, 2013, by and among Celsion Corporation and the purchasers named therein, incorporated</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herein by reference to Exhibit 10.1 to the Current Report on Form 8-K of the Company filed on February 26, 2013.</w:t>
        </w:r>
      </w:hyperlink>
    </w:p>
    <w:p>
      <w:pPr>
        <w:spacing w:after="0" w:line="147" w:lineRule="exact"/>
        <w:rPr>
          <w:sz w:val="20"/>
          <w:szCs w:val="20"/>
          <w:color w:val="auto"/>
        </w:rPr>
      </w:pPr>
    </w:p>
    <w:p>
      <w:pPr>
        <w:ind w:left="740" w:right="320" w:hanging="652"/>
        <w:spacing w:after="0" w:line="264"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54">
        <w:r>
          <w:rPr>
            <w:rFonts w:ascii="Arial" w:cs="Arial" w:eastAsia="Arial" w:hAnsi="Arial"/>
            <w:sz w:val="18"/>
            <w:szCs w:val="18"/>
            <w:u w:val="single" w:color="auto"/>
            <w:color w:val="0000EE"/>
          </w:rPr>
          <w:t>Technology Development Contract dated as of January 18, 2013, by and between Celsion Corporation and Zhejiang Hisun Pharmaceutical Co.</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Ltd., incorporated herein by reference to Exhibit 10.1 to the Quarterly Report on Form 10-Q of the Company for the quarter ended March 31,</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2013.</w:t>
        </w:r>
      </w:hyperlink>
    </w:p>
    <w:p>
      <w:pPr>
        <w:spacing w:after="0" w:line="181" w:lineRule="exact"/>
        <w:rPr>
          <w:rFonts w:ascii="Arial" w:cs="Arial" w:eastAsia="Arial" w:hAnsi="Arial"/>
          <w:sz w:val="18"/>
          <w:szCs w:val="18"/>
          <w:u w:val="single" w:color="auto"/>
          <w:color w:val="0000EE"/>
        </w:rPr>
      </w:pPr>
    </w:p>
    <w:p>
      <w:pPr>
        <w:ind w:left="740" w:right="320" w:hanging="607"/>
        <w:spacing w:after="0" w:line="264"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55">
        <w:r>
          <w:rPr>
            <w:rFonts w:ascii="Arial" w:cs="Arial" w:eastAsia="Arial" w:hAnsi="Arial"/>
            <w:sz w:val="18"/>
            <w:szCs w:val="18"/>
            <w:u w:val="single" w:color="auto"/>
            <w:color w:val="0000EE"/>
          </w:rPr>
          <w:t>Loan and Security Agreement dated as of November 25, 2013, by and between Celsion Corporation and Hercules Technology Growth Capital,</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Inc., incorporated herein by reference to Exhibit 10.28 to the Annual Report on Form 10-K of the Company for the year ended December 31,</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2013.</w:t>
        </w:r>
      </w:hyperlink>
    </w:p>
    <w:p>
      <w:pPr>
        <w:spacing w:after="0" w:line="181" w:lineRule="exact"/>
        <w:rPr>
          <w:rFonts w:ascii="Arial" w:cs="Arial" w:eastAsia="Arial" w:hAnsi="Arial"/>
          <w:sz w:val="18"/>
          <w:szCs w:val="18"/>
          <w:u w:val="single" w:color="auto"/>
          <w:color w:val="0000EE"/>
        </w:rPr>
      </w:pPr>
    </w:p>
    <w:p>
      <w:pPr>
        <w:ind w:left="740" w:right="60" w:hanging="607"/>
        <w:spacing w:after="0" w:line="308" w:lineRule="auto"/>
        <w:tabs>
          <w:tab w:leader="none" w:pos="72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156">
        <w:r>
          <w:rPr>
            <w:rFonts w:ascii="Arial" w:cs="Arial" w:eastAsia="Arial" w:hAnsi="Arial"/>
            <w:sz w:val="17"/>
            <w:szCs w:val="17"/>
            <w:u w:val="single" w:color="auto"/>
            <w:color w:val="0000EE"/>
          </w:rPr>
          <w:t>Securities Purchase Agreement dated as of January 15, 2014, by and between Celsion Corporation and the purchasers named therein, incorporated</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herein by reference to Exhibit 10.1 to the Current Report on Form 8-K of the Company filed on January 21, 2014.</w:t>
        </w:r>
      </w:hyperlink>
    </w:p>
    <w:p>
      <w:pPr>
        <w:spacing w:after="0" w:line="147"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10.27*** </w:t>
      </w:r>
      <w:hyperlink r:id="rId157">
        <w:r>
          <w:rPr>
            <w:rFonts w:ascii="Arial" w:cs="Arial" w:eastAsia="Arial" w:hAnsi="Arial"/>
            <w:sz w:val="16"/>
            <w:szCs w:val="16"/>
            <w:u w:val="single" w:color="auto"/>
            <w:color w:val="0000EE"/>
          </w:rPr>
          <w:t>Employment Offer Letter effective as of June 2, 2014, between the Company and Khursheed Anwer incorporated herein by reference to Exhibit</w:t>
        </w:r>
      </w:hyperlink>
    </w:p>
    <w:p>
      <w:pPr>
        <w:spacing w:after="0" w:line="46" w:lineRule="exact"/>
        <w:rPr>
          <w:sz w:val="20"/>
          <w:szCs w:val="20"/>
          <w:color w:val="auto"/>
        </w:rPr>
      </w:pPr>
    </w:p>
    <w:p>
      <w:pPr>
        <w:ind w:left="740"/>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10.27 to the Annual Report on Form 10-K of the Company for the year ended December 31, 2014.</w:t>
        </w:r>
      </w:hyperlink>
    </w:p>
    <w:p>
      <w:pPr>
        <w:spacing w:after="0" w:line="211" w:lineRule="exact"/>
        <w:rPr>
          <w:sz w:val="20"/>
          <w:szCs w:val="20"/>
          <w:color w:val="auto"/>
        </w:rPr>
      </w:pPr>
    </w:p>
    <w:p>
      <w:pPr>
        <w:ind w:left="740" w:right="380" w:hanging="652"/>
        <w:spacing w:after="0" w:line="277"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58">
        <w:r>
          <w:rPr>
            <w:rFonts w:ascii="Arial" w:cs="Arial" w:eastAsia="Arial" w:hAnsi="Arial"/>
            <w:sz w:val="18"/>
            <w:szCs w:val="18"/>
            <w:u w:val="single" w:color="auto"/>
            <w:color w:val="0000EE"/>
          </w:rPr>
          <w:t>Early Access Agreement dated as of January 13, 2015, by and between the Company and Impatients N.V., incorporated herein by reference to</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Exhibit 10.1 to the Quarterly Report on Form 10-Q/A of the Company for the quarter ended March 31, 2015.</w:t>
        </w:r>
      </w:hyperlink>
    </w:p>
    <w:p>
      <w:pPr>
        <w:spacing w:after="0" w:line="170" w:lineRule="exact"/>
        <w:rPr>
          <w:sz w:val="20"/>
          <w:szCs w:val="20"/>
          <w:color w:val="auto"/>
        </w:rPr>
      </w:pPr>
    </w:p>
    <w:p>
      <w:pPr>
        <w:ind w:left="740" w:right="400" w:hanging="607"/>
        <w:spacing w:after="0" w:line="308" w:lineRule="auto"/>
        <w:tabs>
          <w:tab w:leader="none" w:pos="720" w:val="left"/>
        </w:tabs>
        <w:rPr>
          <w:rFonts w:ascii="Arial" w:cs="Arial" w:eastAsia="Arial" w:hAnsi="Arial"/>
          <w:sz w:val="17"/>
          <w:szCs w:val="17"/>
          <w:u w:val="single" w:color="auto"/>
          <w:color w:val="0000EE"/>
        </w:rPr>
      </w:pPr>
      <w:r>
        <w:rPr>
          <w:rFonts w:ascii="Arial" w:cs="Arial" w:eastAsia="Arial" w:hAnsi="Arial"/>
          <w:sz w:val="18"/>
          <w:szCs w:val="18"/>
          <w:color w:val="auto"/>
        </w:rPr>
        <w:t>10.29</w:t>
      </w:r>
      <w:r>
        <w:rPr>
          <w:sz w:val="20"/>
          <w:szCs w:val="20"/>
          <w:color w:val="auto"/>
        </w:rPr>
        <w:tab/>
      </w:r>
      <w:hyperlink r:id="rId159">
        <w:r>
          <w:rPr>
            <w:rFonts w:ascii="Arial" w:cs="Arial" w:eastAsia="Arial" w:hAnsi="Arial"/>
            <w:sz w:val="17"/>
            <w:szCs w:val="17"/>
            <w:u w:val="single" w:color="auto"/>
            <w:color w:val="0000EE"/>
          </w:rPr>
          <w:t>Securities Purchase Agreement dated as of May 27, 2015, by and among Celsion Corporation and the purchasers named therein, incorporated</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herein by reference to Exhibit 10.1 to the Current Report on Form 8-K of the Company filed on May 29, 2015.</w:t>
        </w:r>
      </w:hyperlink>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584" w:right="239" w:bottom="1440" w:gutter="0" w:footer="0" w:header="0"/>
        </w:sectPr>
      </w:pPr>
    </w:p>
    <w:bookmarkStart w:id="64" w:name="page65"/>
    <w:bookmarkEnd w:id="64"/>
    <w:p>
      <w:pPr>
        <w:ind w:left="820" w:right="400" w:hanging="607"/>
        <w:spacing w:after="0" w:line="308" w:lineRule="auto"/>
        <w:tabs>
          <w:tab w:leader="none" w:pos="800" w:val="left"/>
        </w:tabs>
        <w:rPr>
          <w:rFonts w:ascii="Arial" w:cs="Arial" w:eastAsia="Arial" w:hAnsi="Arial"/>
          <w:sz w:val="17"/>
          <w:szCs w:val="17"/>
          <w:u w:val="single" w:color="auto"/>
          <w:color w:val="0000EE"/>
        </w:rPr>
      </w:pPr>
      <w:r>
        <w:rPr>
          <w:rFonts w:ascii="Arial" w:cs="Arial" w:eastAsia="Arial" w:hAnsi="Arial"/>
          <w:sz w:val="18"/>
          <w:szCs w:val="18"/>
          <w:color w:val="auto"/>
        </w:rPr>
        <w:t>10.30</w:t>
      </w:r>
      <w:r>
        <w:rPr>
          <w:sz w:val="20"/>
          <w:szCs w:val="20"/>
          <w:color w:val="auto"/>
        </w:rPr>
        <w:tab/>
      </w:r>
      <w:hyperlink r:id="rId161">
        <w:r>
          <w:rPr>
            <w:rFonts w:ascii="Arial" w:cs="Arial" w:eastAsia="Arial" w:hAnsi="Arial"/>
            <w:sz w:val="17"/>
            <w:szCs w:val="17"/>
            <w:u w:val="single" w:color="auto"/>
            <w:color w:val="0000EE"/>
          </w:rPr>
          <w:t>Securities Purchase Agreement dated as of June 13, 2016, by and among Celsion Corporation and the purchasers named therein, incorporated</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herein by reference to Exhibit 10.1 to the Current Report on Form 8-K of the Company filed on June 17, 2016.</w:t>
        </w:r>
      </w:hyperlink>
    </w:p>
    <w:p>
      <w:pPr>
        <w:spacing w:after="0" w:line="147" w:lineRule="exact"/>
        <w:rPr>
          <w:sz w:val="20"/>
          <w:szCs w:val="20"/>
          <w:color w:val="auto"/>
        </w:rPr>
      </w:pPr>
    </w:p>
    <w:p>
      <w:pPr>
        <w:ind w:left="820" w:right="60" w:hanging="742"/>
        <w:spacing w:after="0" w:line="34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10.31*** </w:t>
      </w:r>
      <w:hyperlink r:id="rId162">
        <w:r>
          <w:rPr>
            <w:rFonts w:ascii="Arial" w:cs="Arial" w:eastAsia="Arial" w:hAnsi="Arial"/>
            <w:sz w:val="16"/>
            <w:szCs w:val="16"/>
            <w:u w:val="single" w:color="auto"/>
            <w:color w:val="0000EE"/>
          </w:rPr>
          <w:t>Amended and Restated Change in Control Agreement dated as of September 6, 2016, by and between the Company and Michael H. Tardugno,</w:t>
        </w:r>
      </w:hyperlink>
      <w:r>
        <w:rPr>
          <w:rFonts w:ascii="Arial" w:cs="Arial" w:eastAsia="Arial" w:hAnsi="Arial"/>
          <w:sz w:val="16"/>
          <w:szCs w:val="16"/>
          <w:color w:val="auto"/>
        </w:rPr>
        <w:t xml:space="preserve"> </w:t>
      </w:r>
      <w:hyperlink r:id="rId162">
        <w:r>
          <w:rPr>
            <w:rFonts w:ascii="Arial" w:cs="Arial" w:eastAsia="Arial" w:hAnsi="Arial"/>
            <w:sz w:val="16"/>
            <w:szCs w:val="16"/>
            <w:u w:val="single" w:color="auto"/>
            <w:color w:val="0000EE"/>
          </w:rPr>
          <w:t>incorporated herein by reference to Exhibit 10.1 to the Quarterly Report on Form 10-Q of the Company for the quarter ended September 30, 2016.</w:t>
        </w:r>
      </w:hyperlink>
    </w:p>
    <w:p>
      <w:pPr>
        <w:spacing w:after="0" w:line="124" w:lineRule="exact"/>
        <w:rPr>
          <w:sz w:val="20"/>
          <w:szCs w:val="20"/>
          <w:color w:val="auto"/>
        </w:rPr>
      </w:pPr>
    </w:p>
    <w:p>
      <w:pPr>
        <w:ind w:left="820" w:right="60" w:hanging="742"/>
        <w:spacing w:after="0" w:line="34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10.32*** </w:t>
      </w:r>
      <w:hyperlink r:id="rId163">
        <w:r>
          <w:rPr>
            <w:rFonts w:ascii="Arial" w:cs="Arial" w:eastAsia="Arial" w:hAnsi="Arial"/>
            <w:sz w:val="16"/>
            <w:szCs w:val="16"/>
            <w:u w:val="single" w:color="auto"/>
            <w:color w:val="0000EE"/>
          </w:rPr>
          <w:t>Amended and Restated Change in Control Agreement dated as of September 6, 2016, by and between the Company and Nicholas Borys, M.D.,</w:t>
        </w:r>
      </w:hyperlink>
      <w:r>
        <w:rPr>
          <w:rFonts w:ascii="Arial" w:cs="Arial" w:eastAsia="Arial" w:hAnsi="Arial"/>
          <w:sz w:val="16"/>
          <w:szCs w:val="16"/>
          <w:color w:val="auto"/>
        </w:rPr>
        <w:t xml:space="preserve"> </w:t>
      </w:r>
      <w:hyperlink r:id="rId163">
        <w:r>
          <w:rPr>
            <w:rFonts w:ascii="Arial" w:cs="Arial" w:eastAsia="Arial" w:hAnsi="Arial"/>
            <w:sz w:val="16"/>
            <w:szCs w:val="16"/>
            <w:u w:val="single" w:color="auto"/>
            <w:color w:val="0000EE"/>
          </w:rPr>
          <w:t>incorporated herein by reference to Exhibit 10.2 to the Quarterly Report on Form 10-Q of the Company for the quarter ended September 30, 2016.</w:t>
        </w:r>
      </w:hyperlink>
    </w:p>
    <w:p>
      <w:pPr>
        <w:spacing w:after="0" w:line="124" w:lineRule="exact"/>
        <w:rPr>
          <w:sz w:val="20"/>
          <w:szCs w:val="20"/>
          <w:color w:val="auto"/>
        </w:rPr>
      </w:pPr>
    </w:p>
    <w:p>
      <w:pPr>
        <w:ind w:left="820" w:right="60" w:hanging="742"/>
        <w:spacing w:after="0" w:line="34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10.33*** </w:t>
      </w:r>
      <w:hyperlink r:id="rId164">
        <w:r>
          <w:rPr>
            <w:rFonts w:ascii="Arial" w:cs="Arial" w:eastAsia="Arial" w:hAnsi="Arial"/>
            <w:sz w:val="16"/>
            <w:szCs w:val="16"/>
            <w:u w:val="single" w:color="auto"/>
            <w:color w:val="0000EE"/>
          </w:rPr>
          <w:t>Amended and Restated Change in Control Agreement dated as of September 6, 2016, by and between the Company and Jeffrey W. Church,</w:t>
        </w:r>
      </w:hyperlink>
      <w:r>
        <w:rPr>
          <w:rFonts w:ascii="Arial" w:cs="Arial" w:eastAsia="Arial" w:hAnsi="Arial"/>
          <w:sz w:val="16"/>
          <w:szCs w:val="16"/>
          <w:color w:val="auto"/>
        </w:rPr>
        <w:t xml:space="preserve"> </w:t>
      </w:r>
      <w:hyperlink r:id="rId164">
        <w:r>
          <w:rPr>
            <w:rFonts w:ascii="Arial" w:cs="Arial" w:eastAsia="Arial" w:hAnsi="Arial"/>
            <w:sz w:val="16"/>
            <w:szCs w:val="16"/>
            <w:u w:val="single" w:color="auto"/>
            <w:color w:val="0000EE"/>
          </w:rPr>
          <w:t>incorporated herein by reference to Exhibit 10.3 to the Quarterly Report on Form 10-Q of the Company for the quarter ended September 30, 2016.</w:t>
        </w:r>
      </w:hyperlink>
    </w:p>
    <w:p>
      <w:pPr>
        <w:spacing w:after="0" w:line="124" w:lineRule="exact"/>
        <w:rPr>
          <w:sz w:val="20"/>
          <w:szCs w:val="20"/>
          <w:color w:val="auto"/>
        </w:rPr>
      </w:pPr>
    </w:p>
    <w:p>
      <w:pPr>
        <w:ind w:left="820" w:right="60" w:hanging="742"/>
        <w:spacing w:after="0" w:line="34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10.34*** </w:t>
      </w:r>
      <w:hyperlink r:id="rId165">
        <w:r>
          <w:rPr>
            <w:rFonts w:ascii="Arial" w:cs="Arial" w:eastAsia="Arial" w:hAnsi="Arial"/>
            <w:sz w:val="16"/>
            <w:szCs w:val="16"/>
            <w:u w:val="single" w:color="auto"/>
            <w:color w:val="0000EE"/>
          </w:rPr>
          <w:t>Amended and Restated Change in Control Agreement dated as of September 6, 2016, by and between the Company and Timothy J. Tumminello,</w:t>
        </w:r>
      </w:hyperlink>
      <w:r>
        <w:rPr>
          <w:rFonts w:ascii="Arial" w:cs="Arial" w:eastAsia="Arial" w:hAnsi="Arial"/>
          <w:sz w:val="16"/>
          <w:szCs w:val="16"/>
          <w:color w:val="auto"/>
        </w:rPr>
        <w:t xml:space="preserve"> </w:t>
      </w:r>
      <w:hyperlink r:id="rId165">
        <w:r>
          <w:rPr>
            <w:rFonts w:ascii="Arial" w:cs="Arial" w:eastAsia="Arial" w:hAnsi="Arial"/>
            <w:sz w:val="16"/>
            <w:szCs w:val="16"/>
            <w:u w:val="single" w:color="auto"/>
            <w:color w:val="0000EE"/>
          </w:rPr>
          <w:t>incorporated herein by reference to Exhibit 10.4 to the Quarterly Report on Form 10-Q of the Company for the quarter ended September 30, 2016.</w:t>
        </w:r>
      </w:hyperlink>
    </w:p>
    <w:p>
      <w:pPr>
        <w:spacing w:after="0" w:line="124" w:lineRule="exact"/>
        <w:rPr>
          <w:sz w:val="20"/>
          <w:szCs w:val="20"/>
          <w:color w:val="auto"/>
        </w:rPr>
      </w:pPr>
    </w:p>
    <w:p>
      <w:pPr>
        <w:ind w:left="820" w:right="940" w:hanging="607"/>
        <w:spacing w:after="0" w:line="342" w:lineRule="auto"/>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10.35</w:t>
      </w:r>
      <w:r>
        <w:rPr>
          <w:sz w:val="20"/>
          <w:szCs w:val="20"/>
          <w:color w:val="auto"/>
        </w:rPr>
        <w:tab/>
      </w:r>
      <w:hyperlink r:id="rId166">
        <w:r>
          <w:rPr>
            <w:rFonts w:ascii="Arial" w:cs="Arial" w:eastAsia="Arial" w:hAnsi="Arial"/>
            <w:sz w:val="16"/>
            <w:szCs w:val="16"/>
            <w:u w:val="single" w:color="auto"/>
            <w:color w:val="0000EE"/>
          </w:rPr>
          <w:t>Securities Purchase Agreement dated as of December 20, 2016, by and among Celsion Corporation and the purchasers named therein,</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incorporated herein by reference to Exhibit 10.1 to the Current Report on Form 8-K of the Company filed in December 23, 2016.</w:t>
        </w:r>
      </w:hyperlink>
    </w:p>
    <w:p>
      <w:pPr>
        <w:spacing w:after="0" w:line="124" w:lineRule="exact"/>
        <w:rPr>
          <w:sz w:val="20"/>
          <w:szCs w:val="20"/>
          <w:color w:val="auto"/>
        </w:rPr>
      </w:pPr>
    </w:p>
    <w:p>
      <w:pPr>
        <w:ind w:left="820" w:right="560" w:hanging="607"/>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67">
        <w:r>
          <w:rPr>
            <w:rFonts w:ascii="Arial" w:cs="Arial" w:eastAsia="Arial" w:hAnsi="Arial"/>
            <w:sz w:val="18"/>
            <w:szCs w:val="18"/>
            <w:u w:val="single" w:color="auto"/>
            <w:color w:val="0000EE"/>
          </w:rPr>
          <w:t>Form of Securities Purchase Agreement incorporated herein by reference to Exhibit 10.33 to the Registration Statement on Form S-1 of the</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Company filed on February 13, 2017.</w:t>
        </w:r>
      </w:hyperlink>
    </w:p>
    <w:p>
      <w:pPr>
        <w:spacing w:after="0" w:line="170" w:lineRule="exact"/>
        <w:rPr>
          <w:sz w:val="20"/>
          <w:szCs w:val="20"/>
          <w:color w:val="auto"/>
        </w:rPr>
      </w:pPr>
    </w:p>
    <w:p>
      <w:pPr>
        <w:ind w:left="820" w:right="220" w:hanging="607"/>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68">
        <w:r>
          <w:rPr>
            <w:rFonts w:ascii="Arial" w:cs="Arial" w:eastAsia="Arial" w:hAnsi="Arial"/>
            <w:sz w:val="18"/>
            <w:szCs w:val="18"/>
            <w:u w:val="single" w:color="auto"/>
            <w:color w:val="0000EE"/>
          </w:rPr>
          <w:t>Securities Purchase Agreement, dated July 6, 2017, by and among Celsion Corporation and the purchaser named therein, incorporated herein by</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reference to Exhibit 10.1 to the Current Report on Form 8-K of the Company filed on July 11, 2017.</w:t>
        </w:r>
      </w:hyperlink>
    </w:p>
    <w:p>
      <w:pPr>
        <w:spacing w:after="0" w:line="170" w:lineRule="exact"/>
        <w:rPr>
          <w:sz w:val="20"/>
          <w:szCs w:val="20"/>
          <w:color w:val="auto"/>
        </w:rPr>
      </w:pPr>
    </w:p>
    <w:p>
      <w:pPr>
        <w:ind w:left="20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99">
        <w:r>
          <w:rPr>
            <w:rFonts w:ascii="Arial" w:cs="Arial" w:eastAsia="Arial" w:hAnsi="Arial"/>
            <w:sz w:val="16"/>
            <w:szCs w:val="16"/>
            <w:u w:val="single" w:color="auto"/>
            <w:color w:val="0000EE"/>
          </w:rPr>
          <w:t>Subsidiaries of Celsion Corporation</w:t>
        </w:r>
      </w:hyperlink>
    </w:p>
    <w:p>
      <w:pPr>
        <w:spacing w:after="0" w:line="23" w:lineRule="exact"/>
        <w:rPr>
          <w:sz w:val="20"/>
          <w:szCs w:val="20"/>
          <w:color w:val="auto"/>
        </w:rPr>
      </w:pPr>
    </w:p>
    <w:p>
      <w:pPr>
        <w:ind w:left="20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00">
        <w:r>
          <w:rPr>
            <w:rFonts w:ascii="Arial" w:cs="Arial" w:eastAsia="Arial" w:hAnsi="Arial"/>
            <w:sz w:val="16"/>
            <w:szCs w:val="16"/>
            <w:u w:val="single" w:color="auto"/>
            <w:color w:val="0000EE"/>
          </w:rPr>
          <w:t>Consent of WithumSmith+Brown, PC, independent registered public accounting firm for the Company.</w:t>
        </w:r>
      </w:hyperlink>
    </w:p>
    <w:p>
      <w:pPr>
        <w:spacing w:after="0" w:line="9" w:lineRule="exact"/>
        <w:rPr>
          <w:sz w:val="20"/>
          <w:szCs w:val="20"/>
          <w:color w:val="auto"/>
        </w:rPr>
      </w:pPr>
    </w:p>
    <w:p>
      <w:pPr>
        <w:ind w:left="20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101">
        <w:r>
          <w:rPr>
            <w:rFonts w:ascii="Arial" w:cs="Arial" w:eastAsia="Arial" w:hAnsi="Arial"/>
            <w:sz w:val="16"/>
            <w:szCs w:val="16"/>
            <w:u w:val="single" w:color="auto"/>
            <w:color w:val="0000EE"/>
          </w:rPr>
          <w:t>Consent of Dixon Hughes Goodman, LLP independent registered public accounting firm for the Company.</w:t>
        </w:r>
      </w:hyperlink>
    </w:p>
    <w:p>
      <w:pPr>
        <w:spacing w:after="0" w:line="9" w:lineRule="exact"/>
        <w:rPr>
          <w:sz w:val="20"/>
          <w:szCs w:val="20"/>
          <w:color w:val="auto"/>
        </w:rPr>
      </w:pPr>
    </w:p>
    <w:p>
      <w:pPr>
        <w:ind w:left="20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02">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9" w:lineRule="exact"/>
        <w:rPr>
          <w:sz w:val="20"/>
          <w:szCs w:val="20"/>
          <w:color w:val="auto"/>
        </w:rPr>
      </w:pPr>
    </w:p>
    <w:p>
      <w:pPr>
        <w:ind w:left="20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03">
        <w:r>
          <w:rPr>
            <w:rFonts w:ascii="Arial" w:cs="Arial" w:eastAsia="Arial" w:hAnsi="Arial"/>
            <w:sz w:val="16"/>
            <w:szCs w:val="16"/>
            <w:u w:val="single" w:color="auto"/>
            <w:color w:val="0000EE"/>
          </w:rPr>
          <w:t>Certification of Chief Financial Officer pursuant to Section 302 of the Sarbanes-Oxley Act of 2002.</w:t>
        </w:r>
      </w:hyperlink>
    </w:p>
    <w:p>
      <w:pPr>
        <w:ind w:left="220"/>
        <w:spacing w:after="0"/>
        <w:tabs>
          <w:tab w:leader="none" w:pos="800" w:val="left"/>
        </w:tabs>
        <w:rPr>
          <w:rFonts w:ascii="Arial" w:cs="Arial" w:eastAsia="Arial" w:hAnsi="Arial"/>
          <w:sz w:val="16"/>
          <w:szCs w:val="16"/>
          <w:u w:val="single" w:color="auto"/>
          <w:color w:val="0000EE"/>
        </w:rPr>
      </w:pPr>
      <w:hyperlink w:anchor="page104"/>
      <w:r>
        <w:rPr>
          <w:rFonts w:ascii="Arial" w:cs="Arial" w:eastAsia="Arial" w:hAnsi="Arial"/>
          <w:sz w:val="26"/>
          <w:szCs w:val="26"/>
          <w:color w:val="000000"/>
          <w:vertAlign w:val="subscript"/>
        </w:rPr>
        <w:t>32.1^</w:t>
      </w:r>
      <w:r>
        <w:rPr>
          <w:rFonts w:ascii="Arial" w:cs="Arial" w:eastAsia="Arial" w:hAnsi="Arial"/>
          <w:sz w:val="15"/>
          <w:szCs w:val="15"/>
          <w:color w:val="0000EE"/>
        </w:rPr>
        <w:tab/>
      </w:r>
      <w:hyperlink w:anchor="page104">
        <w:r>
          <w:rPr>
            <w:rFonts w:ascii="Arial" w:cs="Arial" w:eastAsia="Arial" w:hAnsi="Arial"/>
            <w:sz w:val="16"/>
            <w:szCs w:val="16"/>
            <w:u w:val="single" w:color="auto"/>
            <w:color w:val="0000EE"/>
          </w:rPr>
          <w:t>Certification of Chief Executive Officer pursuant to 18 U.S.C. Section 1350, as adopted pursuant to Section 906 of the Sarbanes-Oxley Act of</w:t>
        </w:r>
      </w:hyperlink>
    </w:p>
    <w:p>
      <w:pPr>
        <w:ind w:left="82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2002.</w:t>
        </w:r>
      </w:hyperlink>
    </w:p>
    <w:p>
      <w:pPr>
        <w:spacing w:after="0" w:line="7" w:lineRule="exact"/>
        <w:rPr>
          <w:sz w:val="20"/>
          <w:szCs w:val="20"/>
          <w:color w:val="auto"/>
        </w:rPr>
      </w:pPr>
    </w:p>
    <w:p>
      <w:pPr>
        <w:ind w:left="220"/>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05">
        <w:r>
          <w:rPr>
            <w:rFonts w:ascii="Arial" w:cs="Arial" w:eastAsia="Arial" w:hAnsi="Arial"/>
            <w:sz w:val="16"/>
            <w:szCs w:val="16"/>
            <w:u w:val="single" w:color="auto"/>
            <w:color w:val="0000EE"/>
          </w:rPr>
          <w:t>Certification of Chief Financial Officer pursuant to 18 U.S.C. Section 1350, as adopted pursuant to Section 906 of the Sarbanes-Oxley Act of</w:t>
        </w:r>
      </w:hyperlink>
    </w:p>
    <w:p>
      <w:pPr>
        <w:spacing w:after="0" w:line="9" w:lineRule="exact"/>
        <w:rPr>
          <w:sz w:val="20"/>
          <w:szCs w:val="20"/>
          <w:color w:val="auto"/>
        </w:rPr>
      </w:pPr>
    </w:p>
    <w:p>
      <w:pPr>
        <w:ind w:left="8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2002.</w:t>
        </w:r>
      </w:hyperlink>
    </w:p>
    <w:p>
      <w:pPr>
        <w:spacing w:after="0" w:line="9" w:lineRule="exact"/>
        <w:rPr>
          <w:sz w:val="20"/>
          <w:szCs w:val="20"/>
          <w:color w:val="auto"/>
        </w:rPr>
      </w:pPr>
    </w:p>
    <w:p>
      <w:pPr>
        <w:jc w:val="both"/>
        <w:ind w:left="820" w:hanging="639"/>
        <w:spacing w:after="0" w:line="281" w:lineRule="auto"/>
        <w:tabs>
          <w:tab w:leader="none" w:pos="800" w:val="left"/>
        </w:tabs>
        <w:rPr>
          <w:sz w:val="20"/>
          <w:szCs w:val="20"/>
          <w:color w:val="auto"/>
        </w:rPr>
      </w:pPr>
      <w:r>
        <w:rPr>
          <w:rFonts w:ascii="Arial" w:cs="Arial" w:eastAsia="Arial" w:hAnsi="Arial"/>
          <w:sz w:val="16"/>
          <w:szCs w:val="16"/>
          <w:color w:val="auto"/>
        </w:rPr>
        <w:t>101**</w:t>
        <w:tab/>
        <w:t>The following materials from the Company’s Annual Report on Form 10-K for the fiscal year ended December 31, 2017, formatted in XBRL (Extensible Business Reporting Language): (i) the audited Consolidated Balance Sheets, (ii) the audited Consolidated Statements of Operations,</w:t>
      </w:r>
    </w:p>
    <w:p>
      <w:pPr>
        <w:spacing w:after="0" w:line="1" w:lineRule="exact"/>
        <w:rPr>
          <w:sz w:val="20"/>
          <w:szCs w:val="20"/>
          <w:color w:val="auto"/>
        </w:rPr>
      </w:pPr>
    </w:p>
    <w:p>
      <w:pPr>
        <w:ind w:left="820" w:hanging="2"/>
        <w:spacing w:after="0" w:line="261" w:lineRule="auto"/>
        <w:tabs>
          <w:tab w:leader="none" w:pos="1172"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audited Consolidated Statements of Comprehensive Loss, (iv) the audited Consolidated Statements of Cash Flows, (v) the audited Consolidated Statements of Changes in Stockholders’ Equity and (vi) Notes to Consolidated Financial Statements.</w:t>
      </w:r>
    </w:p>
    <w:p>
      <w:pPr>
        <w:spacing w:after="0" w:line="183" w:lineRule="exact"/>
        <w:rPr>
          <w:rFonts w:ascii="Arial" w:cs="Arial" w:eastAsia="Arial" w:hAnsi="Arial"/>
          <w:sz w:val="18"/>
          <w:szCs w:val="18"/>
          <w:color w:val="auto"/>
        </w:rPr>
      </w:pPr>
    </w:p>
    <w:p>
      <w:pPr>
        <w:ind w:left="820" w:hanging="428"/>
        <w:spacing w:after="0" w:line="258" w:lineRule="auto"/>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spacing w:after="0" w:line="1" w:lineRule="exact"/>
        <w:rPr>
          <w:rFonts w:ascii="Arial" w:cs="Arial" w:eastAsia="Arial" w:hAnsi="Arial"/>
          <w:sz w:val="18"/>
          <w:szCs w:val="18"/>
          <w:color w:val="auto"/>
        </w:rPr>
      </w:pPr>
    </w:p>
    <w:p>
      <w:pPr>
        <w:ind w:left="820" w:hanging="458"/>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820" w:hanging="449"/>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820" w:hanging="497"/>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9" w:lineRule="exact"/>
        <w:rPr>
          <w:sz w:val="20"/>
          <w:szCs w:val="20"/>
          <w:color w:val="auto"/>
        </w:rPr>
      </w:pPr>
    </w:p>
    <w:p>
      <w:pPr>
        <w:ind w:left="820" w:hanging="542"/>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its annual report on Form 10-K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6720" w:type="dxa"/>
            <w:vAlign w:val="bottom"/>
            <w:gridSpan w:val="2"/>
          </w:tcPr>
          <w:p>
            <w:pPr>
              <w:ind w:left="2260"/>
              <w:spacing w:after="0"/>
              <w:rPr>
                <w:sz w:val="20"/>
                <w:szCs w:val="20"/>
                <w:color w:val="auto"/>
              </w:rPr>
            </w:pPr>
            <w:r>
              <w:rPr>
                <w:rFonts w:ascii="Arial" w:cs="Arial" w:eastAsia="Arial" w:hAnsi="Arial"/>
                <w:sz w:val="18"/>
                <w:szCs w:val="18"/>
                <w:color w:val="auto"/>
              </w:rPr>
              <w:t>CELSION CORPORATION</w:t>
            </w:r>
          </w:p>
        </w:tc>
      </w:tr>
      <w:tr>
        <w:trPr>
          <w:trHeight w:val="230"/>
        </w:trPr>
        <w:tc>
          <w:tcPr>
            <w:tcW w:w="34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880" w:type="dxa"/>
            <w:vAlign w:val="bottom"/>
          </w:tcPr>
          <w:p>
            <w:pPr>
              <w:ind w:left="460"/>
              <w:spacing w:after="0"/>
              <w:rPr>
                <w:sz w:val="20"/>
                <w:szCs w:val="20"/>
                <w:color w:val="auto"/>
              </w:rPr>
            </w:pPr>
            <w:r>
              <w:rPr>
                <w:rFonts w:ascii="Arial" w:cs="Arial" w:eastAsia="Arial" w:hAnsi="Arial"/>
                <w:sz w:val="18"/>
                <w:szCs w:val="18"/>
                <w:color w:val="auto"/>
              </w:rPr>
              <w:t>Registrant</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March 27, 2018</w:t>
            </w:r>
          </w:p>
        </w:tc>
        <w:tc>
          <w:tcPr>
            <w:tcW w:w="6720" w:type="dxa"/>
            <w:vAlign w:val="bottom"/>
            <w:gridSpan w:val="2"/>
          </w:tcPr>
          <w:p>
            <w:pPr>
              <w:ind w:left="2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tc>
      </w:tr>
      <w:tr>
        <w:trPr>
          <w:trHeight w:val="195"/>
        </w:trPr>
        <w:tc>
          <w:tcPr>
            <w:tcW w:w="34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H. Tardugno</w:t>
            </w:r>
          </w:p>
        </w:tc>
      </w:tr>
      <w:tr>
        <w:trPr>
          <w:trHeight w:val="216"/>
        </w:trPr>
        <w:tc>
          <w:tcPr>
            <w:tcW w:w="34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Chairman of the Board, President and Chief</w:t>
            </w:r>
          </w:p>
        </w:tc>
      </w:tr>
      <w:tr>
        <w:trPr>
          <w:trHeight w:val="230"/>
        </w:trPr>
        <w:tc>
          <w:tcPr>
            <w:tcW w:w="34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702"/>
        </w:trPr>
        <w:tc>
          <w:tcPr>
            <w:tcW w:w="3460" w:type="dxa"/>
            <w:vAlign w:val="bottom"/>
          </w:tcPr>
          <w:p>
            <w:pPr>
              <w:ind w:left="60"/>
              <w:spacing w:after="0"/>
              <w:rPr>
                <w:sz w:val="20"/>
                <w:szCs w:val="20"/>
                <w:color w:val="auto"/>
              </w:rPr>
            </w:pPr>
            <w:r>
              <w:rPr>
                <w:rFonts w:ascii="Arial" w:cs="Arial" w:eastAsia="Arial" w:hAnsi="Arial"/>
                <w:sz w:val="18"/>
                <w:szCs w:val="18"/>
                <w:color w:val="auto"/>
              </w:rPr>
              <w:t>March 27, 2018</w:t>
            </w:r>
          </w:p>
        </w:tc>
        <w:tc>
          <w:tcPr>
            <w:tcW w:w="6720" w:type="dxa"/>
            <w:vAlign w:val="bottom"/>
            <w:gridSpan w:val="2"/>
          </w:tcPr>
          <w:p>
            <w:pPr>
              <w:ind w:left="2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tc>
      </w:tr>
      <w:tr>
        <w:trPr>
          <w:trHeight w:val="195"/>
        </w:trPr>
        <w:tc>
          <w:tcPr>
            <w:tcW w:w="34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34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4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1920"/>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0"/>
                <w:szCs w:val="20"/>
                <w:color w:val="auto"/>
              </w:rPr>
            </w:pPr>
          </w:p>
        </w:tc>
        <w:tc>
          <w:tcPr>
            <w:tcW w:w="4260" w:type="dxa"/>
            <w:vAlign w:val="bottom"/>
          </w:tcPr>
          <w:p>
            <w:pPr>
              <w:ind w:left="1820"/>
              <w:spacing w:after="0"/>
              <w:rPr>
                <w:sz w:val="20"/>
                <w:szCs w:val="20"/>
                <w:color w:val="auto"/>
              </w:rPr>
            </w:pPr>
            <w:r>
              <w:rPr>
                <w:rFonts w:ascii="Arial" w:cs="Arial" w:eastAsia="Arial" w:hAnsi="Arial"/>
                <w:sz w:val="18"/>
                <w:szCs w:val="18"/>
                <w:b w:val="1"/>
                <w:bCs w:val="1"/>
                <w:color w:val="auto"/>
              </w:rPr>
              <w:t>Position</w:t>
            </w:r>
          </w:p>
        </w:tc>
        <w:tc>
          <w:tcPr>
            <w:tcW w:w="280" w:type="dxa"/>
            <w:vAlign w:val="bottom"/>
          </w:tcPr>
          <w:p>
            <w:pPr>
              <w:spacing w:after="0"/>
              <w:rPr>
                <w:sz w:val="20"/>
                <w:szCs w:val="20"/>
                <w:color w:val="auto"/>
              </w:rPr>
            </w:pPr>
          </w:p>
        </w:tc>
        <w:tc>
          <w:tcPr>
            <w:tcW w:w="2320" w:type="dxa"/>
            <w:vAlign w:val="bottom"/>
          </w:tcPr>
          <w:p>
            <w:pPr>
              <w:ind w:left="98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/s/ MICHAEL H. TARDUGNO</w:t>
            </w:r>
          </w:p>
        </w:tc>
        <w:tc>
          <w:tcPr>
            <w:tcW w:w="2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8"/>
              </w:rPr>
              <w:t>Chairman of the Board, President and Chief Executive</w:t>
            </w:r>
          </w:p>
        </w:tc>
        <w:tc>
          <w:tcPr>
            <w:tcW w:w="2600" w:type="dxa"/>
            <w:vAlign w:val="bottom"/>
            <w:gridSpan w:val="2"/>
            <w:vMerge w:val="restart"/>
          </w:tcPr>
          <w:p>
            <w:pPr>
              <w:ind w:left="280"/>
              <w:spacing w:after="0"/>
              <w:rPr>
                <w:sz w:val="20"/>
                <w:szCs w:val="20"/>
                <w:color w:val="auto"/>
              </w:rPr>
            </w:pPr>
            <w:r>
              <w:rPr>
                <w:rFonts w:ascii="Arial" w:cs="Arial" w:eastAsia="Arial" w:hAnsi="Arial"/>
                <w:sz w:val="18"/>
                <w:szCs w:val="18"/>
                <w:color w:val="auto"/>
              </w:rPr>
              <w:t>March 27, 2018</w:t>
            </w:r>
          </w:p>
        </w:tc>
        <w:tc>
          <w:tcPr>
            <w:tcW w:w="0" w:type="dxa"/>
            <w:vAlign w:val="bottom"/>
          </w:tcPr>
          <w:p>
            <w:pPr>
              <w:spacing w:after="0"/>
              <w:rPr>
                <w:sz w:val="1"/>
                <w:szCs w:val="1"/>
                <w:color w:val="auto"/>
              </w:rPr>
            </w:pPr>
          </w:p>
        </w:tc>
      </w:tr>
      <w:tr>
        <w:trPr>
          <w:trHeight w:val="122"/>
        </w:trPr>
        <w:tc>
          <w:tcPr>
            <w:tcW w:w="42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4260" w:type="dxa"/>
            <w:vAlign w:val="bottom"/>
            <w:vMerge w:val="restart"/>
          </w:tcPr>
          <w:p>
            <w:pPr>
              <w:spacing w:after="0"/>
              <w:rPr>
                <w:sz w:val="20"/>
                <w:szCs w:val="20"/>
                <w:color w:val="auto"/>
              </w:rPr>
            </w:pPr>
            <w:r>
              <w:rPr>
                <w:rFonts w:ascii="Arial" w:cs="Arial" w:eastAsia="Arial" w:hAnsi="Arial"/>
                <w:sz w:val="18"/>
                <w:szCs w:val="18"/>
                <w:color w:val="auto"/>
              </w:rPr>
              <w:t>Officer</w:t>
            </w:r>
          </w:p>
        </w:tc>
        <w:tc>
          <w:tcPr>
            <w:tcW w:w="2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28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42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(Michael H. Tardugno)</w:t>
            </w:r>
          </w:p>
        </w:tc>
        <w:tc>
          <w:tcPr>
            <w:tcW w:w="2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c>
          <w:tcPr>
            <w:tcW w:w="2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Senior Vice President and Chief Financial</w:t>
            </w:r>
          </w:p>
        </w:tc>
        <w:tc>
          <w:tcPr>
            <w:tcW w:w="2600" w:type="dxa"/>
            <w:vAlign w:val="bottom"/>
            <w:gridSpan w:val="2"/>
          </w:tcPr>
          <w:p>
            <w:pPr>
              <w:ind w:left="280"/>
              <w:spacing w:after="0"/>
              <w:rPr>
                <w:sz w:val="20"/>
                <w:szCs w:val="20"/>
                <w:color w:val="auto"/>
              </w:rPr>
            </w:pPr>
            <w:r>
              <w:rPr>
                <w:rFonts w:ascii="Arial" w:cs="Arial" w:eastAsia="Arial" w:hAnsi="Arial"/>
                <w:sz w:val="18"/>
                <w:szCs w:val="18"/>
                <w:color w:val="auto"/>
              </w:rPr>
              <w:t>March 27, 2018</w:t>
            </w: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(Jeffrey W. Church)</w:t>
            </w:r>
          </w:p>
        </w:tc>
        <w:tc>
          <w:tcPr>
            <w:tcW w:w="2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Officer (Principal Financial Officer)</w:t>
            </w: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TIMOTHY J. TUMMINELLO</w:t>
            </w:r>
          </w:p>
        </w:tc>
        <w:tc>
          <w:tcPr>
            <w:tcW w:w="2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Controller and Chief Accounting Officer</w:t>
            </w:r>
          </w:p>
        </w:tc>
        <w:tc>
          <w:tcPr>
            <w:tcW w:w="2600" w:type="dxa"/>
            <w:vAlign w:val="bottom"/>
            <w:gridSpan w:val="2"/>
          </w:tcPr>
          <w:p>
            <w:pPr>
              <w:ind w:left="280"/>
              <w:spacing w:after="0"/>
              <w:rPr>
                <w:sz w:val="20"/>
                <w:szCs w:val="20"/>
                <w:color w:val="auto"/>
              </w:rPr>
            </w:pPr>
            <w:r>
              <w:rPr>
                <w:rFonts w:ascii="Arial" w:cs="Arial" w:eastAsia="Arial" w:hAnsi="Arial"/>
                <w:sz w:val="18"/>
                <w:szCs w:val="18"/>
                <w:color w:val="auto"/>
              </w:rPr>
              <w:t>March 27, 2018</w:t>
            </w: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(Timothy J. Tumminello)</w:t>
            </w:r>
          </w:p>
        </w:tc>
        <w:tc>
          <w:tcPr>
            <w:tcW w:w="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AUGUSTINE CHOW</w:t>
            </w:r>
          </w:p>
        </w:tc>
        <w:tc>
          <w:tcPr>
            <w:tcW w:w="2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600" w:type="dxa"/>
            <w:vAlign w:val="bottom"/>
            <w:gridSpan w:val="2"/>
          </w:tcPr>
          <w:p>
            <w:pPr>
              <w:ind w:left="280"/>
              <w:spacing w:after="0"/>
              <w:rPr>
                <w:sz w:val="20"/>
                <w:szCs w:val="20"/>
                <w:color w:val="auto"/>
              </w:rPr>
            </w:pPr>
            <w:r>
              <w:rPr>
                <w:rFonts w:ascii="Arial" w:cs="Arial" w:eastAsia="Arial" w:hAnsi="Arial"/>
                <w:sz w:val="18"/>
                <w:szCs w:val="18"/>
                <w:color w:val="auto"/>
              </w:rPr>
              <w:t>March 27, 2018</w:t>
            </w: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(Augustine Chow, Ph.D.)</w:t>
            </w:r>
          </w:p>
        </w:tc>
        <w:tc>
          <w:tcPr>
            <w:tcW w:w="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FREDERICK J. FRITZ</w:t>
            </w:r>
          </w:p>
        </w:tc>
        <w:tc>
          <w:tcPr>
            <w:tcW w:w="2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600" w:type="dxa"/>
            <w:vAlign w:val="bottom"/>
            <w:gridSpan w:val="2"/>
          </w:tcPr>
          <w:p>
            <w:pPr>
              <w:ind w:left="280"/>
              <w:spacing w:after="0"/>
              <w:rPr>
                <w:sz w:val="20"/>
                <w:szCs w:val="20"/>
                <w:color w:val="auto"/>
              </w:rPr>
            </w:pPr>
            <w:r>
              <w:rPr>
                <w:rFonts w:ascii="Arial" w:cs="Arial" w:eastAsia="Arial" w:hAnsi="Arial"/>
                <w:sz w:val="18"/>
                <w:szCs w:val="18"/>
                <w:color w:val="auto"/>
              </w:rPr>
              <w:t>March 27, 2018</w:t>
            </w: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(Frederick J. Fritz)</w:t>
            </w:r>
          </w:p>
        </w:tc>
        <w:tc>
          <w:tcPr>
            <w:tcW w:w="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W. HOOPER</w:t>
            </w:r>
          </w:p>
        </w:tc>
        <w:tc>
          <w:tcPr>
            <w:tcW w:w="2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600" w:type="dxa"/>
            <w:vAlign w:val="bottom"/>
            <w:gridSpan w:val="2"/>
          </w:tcPr>
          <w:p>
            <w:pPr>
              <w:ind w:left="280"/>
              <w:spacing w:after="0"/>
              <w:rPr>
                <w:sz w:val="20"/>
                <w:szCs w:val="20"/>
                <w:color w:val="auto"/>
              </w:rPr>
            </w:pPr>
            <w:r>
              <w:rPr>
                <w:rFonts w:ascii="Arial" w:cs="Arial" w:eastAsia="Arial" w:hAnsi="Arial"/>
                <w:sz w:val="18"/>
                <w:szCs w:val="18"/>
                <w:color w:val="auto"/>
              </w:rPr>
              <w:t>March 27, 2018</w:t>
            </w:r>
          </w:p>
        </w:tc>
        <w:tc>
          <w:tcPr>
            <w:tcW w:w="0" w:type="dxa"/>
            <w:vAlign w:val="bottom"/>
          </w:tcPr>
          <w:p>
            <w:pPr>
              <w:spacing w:after="0"/>
              <w:rPr>
                <w:sz w:val="1"/>
                <w:szCs w:val="1"/>
                <w:color w:val="auto"/>
              </w:rPr>
            </w:pPr>
          </w:p>
        </w:tc>
      </w:tr>
      <w:tr>
        <w:trPr>
          <w:trHeight w:val="224"/>
        </w:trPr>
        <w:tc>
          <w:tcPr>
            <w:tcW w:w="4280" w:type="dxa"/>
            <w:vAlign w:val="bottom"/>
          </w:tcPr>
          <w:p>
            <w:pPr>
              <w:ind w:left="60"/>
              <w:spacing w:after="0"/>
              <w:rPr>
                <w:sz w:val="20"/>
                <w:szCs w:val="20"/>
                <w:color w:val="auto"/>
              </w:rPr>
            </w:pPr>
            <w:r>
              <w:rPr>
                <w:rFonts w:ascii="Arial" w:cs="Arial" w:eastAsia="Arial" w:hAnsi="Arial"/>
                <w:sz w:val="18"/>
                <w:szCs w:val="18"/>
                <w:color w:val="auto"/>
              </w:rPr>
              <w:t>(Robert W. Hooper)</w:t>
            </w:r>
          </w:p>
        </w:tc>
        <w:tc>
          <w:tcPr>
            <w:tcW w:w="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ALBERTO R. MARTINEZ</w:t>
            </w:r>
          </w:p>
        </w:tc>
        <w:tc>
          <w:tcPr>
            <w:tcW w:w="2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600" w:type="dxa"/>
            <w:vAlign w:val="bottom"/>
            <w:gridSpan w:val="2"/>
          </w:tcPr>
          <w:p>
            <w:pPr>
              <w:ind w:left="280"/>
              <w:spacing w:after="0"/>
              <w:rPr>
                <w:sz w:val="20"/>
                <w:szCs w:val="20"/>
                <w:color w:val="auto"/>
              </w:rPr>
            </w:pPr>
            <w:r>
              <w:rPr>
                <w:rFonts w:ascii="Arial" w:cs="Arial" w:eastAsia="Arial" w:hAnsi="Arial"/>
                <w:sz w:val="18"/>
                <w:szCs w:val="18"/>
                <w:color w:val="auto"/>
              </w:rPr>
              <w:t>March 27, 2018</w:t>
            </w: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(Alberto Martinez, M.D.)</w:t>
            </w:r>
          </w:p>
        </w:tc>
        <w:tc>
          <w:tcPr>
            <w:tcW w:w="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DONALD BRAUN</w:t>
            </w:r>
          </w:p>
        </w:tc>
        <w:tc>
          <w:tcPr>
            <w:tcW w:w="2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600" w:type="dxa"/>
            <w:vAlign w:val="bottom"/>
            <w:gridSpan w:val="2"/>
          </w:tcPr>
          <w:p>
            <w:pPr>
              <w:ind w:left="280"/>
              <w:spacing w:after="0"/>
              <w:rPr>
                <w:sz w:val="20"/>
                <w:szCs w:val="20"/>
                <w:color w:val="auto"/>
              </w:rPr>
            </w:pPr>
            <w:r>
              <w:rPr>
                <w:rFonts w:ascii="Arial" w:cs="Arial" w:eastAsia="Arial" w:hAnsi="Arial"/>
                <w:sz w:val="18"/>
                <w:szCs w:val="18"/>
                <w:color w:val="auto"/>
              </w:rPr>
              <w:t>March 27, 2018</w:t>
            </w: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(Donald Braun, Ph.D.)</w:t>
            </w:r>
          </w:p>
        </w:tc>
        <w:tc>
          <w:tcPr>
            <w:tcW w:w="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ANDREAS VOSS</w:t>
            </w:r>
          </w:p>
        </w:tc>
        <w:tc>
          <w:tcPr>
            <w:tcW w:w="2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600" w:type="dxa"/>
            <w:vAlign w:val="bottom"/>
            <w:gridSpan w:val="2"/>
          </w:tcPr>
          <w:p>
            <w:pPr>
              <w:ind w:left="280"/>
              <w:spacing w:after="0"/>
              <w:rPr>
                <w:sz w:val="20"/>
                <w:szCs w:val="20"/>
                <w:color w:val="auto"/>
              </w:rPr>
            </w:pPr>
            <w:r>
              <w:rPr>
                <w:rFonts w:ascii="Arial" w:cs="Arial" w:eastAsia="Arial" w:hAnsi="Arial"/>
                <w:sz w:val="18"/>
                <w:szCs w:val="18"/>
                <w:color w:val="auto"/>
              </w:rPr>
              <w:t>March 27, 2018</w:t>
            </w: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(Andreas Voss, M.D.)</w:t>
            </w:r>
          </w:p>
        </w:tc>
        <w:tc>
          <w:tcPr>
            <w:tcW w:w="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280" w:type="dxa"/>
            <w:vAlign w:val="bottom"/>
          </w:tcPr>
          <w:p>
            <w:pPr>
              <w:spacing w:after="0"/>
              <w:rPr>
                <w:sz w:val="24"/>
                <w:szCs w:val="24"/>
                <w:color w:val="auto"/>
              </w:rPr>
            </w:pPr>
          </w:p>
        </w:tc>
        <w:tc>
          <w:tcPr>
            <w:tcW w:w="4540" w:type="dxa"/>
            <w:vAlign w:val="bottom"/>
            <w:gridSpan w:val="2"/>
          </w:tcPr>
          <w:p>
            <w:pPr>
              <w:jc w:val="right"/>
              <w:ind w:right="293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Celsion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Celsion Corporation. as of December 31, 2017, and the related consolidated statements of operations, comprehensive loss, changes in stockholders' equity, and cash flows for the year then ended and the related notes (collectively referred to as the “financial statements”). In our opinion, the consolidated financial statements present fairly, in all material respects, the financial position of the Company as of December 31, 2017, and the results of its operations and its cash flows for the year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WithumSmith+Brown,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WithumSmith+Brown, PC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Celsion Corporation</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 of Celsion Corporation (the “Company”) as of December 31, 2016, and the related consolidated statements of operations, comprehensive loss, changes in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their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2016, and the results of its operations and its cash flows for the year then ended, in conformity with U.S. generally accepted accounting principles.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for the year ended December 31, 2016 were prepared assuming the Company will continue as a going concern. As discussed in Note 2 to the December 31, 2016 consolidated financial statements, the Company has suffered recurring losses from operations and has accumulated deficit that raises substantial doubt about its ability to continue as a going concern at that date. Management’s plans in regard to these matters are also described in Note 2 to the consolidated financial statements for the year ended December 31, 2016. The consolidated financial statements for the year ended December 31, 2016 do not include any adjustments that might result from the outcome of this uncertainty. Our opinion is not modified with respect to this matter.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/s/Dixon Hughes Goodman,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Dixon Hughes Goodman,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11,444,055</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2,624,162</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Investment securities – available for sale, at fair value</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12,724,020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interest receivable on investment securities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Advances and deposits on clinical programs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89,186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89,186</w:t>
            </w:r>
          </w:p>
        </w:tc>
        <w:tc>
          <w:tcPr>
            <w:tcW w:w="0" w:type="dxa"/>
            <w:vAlign w:val="bottom"/>
          </w:tcPr>
          <w:p>
            <w:pPr>
              <w:spacing w:after="0"/>
              <w:rPr>
                <w:sz w:val="1"/>
                <w:szCs w:val="1"/>
                <w:color w:val="auto"/>
              </w:rPr>
            </w:pP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115,222</w:t>
            </w:r>
          </w:p>
        </w:tc>
        <w:tc>
          <w:tcPr>
            <w:tcW w:w="0" w:type="dxa"/>
            <w:vAlign w:val="bottom"/>
          </w:tcPr>
          <w:p>
            <w:pPr>
              <w:spacing w:after="0"/>
              <w:rPr>
                <w:sz w:val="1"/>
                <w:szCs w:val="1"/>
                <w:color w:val="auto"/>
              </w:rPr>
            </w:pPr>
          </w:p>
        </w:tc>
      </w:tr>
      <w:tr>
        <w:trPr>
          <w:trHeight w:val="20"/>
        </w:trPr>
        <w:tc>
          <w:tcPr>
            <w:tcW w:w="8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24,311,701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4,512,578</w:t>
            </w:r>
          </w:p>
        </w:tc>
        <w:tc>
          <w:tcPr>
            <w:tcW w:w="0" w:type="dxa"/>
            <w:vAlign w:val="bottom"/>
          </w:tcPr>
          <w:p>
            <w:pPr>
              <w:spacing w:after="0"/>
              <w:rPr>
                <w:sz w:val="1"/>
                <w:szCs w:val="1"/>
                <w:color w:val="auto"/>
              </w:rPr>
            </w:pPr>
          </w:p>
        </w:tc>
      </w:tr>
      <w:tr>
        <w:trPr>
          <w:trHeight w:val="210"/>
        </w:trPr>
        <w:tc>
          <w:tcPr>
            <w:tcW w:w="81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(at cost, less accumulated depreciation and amortization)</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175,771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462,836</w:t>
            </w:r>
          </w:p>
        </w:tc>
        <w:tc>
          <w:tcPr>
            <w:tcW w:w="0" w:type="dxa"/>
            <w:vAlign w:val="bottom"/>
          </w:tcPr>
          <w:p>
            <w:pPr>
              <w:spacing w:after="0"/>
              <w:rPr>
                <w:sz w:val="1"/>
                <w:szCs w:val="1"/>
                <w:color w:val="auto"/>
              </w:rPr>
            </w:pPr>
          </w:p>
        </w:tc>
      </w:tr>
      <w:tr>
        <w:trPr>
          <w:trHeight w:val="210"/>
        </w:trPr>
        <w:tc>
          <w:tcPr>
            <w:tcW w:w="81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20,246,491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22,766,491</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1,976,101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c>
          <w:tcPr>
            <w:tcW w:w="0" w:type="dxa"/>
            <w:vAlign w:val="bottom"/>
          </w:tcPr>
          <w:p>
            <w:pPr>
              <w:spacing w:after="0"/>
              <w:rPr>
                <w:sz w:val="1"/>
                <w:szCs w:val="1"/>
                <w:color w:val="auto"/>
              </w:rPr>
            </w:pP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intangible assets,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795,608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1,022,924</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Security deposit on letter of credit</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0"/>
        </w:trPr>
        <w:tc>
          <w:tcPr>
            <w:tcW w:w="8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Total other assets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23,026,961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25,874,277</w:t>
            </w:r>
          </w:p>
        </w:tc>
        <w:tc>
          <w:tcPr>
            <w:tcW w:w="0" w:type="dxa"/>
            <w:vAlign w:val="bottom"/>
          </w:tcPr>
          <w:p>
            <w:pPr>
              <w:spacing w:after="0"/>
              <w:rPr>
                <w:sz w:val="1"/>
                <w:szCs w:val="1"/>
                <w:color w:val="auto"/>
              </w:rPr>
            </w:pPr>
          </w:p>
        </w:tc>
      </w:tr>
      <w:tr>
        <w:trPr>
          <w:trHeight w:val="210"/>
        </w:trPr>
        <w:tc>
          <w:tcPr>
            <w:tcW w:w="81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47,514,433</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30,849,691</w:t>
            </w:r>
          </w:p>
        </w:tc>
        <w:tc>
          <w:tcPr>
            <w:tcW w:w="0" w:type="dxa"/>
            <w:vAlign w:val="bottom"/>
          </w:tcPr>
          <w:p>
            <w:pPr>
              <w:spacing w:after="0"/>
              <w:rPr>
                <w:sz w:val="1"/>
                <w:szCs w:val="1"/>
                <w:color w:val="auto"/>
              </w:rPr>
            </w:pPr>
          </w:p>
        </w:tc>
      </w:tr>
      <w:tr>
        <w:trPr>
          <w:trHeight w:val="20"/>
        </w:trPr>
        <w:tc>
          <w:tcPr>
            <w:tcW w:w="8120" w:type="dxa"/>
            <w:vAlign w:val="bottom"/>
            <w:vMerge w:val="restart"/>
          </w:tcPr>
          <w:p>
            <w:pPr>
              <w:jc w:val="center"/>
              <w:ind w:left="317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jc w:val="center"/>
              <w:ind w:left="3210"/>
              <w:spacing w:after="0"/>
              <w:rPr>
                <w:sz w:val="20"/>
                <w:szCs w:val="20"/>
                <w:color w:val="auto"/>
              </w:rPr>
            </w:pPr>
            <w:r>
              <w:rPr>
                <w:rFonts w:ascii="Arial" w:cs="Arial" w:eastAsia="Arial" w:hAnsi="Arial"/>
                <w:sz w:val="18"/>
                <w:szCs w:val="18"/>
                <w:color w:val="auto"/>
                <w:w w:val="96"/>
              </w:rPr>
              <w:t>F-3</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4"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rPr>
              <w:t>CELSION CORPORATION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(Continued)</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 ─ trade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3,416,863</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2,878,978</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2,282,827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2,483,756</w:t>
            </w: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Notes payable - current portion</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2,560,553</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Deferred revenue – current portion</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0"/>
        </w:trPr>
        <w:tc>
          <w:tcPr>
            <w:tcW w:w="8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6,199,690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8,423,287</w:t>
            </w:r>
          </w:p>
        </w:tc>
      </w:t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Earn-out milestone liability</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12,538,525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13,188,226</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Deferred revenue – non-current portion</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 – non-current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71,710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12,352</w:t>
            </w:r>
          </w:p>
        </w:tc>
      </w:tr>
      <w:tr>
        <w:trPr>
          <w:trHeight w:val="20"/>
        </w:trPr>
        <w:tc>
          <w:tcPr>
            <w:tcW w:w="8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20,809,925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24,123,865</w:t>
            </w:r>
          </w:p>
        </w:tc>
      </w:tr>
      <w:tr>
        <w:trPr>
          <w:trHeight w:val="210"/>
        </w:trPr>
        <w:tc>
          <w:tcPr>
            <w:tcW w:w="8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120" w:type="dxa"/>
            <w:vAlign w:val="bottom"/>
          </w:tcPr>
          <w:p>
            <w:pPr>
              <w:ind w:left="340"/>
              <w:spacing w:after="0" w:line="201" w:lineRule="exact"/>
              <w:rPr>
                <w:sz w:val="20"/>
                <w:szCs w:val="20"/>
                <w:color w:val="auto"/>
              </w:rPr>
            </w:pPr>
            <w:r>
              <w:rPr>
                <w:rFonts w:ascii="Arial" w:cs="Arial" w:eastAsia="Arial" w:hAnsi="Arial"/>
                <w:sz w:val="18"/>
                <w:szCs w:val="18"/>
                <w:color w:val="auto"/>
                <w:w w:val="96"/>
              </w:rPr>
              <w:t>Preferred Stock - $0.01 par value (100,000 shares authorized and no shares issued or outstanding at</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December 31, 2017 and 2016)</w:t>
            </w: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120" w:type="dxa"/>
            <w:vAlign w:val="bottom"/>
          </w:tcPr>
          <w:p>
            <w:pPr>
              <w:ind w:left="340"/>
              <w:spacing w:after="0" w:line="201" w:lineRule="exact"/>
              <w:rPr>
                <w:sz w:val="20"/>
                <w:szCs w:val="20"/>
                <w:color w:val="auto"/>
              </w:rPr>
            </w:pPr>
            <w:r>
              <w:rPr>
                <w:rFonts w:ascii="Arial" w:cs="Arial" w:eastAsia="Arial" w:hAnsi="Arial"/>
                <w:sz w:val="18"/>
                <w:szCs w:val="18"/>
                <w:color w:val="auto"/>
                <w:w w:val="90"/>
              </w:rPr>
              <w:t>Common stock - $0.01 par value (112,500,000 shares authorized; 17,277,299 and 2,230,452 shares issued</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w w:val="97"/>
              </w:rPr>
              <w:t>at December 31, 2017 and 2016, respectively, and 17,276,965 and 2,230,118 shares outstanding at</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December 31, 2017 and 2016, respectively)</w:t>
            </w: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172,772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22,305</w:t>
            </w: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288,408,976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248,168,421</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(10,164)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(261,781,888)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(241,379,712)</w:t>
            </w:r>
          </w:p>
        </w:tc>
      </w:tr>
      <w:tr>
        <w:trPr>
          <w:trHeight w:val="20"/>
        </w:trPr>
        <w:tc>
          <w:tcPr>
            <w:tcW w:w="8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Total stockholders’ equity before treasury stock</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26,789,696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6,811,014</w:t>
            </w:r>
          </w:p>
        </w:tc>
      </w:tr>
      <w:tr>
        <w:trPr>
          <w:trHeight w:val="216"/>
        </w:trPr>
        <w:tc>
          <w:tcPr>
            <w:tcW w:w="8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Treasury stock, at cost (334 shares at December 31, 2017 and 2016)</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(85,188)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0"/>
        </w:trPr>
        <w:tc>
          <w:tcPr>
            <w:tcW w:w="8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26,704,508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6,725,826</w:t>
            </w:r>
          </w:p>
        </w:tc>
      </w:tr>
      <w:tr>
        <w:trPr>
          <w:trHeight w:val="210"/>
        </w:trPr>
        <w:tc>
          <w:tcPr>
            <w:tcW w:w="8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47,514,433</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30,849,691</w:t>
            </w:r>
          </w:p>
        </w:tc>
      </w:tr>
      <w:tr>
        <w:trPr>
          <w:trHeight w:val="413"/>
        </w:trPr>
        <w:tc>
          <w:tcPr>
            <w:tcW w:w="8120" w:type="dxa"/>
            <w:vAlign w:val="bottom"/>
            <w:tcBorders>
              <w:top w:val="single" w:sz="8" w:color="CCEEFF"/>
            </w:tcBorders>
          </w:tcPr>
          <w:p>
            <w:pPr>
              <w:jc w:val="center"/>
              <w:ind w:left="321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120" w:type="dxa"/>
            <w:vAlign w:val="bottom"/>
          </w:tcPr>
          <w:p>
            <w:pPr>
              <w:jc w:val="center"/>
              <w:ind w:left="3210"/>
              <w:spacing w:after="0"/>
              <w:rPr>
                <w:sz w:val="20"/>
                <w:szCs w:val="20"/>
                <w:color w:val="auto"/>
              </w:rPr>
            </w:pPr>
            <w:r>
              <w:rPr>
                <w:rFonts w:ascii="Arial" w:cs="Arial" w:eastAsia="Arial" w:hAnsi="Arial"/>
                <w:sz w:val="18"/>
                <w:szCs w:val="18"/>
                <w:color w:val="auto"/>
                <w:w w:val="96"/>
              </w:rPr>
              <w:t>F-4</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13,078,710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14,623,068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5,889,722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6,526,752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18,968,432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21,149,820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(18,468,432)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(20,649,820)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from change in earn-out milestone liability</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649,701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Impairment of in-process research and development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(2,520,000)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(1,444,023)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income,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(91,756)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other expense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(1,933,744)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(1,403,906)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(20,402,176)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(22,053,726)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Deemed dividend related to warrant modification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(345,685)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(20,747,861)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(22,053,726)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 per common share – 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 – basic and diluted</w:t>
            </w:r>
          </w:p>
        </w:tc>
        <w:tc>
          <w:tcPr>
            <w:tcW w:w="3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7,627,210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1,854,054</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8100" w:type="dxa"/>
            <w:vAlign w:val="bottom"/>
            <w:tcBorders>
              <w:top w:val="single" w:sz="8" w:color="CCEEFF"/>
            </w:tcBorders>
          </w:tcPr>
          <w:p>
            <w:pPr>
              <w:jc w:val="center"/>
              <w:ind w:left="319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color w:val="auto"/>
                <w:w w:val="96"/>
              </w:rPr>
              <w:t>F-5</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(20,402,176)</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(22,053,726)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Realized loss on investment securities recognized in investment income, net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Unrealized (loss) gain on investment securities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(10,164)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(20,412,340)</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(22,049,868)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jc w:val="center"/>
              <w:ind w:left="319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color w:val="auto"/>
                <w:w w:val="96"/>
              </w:rPr>
              <w:t>F-6</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40" w:type="dxa"/>
            <w:vAlign w:val="bottom"/>
          </w:tcPr>
          <w:p>
            <w:pPr>
              <w:ind w:left="4580"/>
              <w:spacing w:after="0"/>
              <w:rPr>
                <w:sz w:val="20"/>
                <w:szCs w:val="20"/>
                <w:color w:val="auto"/>
              </w:rPr>
            </w:pPr>
            <w:r>
              <w:rPr>
                <w:rFonts w:ascii="Arial" w:cs="Arial" w:eastAsia="Arial" w:hAnsi="Arial"/>
                <w:sz w:val="18"/>
                <w:szCs w:val="18"/>
                <w:b w:val="1"/>
                <w:bCs w:val="1"/>
                <w:color w:val="auto"/>
              </w:rPr>
              <w:t>CELSION CORPORATION</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40" w:type="dxa"/>
            <w:vAlign w:val="bottom"/>
          </w:tcPr>
          <w:p>
            <w:pPr>
              <w:ind w:left="3560"/>
              <w:spacing w:after="0"/>
              <w:rPr>
                <w:sz w:val="20"/>
                <w:szCs w:val="20"/>
                <w:color w:val="auto"/>
              </w:rPr>
            </w:pPr>
            <w:r>
              <w:rPr>
                <w:rFonts w:ascii="Arial" w:cs="Arial" w:eastAsia="Arial" w:hAnsi="Arial"/>
                <w:sz w:val="18"/>
                <w:szCs w:val="18"/>
                <w:b w:val="1"/>
                <w:bCs w:val="1"/>
                <w:color w:val="auto"/>
              </w:rPr>
              <w:t>CONSOLIDATED STATEMENTS OF CASH FLOWS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(20,402,176)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(22,053,726)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items included in net loss: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553,010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earn-out milestone liability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(649,701)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Impairment of in-process research and development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2,520,000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1,105,245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Shares issued to satisfy certain obligations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235,072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out of treasury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Amortization of deferred finance charges and debt discount associated with note payable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35,370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patent license fee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Change in deferred rent liability</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59,358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realized on sale of investment securities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Net changes in: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 on investments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115,222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 trade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537,885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563,987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(16,642,076)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(18,379,364)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 securities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(12,734,184)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1,680,000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13,635,000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Refund on security for letter of credit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(38,629)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(62,503)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(10,992,813)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9,060,713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17,910,401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6,775,016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common stock warrants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21,140,304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Principal payments on note payable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(2,595,923)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(4,099,847)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36,454,782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23" w:right="239" w:bottom="1440" w:gutter="0" w:footer="0" w:header="0"/>
        </w:sectPr>
      </w:pPr>
    </w:p>
    <w:p>
      <w:pPr>
        <w:spacing w:after="0"/>
        <w:rPr>
          <w:sz w:val="20"/>
          <w:szCs w:val="20"/>
          <w:color w:val="auto"/>
        </w:rPr>
      </w:pPr>
      <w:r>
        <w:rPr>
          <w:rFonts w:ascii="Arial" w:cs="Arial" w:eastAsia="Arial" w:hAnsi="Arial"/>
          <w:sz w:val="16"/>
          <w:szCs w:val="16"/>
          <w:b w:val="1"/>
          <w:bCs w:val="1"/>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8,819,893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(6,640,982)</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2,624,162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9,265,144</w:t>
            </w:r>
          </w:p>
        </w:tc>
      </w:tr>
      <w:tr>
        <w:trPr>
          <w:trHeight w:val="210"/>
        </w:trPr>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11,444,055</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2,624,162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823"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w:t>
            </w:r>
          </w:p>
        </w:tc>
        <w:tc>
          <w:tcPr>
            <w:tcW w:w="5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Interest</w:t>
            </w:r>
          </w:p>
        </w:tc>
        <w:tc>
          <w:tcPr>
            <w:tcW w:w="64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56,386</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486,327</w:t>
            </w:r>
          </w:p>
        </w:tc>
      </w:tr>
      <w:tr>
        <w:trPr>
          <w:trHeight w:val="20"/>
        </w:trPr>
        <w:tc>
          <w:tcPr>
            <w:tcW w:w="22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220" w:type="dxa"/>
            <w:vAlign w:val="bottom"/>
            <w:shd w:val="clear" w:color="auto" w:fill="CCEEFF"/>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Income taxes</w:t>
            </w:r>
          </w:p>
        </w:tc>
        <w:tc>
          <w:tcPr>
            <w:tcW w:w="59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2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220" w:type="dxa"/>
            <w:vAlign w:val="bottom"/>
          </w:tcPr>
          <w:p>
            <w:pPr>
              <w:spacing w:after="0"/>
              <w:rPr>
                <w:sz w:val="24"/>
                <w:szCs w:val="24"/>
                <w:color w:val="auto"/>
              </w:rPr>
            </w:pPr>
          </w:p>
        </w:tc>
        <w:tc>
          <w:tcPr>
            <w:tcW w:w="6460" w:type="dxa"/>
            <w:vAlign w:val="bottom"/>
            <w:gridSpan w:val="2"/>
          </w:tcPr>
          <w:p>
            <w:pPr>
              <w:jc w:val="right"/>
              <w:ind w:right="550"/>
              <w:spacing w:after="0"/>
              <w:rPr>
                <w:sz w:val="20"/>
                <w:szCs w:val="20"/>
                <w:color w:val="auto"/>
              </w:rPr>
            </w:pPr>
            <w:r>
              <w:rPr>
                <w:rFonts w:ascii="Arial" w:cs="Arial" w:eastAsia="Arial" w:hAnsi="Arial"/>
                <w:sz w:val="18"/>
                <w:szCs w:val="18"/>
                <w:color w:val="auto"/>
              </w:rPr>
              <w:t>See accompanying notes to the consolidated financial statements.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220" w:type="dxa"/>
            <w:vAlign w:val="bottom"/>
          </w:tcPr>
          <w:p>
            <w:pPr>
              <w:spacing w:after="0"/>
              <w:rPr>
                <w:sz w:val="24"/>
                <w:szCs w:val="24"/>
                <w:color w:val="auto"/>
              </w:rPr>
            </w:pPr>
          </w:p>
        </w:tc>
        <w:tc>
          <w:tcPr>
            <w:tcW w:w="6460" w:type="dxa"/>
            <w:vAlign w:val="bottom"/>
            <w:gridSpan w:val="2"/>
          </w:tcPr>
          <w:p>
            <w:pPr>
              <w:jc w:val="right"/>
              <w:ind w:right="2750"/>
              <w:spacing w:after="0"/>
              <w:rPr>
                <w:sz w:val="20"/>
                <w:szCs w:val="20"/>
                <w:color w:val="auto"/>
              </w:rPr>
            </w:pPr>
            <w:r>
              <w:rPr>
                <w:rFonts w:ascii="Arial" w:cs="Arial" w:eastAsia="Arial" w:hAnsi="Arial"/>
                <w:sz w:val="18"/>
                <w:szCs w:val="18"/>
                <w:color w:val="auto"/>
              </w:rPr>
              <w:t>F-7</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220" w:type="dxa"/>
            <w:vAlign w:val="bottom"/>
            <w:tcBorders>
              <w:bottom w:val="single" w:sz="8" w:color="auto"/>
            </w:tcBorders>
          </w:tcPr>
          <w:p>
            <w:pPr>
              <w:spacing w:after="0"/>
              <w:rPr>
                <w:sz w:val="10"/>
                <w:szCs w:val="10"/>
                <w:color w:val="auto"/>
              </w:rPr>
            </w:pPr>
          </w:p>
        </w:tc>
        <w:tc>
          <w:tcPr>
            <w:tcW w:w="59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3"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Outstanding</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2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Paid in</w:t>
            </w: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Compr.</w:t>
            </w:r>
          </w:p>
        </w:tc>
        <w:tc>
          <w:tcPr>
            <w:tcW w:w="122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1"/>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Income</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1, 2016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$ 239,885,476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(1,382,305)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(218,130,360)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20,385,664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(22,053,726)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(22,053,726)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Registered direct common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stock offerings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532,472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6,769,691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6,775,016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Conversion of common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stock warrants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17,857</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2,321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gains and losses, net, 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investments 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1,332,838</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178,095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7"/>
              </w:rPr>
              <w:t>1,297,117</w:t>
            </w: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(1,195,626)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101,491</w:t>
            </w:r>
          </w:p>
        </w:tc>
        <w:tc>
          <w:tcPr>
            <w:tcW w:w="0" w:type="dxa"/>
            <w:vAlign w:val="bottom"/>
          </w:tcPr>
          <w:p>
            <w:pPr>
              <w:spacing w:after="0"/>
              <w:rPr>
                <w:sz w:val="1"/>
                <w:szCs w:val="1"/>
                <w:color w:val="auto"/>
              </w:rPr>
            </w:pPr>
          </w:p>
        </w:tc>
      </w:tr>
      <w:tr>
        <w:trPr>
          <w:trHeight w:val="217"/>
        </w:trPr>
        <w:tc>
          <w:tcPr>
            <w:tcW w:w="2240" w:type="dxa"/>
            <w:vAlign w:val="bottom"/>
            <w:gridSpan w:val="2"/>
          </w:tcPr>
          <w:p>
            <w:pPr>
              <w:spacing w:after="0"/>
              <w:rPr>
                <w:sz w:val="20"/>
                <w:szCs w:val="20"/>
                <w:color w:val="auto"/>
              </w:rPr>
            </w:pPr>
            <w:r>
              <w:rPr>
                <w:rFonts w:ascii="Arial" w:cs="Arial" w:eastAsia="Arial" w:hAnsi="Arial"/>
                <w:sz w:val="18"/>
                <w:szCs w:val="18"/>
                <w:color w:val="auto"/>
              </w:rPr>
              <w:t>out of treasury</w:t>
            </w: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2,230,118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22,305</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248,168,421</w:t>
            </w:r>
          </w:p>
        </w:tc>
        <w:tc>
          <w:tcPr>
            <w:tcW w:w="2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(85,188)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8"/>
              </w:rPr>
              <w:t>$ (241,379,712)</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6,725,826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2016</w:t>
            </w:r>
          </w:p>
        </w:tc>
        <w:tc>
          <w:tcPr>
            <w:tcW w:w="11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Outstanding</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22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Paid in</w:t>
            </w: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Compr.</w:t>
            </w:r>
          </w:p>
        </w:tc>
        <w:tc>
          <w:tcPr>
            <w:tcW w:w="122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1"/>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Amount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Income</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2,230,118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$ 248,168,421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(241,379,712)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6,725,826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(20,402,176)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(20,402,176)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Registered direct and ATM</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7,296,352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17,837,437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17,910,401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w w:val="94"/>
              </w:rPr>
              <w:t>Conversion of common stock</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920" w:type="dxa"/>
            <w:vAlign w:val="bottom"/>
          </w:tcPr>
          <w:p>
            <w:pPr>
              <w:jc w:val="right"/>
              <w:spacing w:after="0"/>
              <w:rPr>
                <w:sz w:val="20"/>
                <w:szCs w:val="20"/>
                <w:color w:val="auto"/>
              </w:rPr>
            </w:pPr>
            <w:r>
              <w:rPr>
                <w:rFonts w:ascii="Arial" w:cs="Arial" w:eastAsia="Arial" w:hAnsi="Arial"/>
                <w:sz w:val="18"/>
                <w:szCs w:val="18"/>
                <w:color w:val="auto"/>
              </w:rPr>
              <w:t>7,617,148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76,171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21,064,133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21,140,304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to satisfy</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certain obligations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233,771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Realized and unrealized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gains and losses, net, 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investments securities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(10,164)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1,105,245</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3,357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Modification of warrant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345,685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345,685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w w:val="99"/>
              </w:rPr>
              <w:t>Deemed dividend related to</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warrant exercise price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modifications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(345,685)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Effect of reverse stock split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220" w:type="dxa"/>
            <w:vAlign w:val="bottom"/>
          </w:tcPr>
          <w:p>
            <w:pPr>
              <w:spacing w:after="0" w:line="191" w:lineRule="exact"/>
              <w:rPr>
                <w:sz w:val="20"/>
                <w:szCs w:val="20"/>
                <w:color w:val="auto"/>
              </w:rPr>
            </w:pPr>
            <w:r>
              <w:rPr>
                <w:rFonts w:ascii="Arial" w:cs="Arial" w:eastAsia="Arial" w:hAnsi="Arial"/>
                <w:sz w:val="18"/>
                <w:szCs w:val="18"/>
                <w:b w:val="1"/>
                <w:bCs w:val="1"/>
                <w:color w:val="auto"/>
              </w:rPr>
              <w:t>Balance at December 31,</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17,276,965</w:t>
            </w:r>
          </w:p>
        </w:tc>
        <w:tc>
          <w:tcPr>
            <w:tcW w:w="2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172,772</w:t>
            </w:r>
          </w:p>
        </w:tc>
        <w:tc>
          <w:tcPr>
            <w:tcW w:w="220" w:type="dxa"/>
            <w:vAlign w:val="bottom"/>
            <w:vMerge w:val="restart"/>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288,408,976</w:t>
            </w:r>
          </w:p>
        </w:tc>
        <w:tc>
          <w:tcPr>
            <w:tcW w:w="2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100" w:type="dxa"/>
            <w:vAlign w:val="bottom"/>
            <w:vMerge w:val="restart"/>
          </w:tcPr>
          <w:p>
            <w:pPr>
              <w:spacing w:after="0"/>
              <w:rPr>
                <w:sz w:val="16"/>
                <w:szCs w:val="16"/>
                <w:color w:val="auto"/>
              </w:rPr>
            </w:pP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(85,188)</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(10,164)</w:t>
            </w: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8"/>
              </w:rPr>
              <w:t>$ (261,781,888)</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7"/>
              </w:rPr>
              <w:t>26,704,508</w:t>
            </w:r>
          </w:p>
        </w:tc>
        <w:tc>
          <w:tcPr>
            <w:tcW w:w="0" w:type="dxa"/>
            <w:vAlign w:val="bottom"/>
          </w:tcPr>
          <w:p>
            <w:pPr>
              <w:spacing w:after="0"/>
              <w:rPr>
                <w:sz w:val="1"/>
                <w:szCs w:val="1"/>
                <w:color w:val="auto"/>
              </w:rPr>
            </w:pPr>
          </w:p>
        </w:tc>
      </w:tr>
      <w:tr>
        <w:trPr>
          <w:trHeight w:val="194"/>
        </w:trPr>
        <w:tc>
          <w:tcPr>
            <w:tcW w:w="22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2017</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a Delaware corporation based in Lawrenceville, New Jersey, and its wholly owned subsidiary, CLSN Laboratories, Inc., also a Delaware corporation, referred to herein as “Celsion”, “we”, or “the Company,” as the context requires, is a fully-integrated, development stage oncology drug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pipeline also includes GEN-1,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consolidated financial statements of Celsion have been prepared in accordance with generally accepted accounting principles (“GAAP”) in the United States and include the accounts of the Company and CLSN Laboratories, Inc. All intercompany balances and transactions have been eliminated. The preparation of financial statements in conformity with GAAP requires management to make judgments, estimates, and assumptions that affect the amount reported in the Company’s financial statements and accompanying notes. Actual results could differ materially from these estimates.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Events and conditions arising subsequent to the most recent balance sheet date through the date of the issuance of these consolidated financial statements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inception of each collaborative agreement that includes milestone payments, the Company evaluates whether each milestone is substantive on the basis of the contingent nature of the milestone, specifically reviewing factors such as the scientific and other risks that must be overcome to achieve the milestone, as well as the level of effort and investment required. Milestones that are not considered substantive and that do not meet the separation criteria are accounted for as license payments and recognized on a straight-line basis over the remaining period of performance. Payments received or reasonably assured after performance obligations are met completely are recognized as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and investments purchased with an original maturity of three months or less. A portion of these funds are not covered by FDIC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Investment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 securities approximate their respective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Term Investments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classifies its investments in marketable securities with readily determinable fair values as investments available-for-sale in accordance with Accounting Standards Codification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Available-for-sale securities consist of debt and equity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short-term investments consist of corporate bonds and government agency bonds.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$326,000 and $455,000 for the years ended December 31, 2017 and 2016,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Deposits include real property security deposits and other deposits which are contractually required and of a long-term 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Other Intangible Assets and 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purchased several licenses for rights to patented technologies. Patent license costs of $75,000 have been capitalized and are amortized on a straight-line basis over the estimated life of the related patent. As of December 31, 2017 and 2016, the total accumulated amortization expense is $75,00. The weighted-average amortization period for these assets is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Accounting Standards Codification (“ASC”)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establishes standards for the reporting and display of comprehensive income (loss) and its components in the Company’s consolidated financial statements. The objective of ASC 220 is to report a measure comprehensive income (loss) of all changes in equity of an enterprise that result from transactions and other economic events in a period other than transactions with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are expensed as incurred. Equipment and facilities acquired for research and development activities that have alternative future uses are capitalized and charged to expense over their estimated useful lives.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2017, the total number of shares of common stock issuable upon exercise of warrants and equity awards is 3,761,844. For the year ended December 31, 2017, diluted loss per common share is the same as basic loss per common share as all options and all warrants that were convertible into shares of the Company’s common stock were excluded from the calculation of diluted earnings attributable to common stockholders per common share as their effect would be anti-dilutive.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jc w:val="both"/>
        <w:spacing w:after="0" w:line="297" w:lineRule="auto"/>
        <w:rPr>
          <w:sz w:val="20"/>
          <w:szCs w:val="20"/>
          <w:color w:val="auto"/>
        </w:rPr>
      </w:pPr>
      <w:r>
        <w:rPr>
          <w:rFonts w:ascii="Arial" w:cs="Arial" w:eastAsia="Arial" w:hAnsi="Arial"/>
          <w:sz w:val="16"/>
          <w:szCs w:val="16"/>
          <w:color w:val="auto"/>
        </w:rPr>
        <w:t>For the year ended December 31, 2016, the total number of shares of common stock issuable upon exercise of warrants and equity awards was 1,702,272. The Pre-funded Series B Warrants (as more fully described in Note 10 of these financial statements) were convertible into shares of the Company’s common stock totaling 132,142 were considered issued in calculating basic loss per share. For the year ended December 31, 2016, diluted loss per common share was the same as basic loss per common share as the other 1,570,300 warrants and equity awards that were convertible into shares of the Company’s common stock were excluded from the calculation of diluted earnings per common share as their effect would have been anti-dilutive.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 and liabilities of a change in tax rates is recognized in results of operations in the period that the tax rate change occurs. Valuation allowances are established, when necessary, to reduce deferred tax assets to the amount expected to be realized.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 which simplifies various aspects of accounting for share-based payments. The areas for simplification involve several aspects of the accounting for share-based payment transactions, including the income tax consequences and classification on the statements of cash flows. The Company adopted the standard during the first quarter of 2017 and has elected to recognize the effect of forfeitures in compensation cost when they occur. There was no retrospective impact to the consolidated financial statements, including the consolidated statements of cash flows as a result of the adoption of this standard.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Certain reclassifications have been made to prior year financial statements to conform to classifications used in the current year. These classifications had no impact on net loss, stockholders’ equity or cash flows as previously reported. See Note 10 regarding the reverse stock split which occurred on May 26,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2014-09 was originally going to be effective on January 1, 2017; however, the FASB issued ASU 2015-14, “Revenue from Contracts with Customers (Topic</w:t>
      </w:r>
    </w:p>
    <w:p>
      <w:pPr>
        <w:spacing w:after="0" w:line="2" w:lineRule="exact"/>
        <w:rPr>
          <w:sz w:val="20"/>
          <w:szCs w:val="20"/>
          <w:color w:val="auto"/>
        </w:rPr>
      </w:pPr>
    </w:p>
    <w:p>
      <w:pPr>
        <w:jc w:val="both"/>
        <w:ind w:firstLine="8"/>
        <w:spacing w:after="0" w:line="267" w:lineRule="auto"/>
        <w:tabs>
          <w:tab w:leader="none" w:pos="381" w:val="left"/>
        </w:tabs>
        <w:numPr>
          <w:ilvl w:val="0"/>
          <w:numId w:val="42"/>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2016-8, “Revenue from Contracts with Customers (Topic 606): Principal versus Agent Considerations. The amendments in this ASU do not change the core principle of ASU No. 2014-09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The standard allows for either “full retrospective” adoption, meaning the standard is applied to all of the periods presented, or “modified retrospective” adoption, meaning the standard is applied only to the most current period presented in the financial statements. The Company will adopt the standard on January 1, 2018 using the modified retrospective approach. The Company conducted its contract review process in 2017 to make appropriate changes to business and control processes to support recognition and disclosure under the new standard. Based on the Company’s evaluation, the adoption of the ASU 2014-09 will not have a material impact on its consolidated financial statements because existing contractual performance obligations, which determine when and how revenue is recognized, are not materially changed under the new standard.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8"/>
          <w:szCs w:val="18"/>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the equity method of accounting). This guidance is effective for fiscal years, and interim periods within those years, beginning after December 15, 2017. Based on the Company’s evaluation to date, the adoption of the ASU 2016-01 is not expected to have a material impact on its consolidated financial statements or its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The Company is currently evaluating the impact the adoption of this guidance will have on its consolidated financial statements and disclosures.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2016, the FASB issued Accounting Standard Update No. 2016-15, Statement of Cash Flows (Topic 230): Classification of Certain Cash Receipts and Cash Payments. This update clarifies how certain cash receipts and payments should be presented in the statement of cash flows and is effective for interim and annual reporting periods beginning after December 15, 2017, with early adoption permitted. Based on the Company’s evaluation to date, the adoption of the ASU 2016-15 is not expected to have a material impact on its consolidated financial statements or its disclosures.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November 2016, the FASB issued Accounting Standard Update No. 2016-18, Statement of Cash Flows (Topic 230): Restricted Cash. This update amends the guidance in ASC 230, including providing additional guidance related to transfers between cash and restricted cash and how entities present, in their statement of cash flows, the cash receipts and cash payments that directly affect the restricted cash accounts. This guidance is effective for annual reporting periods beginning after December 15, 2017, and interim periods within those years, with early adoption permitted. Based on the Company’s evaluation to date, the adoption of the ASU 2016-18 is not expected to have a material impact on its consolidated financial statements or its disclosures.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Accounting Standard Update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guidance is effective for annual reporting periods beginning after December 15, 2017, and interim periods within those years, with early adoption permitted. Based on the Company’s evaluation, the adoption of the ASU 2016-18 is not expected to have a material impact on its consolidated financial statements or its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2017, the FASB issued Accounting Standard Update No. 2017-04, Intangibles-Goodwill and Other, Simplifying the Test for Goodwill impairment, which eliminates Step 2 from the goodwill impairment test. Under the revised test,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is effective for any interim or annual impairment tests for fiscal years beginning after December 15, 2019, with early adoption permitted. The Company adopted this method for its impairment test of goodwill during 2017.</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Food and Drug Administration. We have not generated significant revenue and have incurred significant net losses in each year since our inception. For the year ended December 31, 2017, we had a net loss of $20.4 million and used $16.6 million to fund operations. We have incurred approximately $262 million of accumulated losses. As of December 31, 2017, we had approximately $24.2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500" w:hanging="248"/>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500" w:hanging="248"/>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500" w:hanging="248"/>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500" w:hanging="248"/>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500" w:hanging="248"/>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500" w:right="60" w:hanging="248"/>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500" w:hanging="248"/>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500" w:hanging="248"/>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500" w:hanging="248"/>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the $24.2 million in in cash, investment securities and interest receivable at December 31, 2017, the Company believes it has sufficient capital resources to fund its operations into the third quarter of 2019. The Company will be required to obtain additional funding in order to continue the development of its current product candidates within the anticipated time periods, if at all, and to continue to fund operations. As more fully discussed in Note 10, the Company has $13.5 million available for future sale under a controlled equity offering facility it has with Cantor Fitzgerald &amp; Co. as of December 31, 2017.</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 TERM INVESTMENTS AVAILABLE FOR SALE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 term investments available for sale of $12,724,020 and $1,680,000 as of December 31, 2017 and 2016, respectively, consist of money market funds, commercial paper, corporate debt securities, and government agency debt securities. They are valued at estimated fair value, with unrealized gains and losses reported as a separate component of stockholders’ equity in accumulated other comprehensive loss.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0"/>
                <w:szCs w:val="20"/>
                <w:color w:val="auto"/>
              </w:rPr>
            </w:pPr>
          </w:p>
        </w:tc>
        <w:tc>
          <w:tcPr>
            <w:tcW w:w="234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 2016</w:t>
            </w:r>
          </w:p>
        </w:tc>
      </w:tr>
      <w:tr>
        <w:trPr>
          <w:trHeight w:val="210"/>
        </w:trPr>
        <w:tc>
          <w:tcPr>
            <w:tcW w:w="6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Bonds - corporate issuances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12,734,184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12,724,020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12,734,184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12,724,020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0"/>
                <w:szCs w:val="20"/>
                <w:color w:val="auto"/>
              </w:rPr>
            </w:pPr>
          </w:p>
        </w:tc>
        <w:tc>
          <w:tcPr>
            <w:tcW w:w="234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 2016</w:t>
            </w:r>
          </w:p>
        </w:tc>
      </w:tr>
      <w:tr>
        <w:trPr>
          <w:trHeight w:val="210"/>
        </w:trPr>
        <w:tc>
          <w:tcPr>
            <w:tcW w:w="6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Within 3 months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12,734,184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12,724,020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12,734,184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12,724,020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31,262</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Accretion of investment premium</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(3,808)</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Losses investment maturity and sales, net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r>
      <w:tr>
        <w:trPr>
          <w:trHeight w:val="20"/>
        </w:trPr>
        <w:tc>
          <w:tcPr>
            <w:tcW w:w="8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ind w:left="180"/>
              <w:spacing w:after="0"/>
              <w:rPr>
                <w:sz w:val="20"/>
                <w:szCs w:val="20"/>
                <w:color w:val="auto"/>
              </w:rPr>
            </w:pPr>
            <w:r>
              <w:rPr>
                <w:rFonts w:ascii="Arial" w:cs="Arial" w:eastAsia="Arial" w:hAnsi="Arial"/>
                <w:sz w:val="18"/>
                <w:szCs w:val="18"/>
                <w:color w:val="auto"/>
              </w:rPr>
              <w:t>Investment income net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26,041</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26,922</w:t>
            </w:r>
          </w:p>
        </w:tc>
      </w:tr>
      <w:tr>
        <w:trPr>
          <w:trHeight w:val="20"/>
        </w:trPr>
        <w:tc>
          <w:tcPr>
            <w:tcW w:w="8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shows the Company’s investment securities gross unrealized losses and fair value by investment category and length of time that individual securities have been in a continuous unrealized loss position at December 31, 2017. The fair value of each short-term investment at December 31, 2016, $1,680,000 in total, was equal to its cost. Therefore, no unrealized gains or losses existed at December 31, 2016. The Company has reviewed individual securities to determine whether a decline in fair value below the amortizable cost basis is other than temporary.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Holding Gains</w:t>
            </w:r>
          </w:p>
        </w:tc>
      </w:tr>
      <w:tr>
        <w:trPr>
          <w:trHeight w:val="234"/>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Description of Investment Securities</w:t>
            </w:r>
          </w:p>
        </w:tc>
        <w:tc>
          <w:tcPr>
            <w:tcW w:w="360" w:type="dxa"/>
            <w:vAlign w:val="bottom"/>
          </w:tcPr>
          <w:p>
            <w:pPr>
              <w:spacing w:after="0"/>
              <w:rPr>
                <w:sz w:val="20"/>
                <w:szCs w:val="20"/>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(Losses)</w:t>
            </w: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Available for sale (all unrealized holding gains and losses are less than 12 months at date of measurement)</w:t>
            </w: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Investments with unrealized gains - Bonds - corporate issuances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748,148</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with unrealized losses – Bonds - corporate issuances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11,975,872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(10,734)</w:t>
            </w: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12,724,020</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(10,164)</w:t>
            </w: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VALUES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FASB Accounting Standards Codification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three-tier level hierarchy for fair value measurements which requires an entity to maximize the use of observable inputs and minimize the use of unobservable inputs when measuring fair value. The standard describes three levels of inputs that may be used to measure fair value:</w:t>
      </w:r>
    </w:p>
    <w:p>
      <w:pPr>
        <w:spacing w:after="0" w:line="181" w:lineRule="exact"/>
        <w:rPr>
          <w:sz w:val="20"/>
          <w:szCs w:val="20"/>
          <w:color w:val="auto"/>
        </w:rPr>
      </w:pPr>
    </w:p>
    <w:p>
      <w:pPr>
        <w:ind w:left="7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72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72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sheets at their estimated fair values primarily due to their short-term nature. There were no transfers of assets or liabilities between Level 1 and Level 2 and no transfers in or out of Level 3 during 2017 or 2016. All changes in Level 3 liabilities were the result of changes in the fair value of the earn-out milestone liability included in earnings (see Note 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Assets and liabilities measured at fair value are summarized below:</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Quoted Prices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Total Fair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 Active</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Significant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Value 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Markets For</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the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Identical</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Observable</w:t>
            </w:r>
          </w:p>
        </w:tc>
        <w:tc>
          <w:tcPr>
            <w:tcW w:w="1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Balance</w:t>
            </w:r>
          </w:p>
        </w:tc>
        <w:tc>
          <w:tcPr>
            <w:tcW w:w="1620" w:type="dxa"/>
            <w:vAlign w:val="bottom"/>
            <w:gridSpan w:val="4"/>
          </w:tcPr>
          <w:p>
            <w:pPr>
              <w:ind w:left="100"/>
              <w:spacing w:after="0"/>
              <w:rPr>
                <w:sz w:val="20"/>
                <w:szCs w:val="20"/>
                <w:color w:val="auto"/>
              </w:rPr>
            </w:pPr>
            <w:r>
              <w:rPr>
                <w:rFonts w:ascii="Arial" w:cs="Arial" w:eastAsia="Arial" w:hAnsi="Arial"/>
                <w:sz w:val="18"/>
                <w:szCs w:val="18"/>
                <w:b w:val="1"/>
                <w:bCs w:val="1"/>
                <w:color w:val="auto"/>
              </w:rPr>
              <w:t>Assets/Liabilities</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Inputs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Sheet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Recurring items as of December 31, 2017</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available for sale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12,724,020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12,724,020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Investment securities, available for sale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1,680,000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1,680,000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Earn-out milestone liability (Note 12)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12,538,525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12,538,525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Recurring items as of December 31, 2016</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 (Note 12)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13,188,226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13,188,226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 OF EGEN,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Celsion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193,728 shares of our common stock to EGEN. The shares of common stock were issued in a private transaction exempt from registration under the Securities Act, pursuant to Section 4(2) thereof. In addition, 47,862 shares of common stock were held back by us at the closing and were issuable to EGEN pending satisfactory resolution of any post-closing adjustments for expenses or in relation to EGEN’s indemnification obligations under the Asset Purchase Agreement. These shares were issued on June 16, 2017.</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There being no immediate opportunity to out-license TheraSilence, earnout payments have been adjusted and now up to $24.4 million will become payable, in cash, shares of our common stock or a combination thereof, at our option, upon achievement of two major milestone events as follows:</w:t>
      </w:r>
    </w:p>
    <w:p>
      <w:pPr>
        <w:spacing w:after="0" w:line="147" w:lineRule="exact"/>
        <w:rPr>
          <w:sz w:val="20"/>
          <w:szCs w:val="20"/>
          <w:color w:val="auto"/>
        </w:rPr>
      </w:pPr>
    </w:p>
    <w:p>
      <w:pPr>
        <w:ind w:left="820" w:right="80" w:hanging="650"/>
        <w:spacing w:after="0" w:line="27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 and</w:t>
      </w:r>
    </w:p>
    <w:p>
      <w:pPr>
        <w:spacing w:after="0" w:line="170" w:lineRule="exact"/>
        <w:rPr>
          <w:rFonts w:ascii="Arial" w:cs="Arial" w:eastAsia="Arial" w:hAnsi="Arial"/>
          <w:sz w:val="18"/>
          <w:szCs w:val="18"/>
          <w:color w:val="auto"/>
        </w:rPr>
      </w:pPr>
    </w:p>
    <w:p>
      <w:pPr>
        <w:ind w:left="820" w:right="80" w:hanging="650"/>
        <w:spacing w:after="0" w:line="27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jc w:val="both"/>
        <w:ind w:right="40"/>
        <w:spacing w:after="0" w:line="286" w:lineRule="auto"/>
        <w:rPr>
          <w:sz w:val="20"/>
          <w:szCs w:val="20"/>
          <w:color w:val="auto"/>
        </w:rPr>
      </w:pPr>
      <w:r>
        <w:rPr>
          <w:rFonts w:ascii="Arial" w:cs="Arial" w:eastAsia="Arial" w:hAnsi="Arial"/>
          <w:sz w:val="17"/>
          <w:szCs w:val="17"/>
          <w:color w:val="auto"/>
        </w:rPr>
        <w:t>Our obligations to make the earnout payments will terminate on the seventh anniversary of the closing date. As of now, the Company does not anticipate that the ovarian cancer earnout payment will be made before the fourth quarter of 2019. The Company is continuing to evaluate the development of GEN-1 in glioblastoma multiforme brain cancer in light of other substantial competitive development programs in this indication.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(see Note 8). Celsion used the loan proceeds to pay the upfront cash payment at closing and certain transaction costs incurred by Celsion in connection with the acquisition.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was approximately $27.6 million. Under the acquisition method of accounting, the total purchase price was allocated to EGEN’s net tangible and intangible assets and liabilities based on their estimated fair values as of the acquisition date. The following table summarizes the fair values of these assets acquired and liabilities assumed related to the acquisition.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24,211,000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(Covenant not to compete)</w:t>
            </w:r>
          </w:p>
        </w:tc>
        <w:tc>
          <w:tcPr>
            <w:tcW w:w="3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3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27,813,000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3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(235,000)</w:t>
            </w:r>
          </w:p>
        </w:tc>
      </w:tr>
      <w:tr>
        <w:trPr>
          <w:trHeight w:val="20"/>
        </w:trPr>
        <w:tc>
          <w:tcPr>
            <w:tcW w:w="67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27,578,000</w:t>
            </w:r>
          </w:p>
        </w:tc>
      </w:tr>
      <w:tr>
        <w:trPr>
          <w:trHeight w:val="20"/>
        </w:trPr>
        <w:tc>
          <w:tcPr>
            <w:tcW w:w="67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September 30, 2017, after the Company’s annual assessment of the totality of the events that could impair IPR&amp;D, the Company determined certain IPR&amp;D assets related to the development of its glioblastoma multiforme cancer (GBM) product candidate may be impaired. To arrive at this determination, the Company assessed the status of studies in GBM conducted by its competitors and the Company’s strategic commitment of resources to its studies in primary liver cancer and ovarian cancer. The Company estimated the fair value of the IPR&amp;D related to GBM at September 30, 2017 using the multi-period excess earnings method (MPEEM). The Company concluded that the GBM asset, valued at $9.4 million, was partially impaired and wrote down the GBM asset to $6.9 million incurring a non-cash charge of $2.5 million in the third quarter of 2017. In connection with the write-off of this IPR&amp;D asset, the Company concluded there was a reduced probability of payments of the earn-out milestones associated with the GBM asset and therefore reduced the earn-out milestone liability from $13.8 million to $12.5 million, recording a non-cash benefit of approximately $1.2 million in the third quarter of 2017. As no indicators of impairment existed during the fourth quarter of 2017, the Company concluded none of the other IPR&amp;D assets were impaired at December 31, 2017.</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2016, the Company determined one of the IPR&amp;D assets related to the development of its RNA delivery system being developed with collaborators using their RNA product candidates may be impaired and after an assessment, the Company concluded that this asset, valued at $1.4 million, was impaired. Therefore, the Company wrote off the value of this IPR&amp;D asset incurring a non-cash charge of $1.4 million in the fourth quarter of 2016. In connection with the write-off of this IPR&amp;D asset, the Company concluded there was no probability of payments of the earn-out milestones associated with this asset and therefore reduced the earn-out milestone liability by $0.7 million at the same time. The Company concluded none of the other IPR&amp;D assets were impaired at December 31,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the end of 2016, the Company concluded the Covenant Not To Compete which was valued at approximately $1.6 million at the date of the EGEN acquisition had a definitive life and should be amortized on a straight-line basis over its life of 7 years. Therefore, in the fourth quarter of 2016, the Company recorded a non-cash adjustment of $568,290 representing the cumulative amount of amortization expense from the date of acquisition through the end of 2016. The Company recorded $277,316 of amortization expense during 2017. The fair value of the Covenant Not to Compete was $795,608 net of $795,606 accumulated amortization as of December 31, 2017 and $1,022,924 net of $568,290 accumulated amortization as of December 31, 2016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Arial" w:cs="Arial" w:eastAsia="Arial" w:hAnsi="Arial"/>
                <w:sz w:val="18"/>
                <w:szCs w:val="18"/>
                <w:color w:val="auto"/>
                <w:w w:val="98"/>
              </w:rPr>
              <w:t>Following is a schedule of future amortization amounts during the remaining life of the Covenant Not To Compete.</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8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 Ended</w:t>
            </w:r>
          </w:p>
        </w:tc>
      </w:tr>
      <w:tr>
        <w:trPr>
          <w:trHeight w:val="234"/>
        </w:trPr>
        <w:tc>
          <w:tcPr>
            <w:tcW w:w="8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0"/>
                <w:szCs w:val="20"/>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227,316</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227,316</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227,316</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113,660</w:t>
            </w:r>
          </w:p>
        </w:tc>
      </w:tr>
      <w:tr>
        <w:trPr>
          <w:trHeight w:val="20"/>
        </w:trPr>
        <w:tc>
          <w:tcPr>
            <w:tcW w:w="8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795,608</w:t>
            </w:r>
          </w:p>
        </w:tc>
      </w:tr>
      <w:tr>
        <w:trPr>
          <w:trHeight w:val="20"/>
        </w:trPr>
        <w:tc>
          <w:tcPr>
            <w:tcW w:w="89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2017, we concluded that the Company’s fair value exceeded its carrying value therefore “it is not more likely than not” that the Goodwill was impaired.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(5-7 year life)</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2,495,959</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2,459,532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Furniture and fixtures (3-5 year life)</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248,709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246,507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(5-7 year life)</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269,819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269,819</w:t>
            </w:r>
          </w:p>
        </w:tc>
        <w:tc>
          <w:tcPr>
            <w:tcW w:w="0" w:type="dxa"/>
            <w:vAlign w:val="bottom"/>
          </w:tcPr>
          <w:p>
            <w:pPr>
              <w:spacing w:after="0"/>
              <w:rPr>
                <w:sz w:val="1"/>
                <w:szCs w:val="1"/>
                <w:color w:val="auto"/>
              </w:rPr>
            </w:pPr>
          </w:p>
        </w:tc>
      </w:tr>
      <w:tr>
        <w:trPr>
          <w:trHeight w:val="20"/>
        </w:trPr>
        <w:tc>
          <w:tcPr>
            <w:tcW w:w="70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3,014,487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2,975,858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(2,838,716)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(2,513,022)</w:t>
            </w:r>
          </w:p>
        </w:tc>
        <w:tc>
          <w:tcPr>
            <w:tcW w:w="0" w:type="dxa"/>
            <w:vAlign w:val="bottom"/>
          </w:tcPr>
          <w:p>
            <w:pPr>
              <w:spacing w:after="0"/>
              <w:rPr>
                <w:sz w:val="1"/>
                <w:szCs w:val="1"/>
                <w:color w:val="auto"/>
              </w:rPr>
            </w:pPr>
          </w:p>
        </w:tc>
      </w:tr>
      <w:tr>
        <w:trPr>
          <w:trHeight w:val="20"/>
        </w:trPr>
        <w:tc>
          <w:tcPr>
            <w:tcW w:w="70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175,771</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462,836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7. OTHER ACCRUED LIABILITIES</w:t>
            </w:r>
          </w:p>
        </w:tc>
        <w:tc>
          <w:tcPr>
            <w:tcW w:w="1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8"/>
                <w:szCs w:val="18"/>
                <w:color w:val="auto"/>
              </w:rPr>
              <w:t>Other accrued liabilities at December 31, 2017 and 2016 include the following:</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665,373</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1,115,193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1,258,265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1,066,751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264,668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259,550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Accrued interest on notes payable</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22,241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70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2,282,827</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2,483,756</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5540"/>
              <w:spacing w:after="0"/>
              <w:rPr>
                <w:sz w:val="20"/>
                <w:szCs w:val="20"/>
                <w:color w:val="auto"/>
              </w:rPr>
            </w:pPr>
            <w:r>
              <w:rPr>
                <w:rFonts w:ascii="Arial" w:cs="Arial" w:eastAsia="Arial" w:hAnsi="Arial"/>
                <w:sz w:val="18"/>
                <w:szCs w:val="18"/>
                <w:color w:val="auto"/>
              </w:rPr>
              <w:t>F-18</w:t>
            </w:r>
          </w:p>
        </w:tc>
        <w:tc>
          <w:tcPr>
            <w:tcW w:w="1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8.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Hercules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the second tranche, the Company had drawn down a total of $10 million under the Hercules Credit Agreement.</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obligations under the Hercules Credit Agreement are in the form of secured indebtedness bearing interest at a calculated prime-based variable rate (11.25% per annum since inception through December 17, 2015, 11.50% from December 18, 2015 through December 15, 2016 and 11.75% since). Payments under the loan agreement were interest only for the first twelve months after loan closing, followed by a 30-month amortization period of principal and interest through the scheduled maturity date of June 1, 2017. In connection with the Hercules Credit Agreement, the Company incurred cash expenses of $122,378 which were recorded as deferred financing fees. These deferred financing fees are being amortized as interest expense using the effective interest method over the life of the loan.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fee in connection with the Hercules Credit Agreement, the Company issued Hercules a warrant for a total of 6,963 shares of the Company’s common stock (the Hercules Warrant) at a per share exercise price of $50.26, exercisable for cash or by net exercise from November 25, 2013. Upon the closing of the second tranche on June 10, 2014, this warrant became exercisable for an additional 6,963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first-year anniversary of the registration statement for such stock, whichever is earlier. The common stock issuable pursuant to the Hercules Warrant was filed pursuant to Rule 415 under the Securities Act of 1933 on the Prospectus for Registration Statement No. 333-193936 and was declared effective on September 30, 2014. The Company valued the Hercules Warrants issued using the Black-Scholes option pricing model and recorded a total of $476,261 as a direct deduction from the debt liability consistent with the presentation of a debt discount and are being amortized as interest expense using the effective interest method over the life of the loan. Also, in connection with each of the $5.0 million tranches, the Company was required to pay an end of term charge equal to 3.5% of each original loan amount at time of maturity. Therefore, these amounts totaling $350,000 were amortized as interest expense using the effective interest method over the life of the loan. The loan balance and end of term charges on the Hercules Credit Agreement was paid in full in June 2017.</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2017, the Company incurred $56,386 in interest expense and amortized $35,370 as interest expense for deferred fees, debt discount and end of term charges in connection with the Hercules Credit Agreement. For the year ended December 31, 2016, the Company incurred $486,327 in interest expense and amortized $236,666 as interest expense for deferred fees, debt discount and end of term charges in connection with the Hercules Credit Agreement.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accounting for the Tax Reform Act is incomplete. However, the Securities and Exchange Commission has issued guidance that allows for a measurement period of up to one year after the enactment date of the Tax Reform Act to finalize the recording of the related tax impacts. The Company has made reasonable estimates of the effects on the consolidated statements of operations and consolidated balance sheets and has, therefore, recorded provisional amounts. Provisional amounts recorded as of December 31, 2017 are subject to refinement due to various factors, including, but not limited to, changes in interpretations, analysis and assumptions made by the Company, additional guidance that may be issued by the U.S. Department of the Treasury and the Internal Revenue Service, and any updates or changes to estimates that the Company has utilized to calculate the transition impact. The Company currently anticipates finalizing and recording any resulting adjustments by December 2018. As a result of the Tax Reform Act, the Company was required to revalue deferred tax assets and liabilities at the newly enacted 21% U.S. federal corporate income tax rate. This revaluation did not result in any additional income tax provision as all deferred tax assets and net operating loss carryforwards have been fully reserved.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A reconciliation of the Company’s statutory tax rate to the effective rate for the years ended December 31, 2017 and 2016 is as follows:</w:t>
      </w:r>
    </w:p>
    <w:p>
      <w:pPr>
        <w:spacing w:after="0" w:line="221" w:lineRule="exact"/>
        <w:rPr>
          <w:sz w:val="20"/>
          <w:szCs w:val="20"/>
          <w:color w:val="auto"/>
        </w:rPr>
      </w:pPr>
    </w:p>
    <w:p>
      <w:pPr>
        <w:jc w:val="both"/>
        <w:ind w:left="9160"/>
        <w:spacing w:after="0"/>
        <w:tabs>
          <w:tab w:leader="none" w:pos="108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17145</wp:posOffset>
            </wp:positionV>
            <wp:extent cx="2040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5">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State taxes, net of federal tax benefit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 and deferred rate change,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Company’s deferred tax asset as of December 31, 2017 and 2016 are as follows: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0" w:type="dxa"/>
            <w:vAlign w:val="bottom"/>
            <w:gridSpan w:val="4"/>
          </w:tcPr>
          <w:p>
            <w:pPr>
              <w:jc w:val="right"/>
              <w:ind w:right="180"/>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r>
      <w:tr>
        <w:trPr>
          <w:trHeight w:val="230"/>
        </w:trPr>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(39.5)</w:t>
            </w:r>
          </w:p>
        </w:tc>
      </w:tr>
      <w:tr>
        <w:trPr>
          <w:trHeight w:val="20"/>
        </w:trPr>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80" w:type="dxa"/>
            <w:vAlign w:val="bottom"/>
          </w:tcPr>
          <w:p>
            <w:pPr>
              <w:spacing w:after="0"/>
              <w:rPr>
                <w:sz w:val="24"/>
                <w:szCs w:val="24"/>
                <w:color w:val="auto"/>
              </w:rPr>
            </w:pPr>
          </w:p>
        </w:tc>
        <w:tc>
          <w:tcPr>
            <w:tcW w:w="2440" w:type="dxa"/>
            <w:vAlign w:val="bottom"/>
            <w:gridSpan w:val="4"/>
          </w:tcPr>
          <w:p>
            <w:pPr>
              <w:ind w:left="13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45"/>
        </w:trPr>
        <w:tc>
          <w:tcPr>
            <w:tcW w:w="80" w:type="dxa"/>
            <w:vAlign w:val="bottom"/>
          </w:tcPr>
          <w:p>
            <w:pPr>
              <w:spacing w:after="0"/>
              <w:rPr>
                <w:sz w:val="24"/>
                <w:szCs w:val="24"/>
                <w:color w:val="auto"/>
              </w:rPr>
            </w:pPr>
          </w:p>
        </w:tc>
        <w:tc>
          <w:tcPr>
            <w:tcW w:w="244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7480" w:space="560"/>
            <w:col w:w="3380"/>
          </w:cols>
          <w:pgMar w:left="240" w:top="58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62,216,000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81,335,000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Deferred tax assets, net</w:t>
            </w: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2,415,000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2,714,000</w:t>
            </w:r>
          </w:p>
        </w:tc>
      </w:tr>
      <w:tr>
        <w:trPr>
          <w:trHeight w:val="20"/>
        </w:trPr>
        <w:tc>
          <w:tcPr>
            <w:tcW w:w="5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64,631,000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84,049,000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Valuation allowance</w:t>
            </w: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(64,631,000)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(84,049,000)</w:t>
            </w:r>
          </w:p>
        </w:tc>
      </w:tr>
      <w:tr>
        <w:trPr>
          <w:trHeight w:val="20"/>
        </w:trPr>
        <w:tc>
          <w:tcPr>
            <w:tcW w:w="5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28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At this time, the Company has established a valuation reserve for all of its deferred tax assets. Such tax assets are available to be recognized and benefit future periods.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color w:val="auto"/>
        </w:rPr>
        <w:t>Following is a schedule of net operating loss carryforwards and their year of expiration:</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Approximate Amount of Unused</w:t>
            </w:r>
          </w:p>
        </w:tc>
        <w:tc>
          <w:tcPr>
            <w:tcW w:w="5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Operating Loss Carry Forwards</w:t>
            </w:r>
          </w:p>
        </w:tc>
        <w:tc>
          <w:tcPr>
            <w:tcW w:w="560" w:type="dxa"/>
            <w:vAlign w:val="bottom"/>
          </w:tcPr>
          <w:p>
            <w:pPr>
              <w:spacing w:after="0"/>
              <w:rPr>
                <w:sz w:val="18"/>
                <w:szCs w:val="18"/>
                <w:color w:val="auto"/>
              </w:rPr>
            </w:pPr>
          </w:p>
        </w:tc>
        <w:tc>
          <w:tcPr>
            <w:tcW w:w="4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Expiration During</w:t>
            </w: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(in $000s)</w:t>
            </w:r>
          </w:p>
        </w:tc>
        <w:tc>
          <w:tcPr>
            <w:tcW w:w="560" w:type="dxa"/>
            <w:vAlign w:val="bottom"/>
          </w:tcPr>
          <w:p>
            <w:pPr>
              <w:spacing w:after="0"/>
              <w:rPr>
                <w:sz w:val="20"/>
                <w:szCs w:val="20"/>
                <w:color w:val="auto"/>
              </w:rPr>
            </w:pPr>
          </w:p>
        </w:tc>
        <w:tc>
          <w:tcPr>
            <w:tcW w:w="4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Year Ending</w:t>
            </w: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3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560" w:type="dxa"/>
            <w:vAlign w:val="bottom"/>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15,647</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7,361</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18,547</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18,145</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21,386</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20,558</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10,321</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2033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22,906</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21,338</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19,509</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3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225,422</w:t>
            </w:r>
          </w:p>
        </w:tc>
        <w:tc>
          <w:tcPr>
            <w:tcW w:w="56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2017, 2016 and in prior years, the Company performed analyses to determine if there were changes in ownership, as defined by Section 382 of the Internal Revenue Code that would limit its ability to utilize certain net operating loss and tax credit carry forwards. The Company determined that it experienced ownership changes, as defined by Section 382, in connection with certain common stock offerings in July 2011, February 2013, June 2013, June 2015, February 2017, June 2017 and October 2017. As a result, the utilization of the Company's federal tax net operating loss carry forwards generated prior to the ownership changes are limited. As of December 31, 2017, the Company has net operating loss carry forwards for U.S. federal and state tax purposes of approximately $89.0 million, before excluding net operating losses that have been limited as a result of Section 382 limitations. The annual limitation due to Section 382 for net operating loss carry forward utilization is approximately $4.2 million per year for approximately $90 million in net operating loss carry forwards existing at the ownership change occurring in July 2011, approximately $1.4 million per year for approximately $34 million of additional net operating losses occurring from July 2011 to the ownership change that occurred in February 2013, approximately $1.5 million per year for approximately $4 million of additional net operating losses occurring from February 2013 to the ownership change that occurred in June 2013, approximately $1.6 million per year for approximately $40 million of additional net operating losses occurring from June 2013 to the ownership change that occurred in June 2015, approximately $0.3 million per year for approximately $35 million of additional net operating losses occurring from June 2015 to the ownership change that occurred in February 2017, approximately $0.3 million per year for approximately $7 million of additional net operating losses occurring from February 2017 to the ownership change that occurred in June 2017 and approximately $0.8 million per year for approximately $5 million of additional net operating losses occurring from June 2017 to the ownership change that occurred in October 2017. The utilization of these net operating loss carry forwards may be further limited if the Company experiences future ownership changes as defined in Section 382 of the Internal Revenue Code.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September 2015, the Company filed with the Securities and Exchange Commission (the SEC) a $75 million shelf registration statement on Form S-3 (the 2015 Shelf Registration Statement) (File No. 333-206789) that allows the Company to issue any combination of common stock, preferred stock or warrants to purchase common stock or preferred stock. This shelf registration was declared effective on September 25, 2015.</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2016 Annual Meeting of Stockholders of the Company in June 2016, the Company’s stockholders of the Company approved an increase in the number of the authorized shares of the Company’s common stock from 75,000,000 shares to 112,500,000 shares. The number of the authorized shares of preferred stock remains 100,000 shares. The aggregate number of shares of all classes of stock that the Company may issue, after giving effect to such amendment as approved by the stockholders, will be 112,600,000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26, 2017, the Company effected a 14-for-1 reverse stock split of its common stock which was made effective for trading purposes as of the commencement of trading on May 30, 2017. As of that date, each 14 shares of issued and outstanding common stock and equivalents was consolidated into one share of common stock. All shares have been restated to reflect the effects of the 14-for-1 reverse stock split. In addition, at the market open on May 30, 2017, the Company’s common stock started trading under a new CUSIP number 15117N503 although the Company’s ticker symbol, CLSN, remained unchanged.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reverse stock split was previously approved by the Company’s stockholders at the 2017 Annual Meeting held on May 16, 2017, and the Company subsequently filed a Certificate of Amendment to its Certificate of Incorporation to effect the stock consolidation. The primary reasons for the reverse stock split and the amendment are:</w:t>
      </w:r>
    </w:p>
    <w:p>
      <w:pPr>
        <w:spacing w:after="0" w:line="18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increase the market price of the Company’s common stock making it more attractive to a broader range of institutional and other investors, and</w:t>
      </w:r>
    </w:p>
    <w:p>
      <w:pPr>
        <w:spacing w:after="0" w:line="46"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the Company with additional capital resources and flexibility sufficient to execute its business plans including the establishment of strategic relationships with other companies and to ensure its ability to raise additional capital as necessary.</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Immediately prior to the reverse stock split, the Company had 56,982,418 shares of c ommon stock outstanding which consolidated into 4,070,172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number of outstanding options and warrants were adjusted accordingly, with outstanding options being reduced from approximately 2.4 million to approximately 0.2 million and outstanding warrants being reduced from approximately 33.5 million to approximately 2.4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October 2017 </w:t>
      </w:r>
      <w:r>
        <w:rPr>
          <w:rFonts w:ascii="Arial" w:cs="Arial" w:eastAsia="Arial" w:hAnsi="Arial"/>
          <w:sz w:val="18"/>
          <w:szCs w:val="18"/>
          <w:i w:val="1"/>
          <w:iCs w:val="1"/>
          <w:u w:val="single" w:color="auto"/>
          <w:color w:val="auto"/>
        </w:rPr>
        <w:t>Underwritten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27, 2017, the Company entered into an underwriting agreement (the “Underwriting Agreement”) with Oppenheimer &amp; Co. Inc. (the “Underwriter”), relating to the issuance and sale (the “Offering”) of 2,640,000 shares (the “Shares”) of the Company’s common stock, $0.01 par value per share (the “Common Stock”), and warrants to purchase an aggregate of 1,320,000 shares of Common Stock. Each share of Common Stock is being sold together with 0.5 warrants (the “Investor Warrants”), each whole Investor Warrant being exercisable for one share of Common Stock, at an offering price of $2.50 per share and related Investor Warrants.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Pursuant to the terms of the Underwriting Agreement, the Underwriter agreed to purchase the Shares and related Investor Warrants from the Company at a price of $2.325 per share and related Investor Warrants. Each Investor Warrant is exercisable six months from the date of issuance. The Investor Warrants have an exercise price of $3.00 per whole share, and expire five years from the date first exercisable.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received $6.6 million of gross proceeds from the sale of the Shares and Investor Warrant. This Offering was made pursuant to the Company’s effective shelf registration statement on Form S-3 (File No. 333-206789) filed with the Securities and Exchange Commission on September 4, 2015, and declared effective on September 25, 2015, including the base prospectus dated September 25, 2017 included therein and the related prospectus supplement. The Company also issued to the Underwriter warrants to purchase up to 66,000 shares of the Company’s common stock, such issuance being exempt from registration pursuant to Section 4(a)(2) of the Securities Act. Each Underwriter warrant is exercisable six months from the date of issuance, have an exercise price of $2.87 per whole share, and expire five years from the date first exercisable</w:t>
      </w:r>
      <w:r>
        <w:rPr>
          <w:rFonts w:ascii="Arial" w:cs="Arial" w:eastAsia="Arial" w:hAnsi="Arial"/>
          <w:sz w:val="17"/>
          <w:szCs w:val="17"/>
          <w:i w:val="1"/>
          <w:iCs w:val="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July 6, 2017 </w:t>
      </w:r>
      <w:r>
        <w:rPr>
          <w:rFonts w:ascii="Arial" w:cs="Arial" w:eastAsia="Arial" w:hAnsi="Arial"/>
          <w:sz w:val="18"/>
          <w:szCs w:val="18"/>
          <w:i w:val="1"/>
          <w:iCs w:val="1"/>
          <w:u w:val="single" w:color="auto"/>
          <w:color w:val="auto"/>
        </w:rPr>
        <w:t>Common Stock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$4,243,500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$793,100, are immediately exercisable for $0.01 per share of common stock and do not have an expiration date.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 During the fourth quarter of 2017, all 385,000 of the Series CCC Pre-Funded warrants were exercised in full.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8" w:name="page89"/>
    <w:bookmarkEnd w:id="88"/>
    <w:p>
      <w:pPr>
        <w:jc w:val="both"/>
        <w:spacing w:after="0" w:line="272" w:lineRule="auto"/>
        <w:rPr>
          <w:sz w:val="20"/>
          <w:szCs w:val="20"/>
          <w:color w:val="auto"/>
        </w:rPr>
      </w:pPr>
      <w:r>
        <w:rPr>
          <w:rFonts w:ascii="Arial" w:cs="Arial" w:eastAsia="Arial" w:hAnsi="Arial"/>
          <w:sz w:val="17"/>
          <w:szCs w:val="17"/>
          <w:color w:val="auto"/>
        </w:rPr>
        <w:t>On October 4, 2017, the Company entered into letter agreements (the “Exercise Agreements”) with the holders of the Series AAA and Series BBB Warrants issued in the July 6, 2017 Common Stock Offering (the “Exercising Holders”). The Exercise Agreements amended the Series AAA Warrants to permit their immediate exercise. Prior to the execution of the Exercise Agreements, the Series AAA Warrants were not exercisable until January 11, 2018. Pursuant to the Exercise Agreements, the Exercising Holders and the Company agreed that the Exercising Holders would exercise all of their Existing Warrants with respect to 4,665,000 shares of Common Stock underlying such Existing Warrants. The Series AAA Warrants and Series BBB Warrants were exercised at a price of $2.07 per share and $4.75 per share, respectively, which were their respective original exercise prices. The Company received approximately $16.6 million in gross proceeds from the sale of these warrants.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Exercise Agreements also provide for the issuance of 1,166,250 Series DDD Warrants, each to purchase one share of Common Stock (the “Series DDD Warrants”). The Series DDD Warrants have an exercise price $6.20, are exercisable one year following issuance and terminate six months after they are initially exercisable. The Series DDD Warrants and the shares of Common Stock issuable upon the exercise of the Series DDD Warrants were offered pursuant to the exemption provided in Section 4(a)(2) under the Securities Act or Rule 506(b) promulgated thereunder. Pursuant to the Exercise Agreements, the Series DDD Warrants shall be substantially in the form of the Existing Warrants and the Company will be required to register for resale the shares of Common Stock underlying the Series DDD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February 14, 2017 </w:t>
      </w:r>
      <w:r>
        <w:rPr>
          <w:rFonts w:ascii="Arial" w:cs="Arial" w:eastAsia="Arial" w:hAnsi="Arial"/>
          <w:sz w:val="18"/>
          <w:szCs w:val="18"/>
          <w:i w:val="1"/>
          <w:iCs w:val="1"/>
          <w:u w:val="single" w:color="auto"/>
          <w:color w:val="auto"/>
        </w:rPr>
        <w:t>Public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1,384,704 shares of common stock of the Company at an offering price of $3.22 per share. In addition, the Company sold Series</w:t>
      </w:r>
    </w:p>
    <w:p>
      <w:pPr>
        <w:jc w:val="both"/>
        <w:ind w:firstLine="8"/>
        <w:spacing w:after="0" w:line="269" w:lineRule="auto"/>
        <w:tabs>
          <w:tab w:leader="none" w:pos="31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Warrants (the Series AA Warrants) to purchase up to 1,177,790 shares of common stock and Pre-Funded Series BB Warrants (the Pre-Funded Series BB Warrants) to purchase up to 185,713 shares of common stock. The Series AA Warrants have an exercise price of $3.22 per share, have a five-year life and are immediately exercisable. The Pre-Funded Series BB Warrants were offered at $3.08 per share, were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February 14, 2017 Public Offering, the Company filed with the Securities and Exchange Commission a registration statement on Form S-1 (Registration No. 333-215321) on December 23, 2016, as amended by Pre-Effective Amendment No. 1 filed with the Commission on January 20, 2017, as further amended by Pre-Effective Amendment No. 2 filed with the Commission on February 13, 2017, as further amended by Pre-Effective Amendment No. 3 filed with the Commission on February 13, 2017 and as further amended by Pre-Effective Amendment No. 4 filed with the Commission on February 14, 2017 for the registration of the securities issued and sold under the Securities Act of 1933, as amended.</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2017, all 185,713 of the Series BB Pre-Funded warrants were exercised in full. During 2017, we received approximately $2.4 million from the exercise of Series AA Warrants to purchase 747,254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December 2016 </w:t>
      </w:r>
      <w:r>
        <w:rPr>
          <w:rFonts w:ascii="Arial" w:cs="Arial" w:eastAsia="Arial" w:hAnsi="Arial"/>
          <w:sz w:val="18"/>
          <w:szCs w:val="18"/>
          <w:i w:val="1"/>
          <w:iCs w:val="1"/>
          <w:u w:val="single" w:color="auto"/>
          <w:color w:val="auto"/>
        </w:rPr>
        <w:t>Common Stock Offering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20, 2016, the Company entered into a securities purchase agreement with certain investors, pursuant to which the Company sold and issued on December 23, 2016, in a registered direct offering, an aggregate of 367,346 shares of the Company’s common stock at an offering price of $4.90 per share for gross proceeds of approximately $1.8 million before the deduction of the placement agent fee and offering expenses (the “December 2016 Offering”). In a concurrent private placement (the “Private Placement Transaction”), the Company agreed to issue to the investors certain warrants at an exercise price of $6.44 per share (the December 2016 Warrants). The December 2016 Warrants are exercisable to purchase common stock for an aggregate of 367,343 shares of common stock. The warrants are initially exercisable six months following issuance and terminate five and one-half years following the date of issuance. The December 2016 Warrants may be exercised from time to time beginning on June 20, 2017 and expire on June 20, 2022. On April 5, 2017, the Company filed a registration statement on Form S-1 for the resale of any share of common stock issued upon exercise of the December 2016 Warrants on Form S-1 (File No. 333-217156) which was declared effective by the SEC on April 19, 2017. As more fully discussed below, all the December 2016 Warrants were exercised in June 2017.</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private placement of the December 2016 Warrants was structured to comply with the requirements of Section 4(a)(2) under the Securities Act and Rule 506(b) promulgated thereunder.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auto"/>
        </w:rPr>
        <w:t xml:space="preserve">June 2016 </w:t>
      </w:r>
      <w:r>
        <w:rPr>
          <w:rFonts w:ascii="Arial" w:cs="Arial" w:eastAsia="Arial" w:hAnsi="Arial"/>
          <w:sz w:val="18"/>
          <w:szCs w:val="18"/>
          <w:i w:val="1"/>
          <w:iCs w:val="1"/>
          <w:u w:val="single" w:color="auto"/>
          <w:color w:val="auto"/>
        </w:rPr>
        <w:t>Common Stock Offering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13, 2016, the Company entered into a securities purchase agreement with investors, pursuant to which the Company issued and sold, in a registered direct offering, an aggregate of 165,126 shares of common stock, par value $0.01 per share, of the Company at an offering price of $19.04 per share for gross proceeds of approximately $6.0 million before the deduction of the placement agent fee and offering expenses. In a concurrent private placement, the Company issued to the investor Series A warrants (the “June 2016 Series A Warrants”), each to purchase 0.5 share of the Company’s common stock, Series C warrants (the “June 2016 Series C Warrants”), each to purchase one share of the Company’s common stock, and Series D warrants (the “June 2016 Series D Warrants”), each to purchase 0.5 share of the Company’s common stock (collectively, the “June 2016 Warrants”). The June 2016 Series A Warrants are initially exercisable six months following issuance and terminate five and one-half years following issuance. The June 2016 Series C Warrants are initially exercisable six months following issuance and terminate one year following issuance. The June 2016 Series D Warrants only become exercisable ratably upon the exercise of the June 2016 Series C Warrants, are initially exercisable six months following issuance, and terminate five and one-half years following issuance. The June 2016 Warrants have an exercise price of $19.60 per share and are exercisable to purchase an aggregate of 630,252 shares of Common Stock. On October 31, 2016, the Company filed a registration statement on Form S-1 for the resale of any share of common stock issued upon exercise of the warrants on Form S-1 (File No. 333-212353) which was declared effective by the SEC on November 16, 2016. As more fully discussed below, all the June 2016 Warrants were exercised in June 2017.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private placement of the June 2016 Warrants was structured to comply with the requirements of Section 4(a)(2) under the Securities Act and Rule 506(b) promulgated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Reduced Exercise Price of Warrants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22, 2013, the Company entered into a securities purchase agreement with certain investors pursuant to which the Company agreed, among other things, to issue warrants (the “2013 Warrants”) to purchase up to 95,811 shares of our common stock at an exercise price of $74.34 per share to such investors in a registered direct offering. On January 15, 2014, the Company entered into a securities purchase agreement with certain investors pursuant to which the Company agreed, among other things, to issue warrants (the “2014 Warrants”) to purchase up to 64,348 shares of our common stock at an exercise price of $57.40 per share to such investors in a registered direct offering. On June 9, 2017, the Company entered into warrant exercise agreements (the “Exercise Agreements”) with certain holders of the 2013 Warrants, the 2014 Warrants and the June 2016 Warrants (the “Exercising Holders”), which Exercising Holders own, in the aggregate, warrants exercisable for 790,410 shares of our common stock. Pursuant to the Exercise Agreements, the Exercising Holders and the Company agreed that the Exercising Holders would exercise their 2013 Warrants, the 2014 Warrants and the June 2016 Warrants with respect to 790,410 shares of our common stock underlying such warrants for a reduced exercise price equal to $2.70 per share. The Company received aggregate gross proceeds of approximately $2.1 million from the exercise of the 2013 Warrants, the 2014 Warrants and the June 2016 Warrants by the Exercising Holders.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reduced exercise price of the 2013 Warrants, the 2014 Warrants and the June 2016 Series C Warrants increased the fair value of the warrants by approximately $0.2 million. This increase in fair value is recorded as a deemed dividend in additional paid in capital due to the retained deficit and it increased the net loss available to common shareholders on the consolidate statement of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27, 2015 entered into a securities purchase agreement with certain investors pursuant to which the Company agreed, among other things, to issue warrants (the “2015 Warrants”) to purchase up to 139,284 shares of the Company’s common stock at an exercise price of $36.40 per share, to such investors in a registered direct offering. Between June 22, 2017 through June 26, 2017, the Company and holders of the 2015 Warrants and the December 2016 Warrants (the Exercising Investors) entered into agreements whereby the Company agreed that the Exercising investors would exercise their 2015 Warrants and the June 2016 Warrants with respect to 506,627 shares of our common stock underlying such warrants for a reduced exercise price equal to $1.65 per share. The Company received aggregate gross proceeds of approximately $0.8 million from the exercise of the 2015 Warrants and the June 2016 Warrants by the Exercising Investors.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reduced exercise price of the 2015 Warrants increased the fair value of the warrants by approximately $0.1 million. This increase in fair value is recorded as a deemed dividend in additional paid in capital due to the retained deficit and it increased the net loss available to common shareholders on the consolidate statement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our common stock or to or through a market maker. During 2017, the Company sold and issued an aggregate of 1,221,648 under the ATM agreement, receiving approximately $3.9 million. From February 1, 2013 through December 31, 2017, the Company sold and issued an aggregate of 1,327,326 shares of common stock under the ATM Agreement, receiving approximately $11.5 million in gross proceeds.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 2015 and again on February 6, 2018, we filed prospectus supplements to the base prospectus that forms a part of the 2015 Shelf Registration Statement, pursuant to which we may offer and sell up to $17.5 million of shares collectively of common stock from time to time under the ATM Agreement. We had $13.5 million available for sale under the ATM Agreement as of December 31, 2017.</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Issued to Employees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long-term compensation plans that permit the granting of equity based-awards in the form of stock options, restricted stock, restricted stock units, stock appreciation rights, phantom stock, and performance awards.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2007, the Company adopted the Celsion Corporation 2007 Stock Incentive Plan (the 2007 Plan) under which 15,873 shares were initially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June 20, 2014, and May 16, 2017 the stockholders approved amendments to the Plan. The only material difference between the original Plan and the amended Plan was the number of shares of common stock available for issuance under the amended Plan which was increased by 15,873 to a total of 31,746 shares in 2010, by 35,714 to a total of 67,460 shares in 2012, by 178,571 to a total of 246,031 shares in 2014 and by 442,500 to a total of 688,531 shares in 2017.</w:t>
      </w:r>
    </w:p>
    <w:p>
      <w:pPr>
        <w:spacing w:after="0" w:line="18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Prior to the adoption of the 2007 Plan, the Company adopted two stock plans for directors, officers and employees (one in 2001 and another in 2004) under which 21,164 shares collectively were reserved for future issuance under both of these plans. As these plans have been superseded by the 2007 Plan, any options previously granted which expired, were forfeited, or canceled under these plans were rolled into the 2007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jc w:val="both"/>
        <w:ind w:right="20"/>
        <w:spacing w:after="0" w:line="277" w:lineRule="auto"/>
        <w:rPr>
          <w:sz w:val="20"/>
          <w:szCs w:val="20"/>
          <w:color w:val="auto"/>
        </w:rPr>
      </w:pPr>
      <w:r>
        <w:rPr>
          <w:rFonts w:ascii="Arial" w:cs="Arial" w:eastAsia="Arial" w:hAnsi="Arial"/>
          <w:sz w:val="18"/>
          <w:szCs w:val="18"/>
          <w:color w:val="auto"/>
        </w:rPr>
        <w:t>The Company has issued stock awards to employees, directors and vendors out of the stock option plans. Options are generally granted with strike prices equal to the market value on the date of the grant.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must be at least 110% of the such fair market value on the date of grant. Only officers and key employees may receive incentive stock options; all other qualified participants may receive non-qualified stock options.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Option awards vest upon terms determined by the Board of Directors. Restricted stock awards, performance stock awards and stock options are subject to accelerated vesting in the event of a change of control. The Company issues new shares to satisfy its obligations from the exercise of options.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there were a total of 705,893 shares reserved, which were comprised of 703,442 equity awards granted and 2,451 equity awards available for future issuance.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compensation cost charged related to employee stock options and non-vested restricted stock awards amounted to $1.1 million and $1.5 million for the years ended December 31, 2017 and 2016, respectively. As of December 31, 2017, there was $0.4 million of total unrecognized compensation cost related to non-vested stock-based compensation arrangements. That cost is expected to be recognized over a weighted-average period of 0.9 years. The weighted average grant-date fair values of the equity awards granted during the years ended December 31, 2017 and 2016 were $2.32 and $16.24,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Issued to Consultants for Services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periodically issues equity awards to consultants in exchange for services provided. The fair value of options granted is measured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using the Black-Scholes option pricing model and recorded as an expense in the period in which such services are received. Generally, the terms of these plans require that the exercise price of such awards may not be less than the fair market value of the Company’s common stock on the date the equity awards are granted. Consultant equity awards generally vest over various time frames or upon milestone accomplishments. Some vest immediately upon issuance. The equity awards generally expire within 10 years from the date of grant. During 2017, 22,500 equity awards were granted to consultants. No equity awards were granted to consultants during the year ended December 31, 2016.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A summary of stock option awards as of December 31, 2017 and changes during the two years ended December 31, 2017,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Average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Exercise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Stock Options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Outstanding</w:t>
            </w:r>
          </w:p>
        </w:tc>
        <w:tc>
          <w:tcPr>
            <w:tcW w:w="24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Price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154,581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80.44</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60,449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18.08</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135.95</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211,213</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61.59</w:t>
            </w: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535,964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(43,735)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164.12</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703,442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10.34</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405,075</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14.97</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summary of the status of the Company’s non-vested restricted stock awards as of December 31, 2017 and changes during the two years ended December 31, 2017,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1980" w:type="dxa"/>
            <w:vAlign w:val="bottom"/>
            <w:gridSpan w:val="3"/>
          </w:tcPr>
          <w:p>
            <w:pPr>
              <w:spacing w:after="0"/>
              <w:rPr>
                <w:sz w:val="20"/>
                <w:szCs w:val="20"/>
                <w:color w:val="auto"/>
              </w:rPr>
            </w:pPr>
            <w:r>
              <w:rPr>
                <w:rFonts w:ascii="Arial" w:cs="Arial" w:eastAsia="Arial" w:hAnsi="Arial"/>
                <w:sz w:val="18"/>
                <w:szCs w:val="18"/>
                <w:b w:val="1"/>
                <w:bCs w:val="1"/>
                <w:color w:val="auto"/>
              </w:rPr>
              <w:t>Restricted Stock</w:t>
            </w: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Non-vested stock awards outstanding at January 1, 2016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Vested and issued</w:t>
            </w: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7"/>
          </w:tcPr>
          <w:p>
            <w:pPr>
              <w:spacing w:after="0"/>
              <w:rPr>
                <w:sz w:val="20"/>
                <w:szCs w:val="20"/>
                <w:color w:val="auto"/>
              </w:rPr>
            </w:pPr>
            <w:r>
              <w:rPr>
                <w:rFonts w:ascii="Arial" w:cs="Arial" w:eastAsia="Arial" w:hAnsi="Arial"/>
                <w:sz w:val="18"/>
                <w:szCs w:val="18"/>
                <w:color w:val="auto"/>
              </w:rPr>
              <w:t>Non-vested stock awards outstanding at December 31, 2016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Vested and issued</w:t>
            </w: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Non-vested stock awards outstanding at December 31, 2017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12"/>
          </w:tcPr>
          <w:p>
            <w:pPr>
              <w:spacing w:after="0"/>
              <w:rPr>
                <w:sz w:val="20"/>
                <w:szCs w:val="20"/>
                <w:color w:val="auto"/>
              </w:rPr>
            </w:pPr>
            <w:r>
              <w:rPr>
                <w:rFonts w:ascii="Arial" w:cs="Arial" w:eastAsia="Arial" w:hAnsi="Arial"/>
                <w:sz w:val="18"/>
                <w:szCs w:val="18"/>
                <w:color w:val="auto"/>
                <w:w w:val="93"/>
              </w:rPr>
              <w:t>A summary of stock options outstanding at December 31, 2017 by price range is as follows: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2"/>
              </w:rPr>
              <w:t>Options Outstanding</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Options Exercisable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Weighted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Average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Remaining</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Weighted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Range of</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Contractual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Exercise</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Term</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Exercise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Term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Prices</w:t>
            </w:r>
          </w:p>
        </w:tc>
        <w:tc>
          <w:tcPr>
            <w:tcW w:w="1440" w:type="dxa"/>
            <w:vAlign w:val="bottom"/>
            <w:gridSpan w:val="2"/>
          </w:tcPr>
          <w:p>
            <w:pPr>
              <w:ind w:left="740"/>
              <w:spacing w:after="0"/>
              <w:rPr>
                <w:sz w:val="20"/>
                <w:szCs w:val="20"/>
                <w:color w:val="auto"/>
              </w:rPr>
            </w:pPr>
            <w:r>
              <w:rPr>
                <w:rFonts w:ascii="Arial" w:cs="Arial" w:eastAsia="Arial" w:hAnsi="Arial"/>
                <w:sz w:val="18"/>
                <w:szCs w:val="18"/>
                <w:b w:val="1"/>
                <w:bCs w:val="1"/>
                <w:color w:val="auto"/>
                <w:w w:val="99"/>
              </w:rPr>
              <w:t>Number</w:t>
            </w:r>
          </w:p>
        </w:tc>
        <w:tc>
          <w:tcPr>
            <w:tcW w:w="1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 years)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Price</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(in years)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Up to $5.00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535,964</w:t>
            </w:r>
          </w:p>
        </w:tc>
        <w:tc>
          <w:tcPr>
            <w:tcW w:w="1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4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256,720</w:t>
            </w:r>
          </w:p>
        </w:tc>
        <w:tc>
          <w:tcPr>
            <w:tcW w:w="1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right"/>
              <w:ind w:right="520"/>
              <w:spacing w:after="0"/>
              <w:rPr>
                <w:sz w:val="20"/>
                <w:szCs w:val="20"/>
                <w:color w:val="auto"/>
              </w:rPr>
            </w:pPr>
            <w:r>
              <w:rPr>
                <w:rFonts w:ascii="Arial" w:cs="Arial" w:eastAsia="Arial" w:hAnsi="Arial"/>
                <w:sz w:val="18"/>
                <w:szCs w:val="18"/>
                <w:color w:val="auto"/>
              </w:rPr>
              <w:t>5.00 to 35.00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105,674</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7.9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24.64</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88,153</w:t>
            </w: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7.9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Above $35.00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61,804</w:t>
            </w:r>
          </w:p>
        </w:tc>
        <w:tc>
          <w:tcPr>
            <w:tcW w:w="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52.23</w:t>
            </w:r>
          </w:p>
        </w:tc>
        <w:tc>
          <w:tcPr>
            <w:tcW w:w="14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60,202</w:t>
            </w:r>
          </w:p>
        </w:tc>
        <w:tc>
          <w:tcPr>
            <w:tcW w:w="16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703,442</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405,075</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color w:val="auto"/>
              </w:rPr>
              <w:t>F-27</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3" w:name="page94"/>
    <w:bookmarkEnd w:id="93"/>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278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94"/>
              </w:rPr>
              <w:t>Year Ended December 31,</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7920" w:type="dxa"/>
            <w:vAlign w:val="bottom"/>
          </w:tcPr>
          <w:p>
            <w:pPr>
              <w:spacing w:after="0"/>
              <w:rPr>
                <w:sz w:val="18"/>
                <w:szCs w:val="18"/>
                <w:color w:val="auto"/>
              </w:rPr>
            </w:pPr>
          </w:p>
        </w:tc>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2.21 to  2.32%</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 to 1.87%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90.4 - 100.8%</w:t>
            </w:r>
          </w:p>
        </w:tc>
        <w:tc>
          <w:tcPr>
            <w:tcW w:w="940" w:type="dxa"/>
            <w:vAlign w:val="bottom"/>
          </w:tcPr>
          <w:p>
            <w:pPr>
              <w:jc w:val="right"/>
              <w:spacing w:after="0"/>
              <w:rPr>
                <w:sz w:val="20"/>
                <w:szCs w:val="20"/>
                <w:color w:val="auto"/>
              </w:rPr>
            </w:pPr>
            <w:r>
              <w:rPr>
                <w:rFonts w:ascii="Arial" w:cs="Arial" w:eastAsia="Arial" w:hAnsi="Arial"/>
                <w:sz w:val="18"/>
                <w:szCs w:val="18"/>
                <w:color w:val="auto"/>
              </w:rPr>
              <w:t>87.5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- 89.1%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 The model incorporated exercise, pre-vesting and post-vesting forfeiture assumptions based on analysis of historical data for forfeitures through December 31, 2016. Starting in 2017, the Company made the election to account for any forfeitures when they occur. The expiration of each option granted in fiscal year 2017 and 2016 was used as the expected life.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2017, the Company fair valued the earn-out milestone liability at $12.5 million and recognized a non-cash gain of $0.6 million during 2017 as a result of the change in the fair value of earn-out milestone liability of $13.2 million at December 31, 2016. The non-cash gain during 2017 resulted from the reduction of the liability by $1.4 million during the third quarter of 2017 related to the partial write down of one of the in-process research and development assets (see Note 5) as the Company believes there is a reduced probability of the payout of the related earn-out milestone liabilities. The fair value of the remaining earn-out milestone liabilities at December 31, 2017 was based on the Company's risk-adjusted assessment of each milestone (50% to 80%) utilizing a discount rate based on the estimated time to achieve the milestone (1.3 to 1.5 years).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2016, the Company fair valued the earn-out milestone liability at $13.2 million and recognized a non-cash gain of $0.7 million during 2016 as a result of the change in the fair value of earn-out milestone liability of $13.9 million at December 31, 2015. Included in the non-cash gain during 2016, was the reduction of the liability by $0.7 million during the fourth quarter of 2016 related to the write down of one of the in-process research and development assets (see Note 5) as the Company believes there is no probability of the payout of the related earn-out milestone liabilities. The fair value of the remaining earn-out milestone liabilities at December 31, 2016 was based on the Company's risk-adjusted assessment of each milestone (50% to 80%) utilizing a discount rate based on the estimated time to achieve the milestone (2.0 to 2.5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The following is a summary of the changes in the earn-out milestone liability for 2016 and 2017:</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13,921,412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Non-cash loss from the adjustment for the change in fair value included in 2016 net loss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(733,186)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13,188,226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Non-cash gain from the adjustment for the change in fair value included in 2017 net loss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(649,701)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12,538,525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8300" w:type="dxa"/>
            <w:vAlign w:val="bottom"/>
            <w:tcBorders>
              <w:top w:val="single" w:sz="8" w:color="CCEEFF"/>
            </w:tcBorders>
          </w:tcPr>
          <w:p>
            <w:pPr>
              <w:ind w:left="5520"/>
              <w:spacing w:after="0"/>
              <w:rPr>
                <w:sz w:val="20"/>
                <w:szCs w:val="20"/>
                <w:color w:val="auto"/>
              </w:rPr>
            </w:pPr>
            <w:r>
              <w:rPr>
                <w:rFonts w:ascii="Arial" w:cs="Arial" w:eastAsia="Arial" w:hAnsi="Arial"/>
                <w:sz w:val="18"/>
                <w:szCs w:val="18"/>
                <w:color w:val="auto"/>
              </w:rPr>
              <w:t>F-28</w:t>
            </w:r>
          </w:p>
        </w:tc>
        <w:tc>
          <w:tcPr>
            <w:tcW w:w="13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13. WARRANTS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more fully described in Note 10, the Company completed a series of equity financing transactions in 2017 and 2016 that included the issuance of warrants to purchase 9,231,628 and 1,147,595 shares, respectively, of the Company’s common stock. Investors exercised warrants to purchase 7,617,147 shares of common stock providing $22.0 million in gross proceeds to the Company during 2017. We did not have any option or warrant exercises during 2016 other than 17,857 shares related to the Pre-funded Series B Warrants as discussed more fully in Note 10.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Following is a summary of all warrant activity for the two years ended December 31, 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Warrants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auto"/>
            </w:tcBorders>
          </w:tcPr>
          <w:p>
            <w:pPr>
              <w:ind w:left="362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Issued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January 1, 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421,015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Warrants issued in connection with 2016 equity transactions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1,147,595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exercised during 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(17,857)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Warrants expired during 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(62,795)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209.23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1,487,958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Warrants issued in connection with 2017 equity transactions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9,231,628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exercised during 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(7,617,147)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Warrants expired during 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(44,037)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3,058,402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December 31, 2017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37,143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(years)</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CELSION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Celsion maintains a defined-contribution plan under Section 401(k) of the Internal Revenue Code. The plan covers substantially all employees over the age of</w:t>
      </w:r>
    </w:p>
    <w:p>
      <w:pPr>
        <w:spacing w:after="0" w:line="46" w:lineRule="exact"/>
        <w:rPr>
          <w:sz w:val="20"/>
          <w:szCs w:val="20"/>
          <w:color w:val="auto"/>
        </w:rPr>
      </w:pPr>
    </w:p>
    <w:p>
      <w:pPr>
        <w:jc w:val="both"/>
        <w:ind w:firstLine="8"/>
        <w:spacing w:after="0" w:line="254" w:lineRule="auto"/>
        <w:tabs>
          <w:tab w:leader="none" w:pos="3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Participating employees may defer a portion of their pretax earnings, up to the IRS annual contribution limit. The Company makes a matching contribution up to a maximum of 3% of an employee’s annual salary. The Company’s total matching contributions for the years ended December 31, 2017 and 2016 was $77,352 and $82,391 respectively. During 2017, the Company also provided a discretionary contribution totaling $172,497 which represented 6% of each eligible participant’s annual salary. This amount was paid in January 2018.</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LICENSES OF INTELLECTUAL PROPERTY AND PATENTS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1999, the Company entered into a license agreement with Duke University (“Duke”) under which the Company received worldwide exclusive rights (subject to certain exceptions) to commercialize and use Duke’s thermally sensitive liposome technology. The license agreement contains annual royalty and minimum payment provisions due on net sales. The agreement also required milestone-based royalty payments measured by various events, including product development stages, FDA applications and approvals, foreign marketing approvals and achievement of significant sales. However, in lieu of such milestone-based cash payments, Duke agreed to accept shares of the Company’s common stock to be issued in installments at the time each milestone payment is due, with each installment of shares to be calculated at the average closing price of the common stock during the 20 trading days prior to issuance.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number of shares issuable to Duke under these provisions is subject to adjustment in certain cases, and Duke has piggyback registration rights for public offerings taking place more than one year after the effective date of the license agreement. On January 31, 2003, the Company issued 253,691 shares of common stock to Duke University valued at $2.2 million as payment for milestone based royalties under this license agreement. An amendment to the Duke license agreement contains certain development and regulatory milestones, and other performance requirements that the Company has met with respect to the use of the licensed technologies. The Company will be obligated to make royalty payments based on sales to Duke upon commercialization, until the last of the Duke patents expire.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2017 and 2016, the Company has not incurred any expense under this agreement and will not incur any future liabilities until commercial sales commence.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sectPr>
      </w:pPr>
    </w:p>
    <w:bookmarkStart w:id="95" w:name="page96"/>
    <w:bookmarkEnd w:id="95"/>
    <w:p>
      <w:pPr>
        <w:jc w:val="both"/>
        <w:spacing w:after="0" w:line="273" w:lineRule="auto"/>
        <w:rPr>
          <w:sz w:val="20"/>
          <w:szCs w:val="20"/>
          <w:color w:val="auto"/>
        </w:rPr>
      </w:pPr>
      <w:r>
        <w:rPr>
          <w:rFonts w:ascii="Arial" w:cs="Arial" w:eastAsia="Arial" w:hAnsi="Arial"/>
          <w:sz w:val="17"/>
          <w:szCs w:val="17"/>
          <w:color w:val="auto"/>
        </w:rPr>
        <w:t>Under the November 1999 license agreement with Duke, the Company has rights to the thermally sensitive liposome technology, including Duke’s U.S. patents covering the technology as well as all foreign counter parts and related pending applications. Foreign counterpart applications have been issued in the EU, Hong Kong, Australia and Canada and have been allowed in Japan. The EU patent has been validated in Austria, Belgium, France, Germany, Great Britain, Italy, Luxembourg, Monaco, Spain and Switzerland. In addition, the Duke license agreement provides the Company with rights to multiple issued and pending U.S. patents related to the formulation, method of making and use of heat sensitive liposomes. The Company’s rights under the license agreement with Duke extend for the life of the last-to-expire of the licensed patents.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licensed from Valentis, CA certain global rights covering the use of pegylation for temperature sensitive liposomes.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rights available to the Company under completed or pending license agreements, the Company is actively pursuing patent protection for technologies developed by the Company. Among these patents is a family of pending US and international patent applications which seek to protect the Company’s proprietary method of storing ThermoDox® which is critical for worldwide distribution channels.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is a registered trademark in the U.S., Argentina, Australia, Canada, China, Columbia, the EU Member States: (Austria, Belgium, Bulgaria, Croatia, Cyprus, Czech Republic, Denmark, Estonia, Finland, France, Germany, Greece, Hungary, Ireland, Italy, Korea, Latvia, Lithuania, Luxembourg, Malta, the Netherlands, Poland, Portugal, Romania, Slovakia, Slovenia, Spain, Sweden, the United Kingdom), Hong Kong, Israel, Japan, New Zealand, Peru, Philippines, Russia, Singapore, South Korea and Taiwan. The Company has registered transliterations of ThermoDox® in China, Hong Kong, Japan, Singapore, South Korea and Taiwan. The Company has an additional 14 trademark protection applications pending for ThermoDox® in countries world-wide.</w:t>
      </w:r>
    </w:p>
    <w:p>
      <w:pPr>
        <w:spacing w:after="0" w:line="193"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Finally, through proprietary information agreements with employees, consultants and others, the Company seeks to protect its own proprietary know-how and trade secrets. The Company cannot offer assurances that these confidentiality agreements will not be breached, that the Company will have adequate remedies for any breach, or that these agreements, even if fully enforced, will be adequate to prevent third-party use of the Company’s proprietary technology. Similarly, the Company cannot guarantee that technology rights licensed to it by others will not be successfully challenged or circumvented by third parties, or that the rights granted will provide the Company with adequate protection.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TECHNOLOGY DEVELOPMENT AND LICENSING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other activities 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10-year term of the agreement, until such</w:t>
      </w:r>
    </w:p>
    <w:p>
      <w:pPr>
        <w:jc w:val="both"/>
        <w:ind w:right="20"/>
        <w:spacing w:after="0" w:line="205" w:lineRule="auto"/>
        <w:rPr>
          <w:sz w:val="20"/>
          <w:szCs w:val="20"/>
          <w:color w:val="auto"/>
        </w:rPr>
      </w:pPr>
      <w:r>
        <w:rPr>
          <w:rFonts w:ascii="Arial" w:cs="Arial" w:eastAsia="Arial" w:hAnsi="Arial"/>
          <w:sz w:val="18"/>
          <w:szCs w:val="18"/>
          <w:color w:val="auto"/>
        </w:rPr>
        <w:t>time as the parties find a mutually acceptable path forward on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980" w:right="1160" w:hanging="648"/>
        <w:spacing w:after="0" w:line="277"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980" w:right="1160" w:hanging="648"/>
        <w:spacing w:after="0" w:line="277"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980" w:right="1160" w:hanging="648"/>
        <w:spacing w:after="0" w:line="277" w:lineRule="auto"/>
        <w:tabs>
          <w:tab w:leader="none" w:pos="9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520" w:right="1180" w:hanging="404"/>
        <w:spacing w:after="0" w:line="277" w:lineRule="auto"/>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520" w:hanging="404"/>
        <w:spacing w:after="0"/>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520" w:right="1200" w:hanging="404"/>
        <w:spacing w:after="0" w:line="277" w:lineRule="auto"/>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520" w:right="1180" w:hanging="404"/>
        <w:spacing w:after="0" w:line="277" w:lineRule="auto"/>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170" w:lineRule="exact"/>
        <w:rPr>
          <w:rFonts w:ascii="Arial" w:cs="Arial" w:eastAsia="Arial" w:hAnsi="Arial"/>
          <w:sz w:val="18"/>
          <w:szCs w:val="18"/>
          <w:b w:val="1"/>
          <w:bCs w:val="1"/>
          <w:color w:val="auto"/>
        </w:rPr>
      </w:pPr>
    </w:p>
    <w:p>
      <w:pPr>
        <w:ind w:left="520" w:right="1200" w:hanging="404"/>
        <w:spacing w:after="0" w:line="308" w:lineRule="auto"/>
        <w:tabs>
          <w:tab w:leader="none" w:pos="52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CONTINGENT LIABILITIES AND COMMITMENTS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was reduced by $50,000 on each of the 19th, 31st and 43rd months from the initial term, and the remaining $100,000 amount was reduced when the Lease term expired in April 2017. In late 2015, Lenox Drive Office Park LLC, purchased the real estate and office building and assumed the lease. This lease was set to expire on April 30, 2017. In April 2017, the Company and the landlord amended the Lease effective May 1, 2017. The Lease amendment extended the term of the agreement for an additional 64 months, reduced the premises to 7,565 square feet, reduced the monthly rent and provided four months free rent. The monthly rent will range from approximately $18,900 in the first year to approximately $20,500 in the final year of the amendment. The Company also has a one-time option to cancel the lease as of the 24th month after the commencement date of the Lease amendment.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EGEN Asset Purchase Agreement in June 2014, the Company assumed the existing lease with another landlord for an 11,500 square foot premises located in Huntsville Alabama. This lease has a remaining term of one month with rent a payment of approximately $23,200 per month. In January 2018, the Company and this landlord entered into a new 60-month lease which reduced the premises to 9,049 square feet with rent payments of approximately $18,100 per month.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7" w:name="page98"/>
    <w:bookmarkEnd w:id="97"/>
    <w:p>
      <w:pPr>
        <w:spacing w:after="0" w:line="277" w:lineRule="auto"/>
        <w:rPr>
          <w:sz w:val="20"/>
          <w:szCs w:val="20"/>
          <w:color w:val="auto"/>
        </w:rPr>
      </w:pPr>
      <w:r>
        <w:rPr>
          <w:rFonts w:ascii="Arial" w:cs="Arial" w:eastAsia="Arial" w:hAnsi="Arial"/>
          <w:sz w:val="18"/>
          <w:szCs w:val="18"/>
          <w:color w:val="auto"/>
        </w:rPr>
        <w:t>The Company paid $502,716 and $575,516 in connection with these leases in 2017 and 2016, respectively. Following is a summary of the future minimum payments required under leases that have initial or remaining lease terms of one year or more as of December 31, 2017:</w:t>
      </w:r>
    </w:p>
    <w:p>
      <w:pPr>
        <w:sectPr>
          <w:pgSz w:w="11900" w:h="16838" w:orient="portrait"/>
          <w:cols w:equalWidth="0" w:num="1">
            <w:col w:w="11420"/>
          </w:cols>
          <w:pgMar w:left="240" w:top="584" w:right="2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ending December 31: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2021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2023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Total minimum lease payments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Operating</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347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4" w:lineRule="exact"/>
        <w:rPr>
          <w:sz w:val="20"/>
          <w:szCs w:val="20"/>
          <w:color w:val="auto"/>
        </w:rPr>
      </w:pPr>
    </w:p>
    <w:p>
      <w:pPr>
        <w:ind w:left="880" w:hanging="880"/>
        <w:spacing w:after="0"/>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452,093</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450,430</w:t>
      </w:r>
    </w:p>
    <w:p>
      <w:pPr>
        <w:spacing w:after="0" w:line="3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454,213</w:t>
      </w:r>
    </w:p>
    <w:p>
      <w:pPr>
        <w:spacing w:after="0" w:line="3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457,995</w:t>
      </w:r>
    </w:p>
    <w:p>
      <w:pPr>
        <w:spacing w:after="0" w:line="3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379,823</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18,098</w:t>
      </w:r>
    </w:p>
    <w:p>
      <w:pPr>
        <w:spacing w:after="0" w:line="32" w:lineRule="exact"/>
        <w:rPr>
          <w:sz w:val="20"/>
          <w:szCs w:val="20"/>
          <w:color w:val="auto"/>
        </w:rPr>
      </w:pPr>
    </w:p>
    <w:p>
      <w:pPr>
        <w:ind w:left="760" w:hanging="760"/>
        <w:spacing w:after="0"/>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2,212,652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9347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933" w:lineRule="exact"/>
        <w:rPr>
          <w:sz w:val="20"/>
          <w:szCs w:val="20"/>
          <w:color w:val="auto"/>
        </w:rPr>
      </w:pPr>
    </w:p>
    <w:p>
      <w:pPr>
        <w:sectPr>
          <w:pgSz w:w="11900" w:h="16838" w:orient="portrait"/>
          <w:cols w:equalWidth="0" w:num="2">
            <w:col w:w="9120" w:space="720"/>
            <w:col w:w="1580"/>
          </w:cols>
          <w:pgMar w:left="240" w:top="584" w:right="239" w:bottom="1440" w:gutter="0" w:footer="0" w:header="0"/>
          <w:type w:val="continuous"/>
        </w:sectPr>
      </w:pPr>
    </w:p>
    <w:p>
      <w:pPr>
        <w:spacing w:after="0" w:line="29"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On February 6, 2018, we filed a prospectus supplement to the base prospectus that forms a part of the registration statement on Form S-3 (File No. 333-206789), filed on September 4, 2015 and declared effective by the SEC on September 25, 2015, pursuant to which we may offer and sell up to $10,000,000 of shares of common stock from time to time under the ATM Agreement. In January 2018 and thus far in 2018, we have sold 457,070 shares of common stock for net proceeds of $1.3 million under the ATM. As of the date of this filing, we have approximately $12.2 million remaining under the ATM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584" w:right="2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8360" w:type="dxa"/>
            <w:vAlign w:val="bottom"/>
            <w:gridSpan w:val="3"/>
          </w:tcPr>
          <w:p>
            <w:pPr>
              <w:ind w:left="1280"/>
              <w:spacing w:after="0"/>
              <w:rPr>
                <w:sz w:val="20"/>
                <w:szCs w:val="20"/>
                <w:color w:val="auto"/>
              </w:rPr>
            </w:pPr>
            <w:r>
              <w:rPr>
                <w:rFonts w:ascii="Arial" w:cs="Arial" w:eastAsia="Arial" w:hAnsi="Arial"/>
                <w:sz w:val="18"/>
                <w:szCs w:val="18"/>
                <w:b w:val="1"/>
                <w:bCs w:val="1"/>
                <w:color w:val="auto"/>
              </w:rPr>
              <w:t>Subsidiaries of Celsion Corporation</w:t>
            </w:r>
          </w:p>
        </w:tc>
      </w:tr>
      <w:tr>
        <w:trPr>
          <w:trHeight w:val="414"/>
        </w:trPr>
        <w:tc>
          <w:tcPr>
            <w:tcW w:w="3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34"/>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r>
      <w:tr>
        <w:trPr>
          <w:trHeight w:val="224"/>
        </w:trPr>
        <w:tc>
          <w:tcPr>
            <w:tcW w:w="3060" w:type="dxa"/>
            <w:vAlign w:val="bottom"/>
          </w:tcPr>
          <w:p>
            <w:pPr>
              <w:spacing w:after="0"/>
              <w:rPr>
                <w:sz w:val="20"/>
                <w:szCs w:val="20"/>
                <w:color w:val="auto"/>
              </w:rPr>
            </w:pPr>
            <w:r>
              <w:rPr>
                <w:rFonts w:ascii="Arial" w:cs="Arial" w:eastAsia="Arial" w:hAnsi="Arial"/>
                <w:sz w:val="18"/>
                <w:szCs w:val="18"/>
                <w:color w:val="auto"/>
              </w:rPr>
              <w:t>CLSN Laboratories, Inc.</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CONSENT OF REGISTERED INDEPENDENT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of Celsion Corporation on From S-1 (333-221543, 333-219414, 333-217156 and 333-214353), Form S-3 (Nos. 333-174960, 333-183286, 333-198786, 333-193936, 333-205608, and 333-206789) and on Form S-8 (Nos. 333-139784, 333-145680, 333-183288, 333-207864) of our report dated March 27, 2018, relating to the consolidated financial statements,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WithumSmith+Brown,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WithumSmith+Brown, PC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Celsion Corporation</w:t>
      </w:r>
    </w:p>
    <w:p>
      <w:pPr>
        <w:spacing w:after="0" w:line="200" w:lineRule="exact"/>
        <w:rPr>
          <w:sz w:val="20"/>
          <w:szCs w:val="20"/>
          <w:color w:val="auto"/>
        </w:rPr>
      </w:pPr>
    </w:p>
    <w:p>
      <w:pPr>
        <w:spacing w:after="0" w:line="22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on Form S-1 (333-221543, 333-219414, 333-217156 and 333-214353), Form S-3 (Nos. 333-174960, 333-183286, 333-198786, 333-193936, 333-205608, and 333-206789) and on Form S-8 (Nos. 333-139784, 333-145680, 333-183288 and 333-207864) of Celsion Corporation, of our report dated March 24, 2017, with respect to the consolidated financial statements of Celsion Corporation as of and for the year ended December 31, 2016, which report appears in Celsion Corporation’s Annual Report on Form 10-K for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Dixon Hughes Goodman,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Dixon Hughes Goodman,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480"/>
        <w:spacing w:after="0" w:line="266" w:lineRule="auto"/>
        <w:rPr>
          <w:sz w:val="20"/>
          <w:szCs w:val="20"/>
          <w:color w:val="auto"/>
        </w:rPr>
      </w:pPr>
      <w:r>
        <w:rPr>
          <w:rFonts w:ascii="Arial" w:cs="Arial" w:eastAsia="Arial" w:hAnsi="Arial"/>
          <w:sz w:val="18"/>
          <w:szCs w:val="18"/>
          <w:b w:val="1"/>
          <w:bCs w:val="1"/>
          <w:color w:val="auto"/>
        </w:rPr>
        <w:t xml:space="preserve">CERTIFICATION OF THE CHIEF EXECUTIVE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Celsion Corporation;</w:t>
      </w:r>
    </w:p>
    <w:p>
      <w:pPr>
        <w:spacing w:after="0" w:line="225"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80" w:firstLine="721"/>
        <w:spacing w:after="0" w:line="264" w:lineRule="auto"/>
        <w:tabs>
          <w:tab w:leader="none" w:pos="140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721"/>
        <w:spacing w:after="0" w:line="264" w:lineRule="auto"/>
        <w:tabs>
          <w:tab w:leader="none" w:pos="14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721"/>
        <w:spacing w:after="0" w:line="308" w:lineRule="auto"/>
        <w:tabs>
          <w:tab w:leader="none" w:pos="1408"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721"/>
        <w:spacing w:after="0" w:line="264" w:lineRule="auto"/>
        <w:tabs>
          <w:tab w:leader="none" w:pos="14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520" w:firstLine="721"/>
        <w:spacing w:after="0" w:line="308" w:lineRule="auto"/>
        <w:tabs>
          <w:tab w:leader="none" w:pos="1398"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721"/>
        <w:spacing w:after="0" w:line="277" w:lineRule="auto"/>
        <w:tabs>
          <w:tab w:leader="none" w:pos="140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March 27, 2018</w:t>
            </w: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H. Tardugno</w:t>
            </w:r>
          </w:p>
        </w:tc>
      </w:tr>
      <w:tr>
        <w:trPr>
          <w:trHeight w:val="195"/>
        </w:trPr>
        <w:tc>
          <w:tcPr>
            <w:tcW w:w="584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58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480"/>
        <w:spacing w:after="0" w:line="266" w:lineRule="auto"/>
        <w:rPr>
          <w:sz w:val="20"/>
          <w:szCs w:val="20"/>
          <w:color w:val="auto"/>
        </w:rPr>
      </w:pPr>
      <w:r>
        <w:rPr>
          <w:rFonts w:ascii="Arial" w:cs="Arial" w:eastAsia="Arial" w:hAnsi="Arial"/>
          <w:sz w:val="18"/>
          <w:szCs w:val="18"/>
          <w:b w:val="1"/>
          <w:bCs w:val="1"/>
          <w:color w:val="auto"/>
        </w:rPr>
        <w:t xml:space="preserve">CERTIFICATION OF THE CHIEF FINANCIAL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Celsion Corporation;</w:t>
      </w:r>
    </w:p>
    <w:p>
      <w:pPr>
        <w:spacing w:after="0" w:line="225"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80" w:firstLine="721"/>
        <w:spacing w:after="0" w:line="264" w:lineRule="auto"/>
        <w:tabs>
          <w:tab w:leader="none" w:pos="140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721"/>
        <w:spacing w:after="0" w:line="264" w:lineRule="auto"/>
        <w:tabs>
          <w:tab w:leader="none" w:pos="14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721"/>
        <w:spacing w:after="0" w:line="308" w:lineRule="auto"/>
        <w:tabs>
          <w:tab w:leader="none" w:pos="1408"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721"/>
        <w:spacing w:after="0" w:line="264" w:lineRule="auto"/>
        <w:tabs>
          <w:tab w:leader="none" w:pos="14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520" w:firstLine="721"/>
        <w:spacing w:after="0" w:line="308" w:lineRule="auto"/>
        <w:tabs>
          <w:tab w:leader="none" w:pos="1398"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721"/>
        <w:spacing w:after="0" w:line="277" w:lineRule="auto"/>
        <w:tabs>
          <w:tab w:leader="none" w:pos="140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Date: March 27, 2018</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Jeffrey W. Church</w:t>
            </w:r>
          </w:p>
        </w:tc>
      </w:tr>
      <w:tr>
        <w:trPr>
          <w:trHeight w:val="195"/>
        </w:trPr>
        <w:tc>
          <w:tcPr>
            <w:tcW w:w="590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59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In connection with the Annual Report of Celsion Corporation (the “Company”) on Form 10-K for the year ended December 31, 2017, as filed with the Securities and Exchange Commission on or about March 27, 2018 (the “Report”), I, Michael H. Tardugno, President and Chief Executive Officer of the Company, certify, pursuant to 18 U.S.C. § 1350, as adopted pursuant to § 906 of the Sarbanes-Oxley Act of 2002, that, to my knowledge:</w:t>
      </w:r>
    </w:p>
    <w:p>
      <w:pPr>
        <w:spacing w:after="0" w:line="147"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March 27,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H. Tardugno</w:t>
            </w:r>
          </w:p>
        </w:tc>
      </w:tr>
      <w:tr>
        <w:trPr>
          <w:trHeight w:val="195"/>
        </w:trPr>
        <w:tc>
          <w:tcPr>
            <w:tcW w:w="57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57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connection with the Annual Report of Celsion Corporation (the “Company”) on Form 10-K for the year ended December 31, 2017, as filed with the Securities and Exchange Commission on or about March 27, 2018 (the “Report”), I, Jeffrey W. Church, Senior Vice President and Chief Financial Officer of the Company, certify, pursuant to 18 U.S.C. § 1350, as adopted pursuant to § 906 of the Sarbanes-Oxley Act of 2002, that, to my knowledge:</w:t>
      </w:r>
    </w:p>
    <w:p>
      <w:pPr>
        <w:spacing w:after="0" w:line="147"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March 27,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r>
      <w:tr>
        <w:trPr>
          <w:trHeight w:val="195"/>
        </w:trPr>
        <w:tc>
          <w:tcPr>
            <w:tcW w:w="57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57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upperLetter"/>
      <w:start w:val="1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lvl w:ilvl="1">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2"/>
    </w:lvl>
  </w:abstractNum>
  <w:abstractNum w:abstractNumId="36">
    <w:nsid w:val="4B588F54"/>
    <w:multiLevelType w:val="hybridMultilevel"/>
    <w:lvl w:ilvl="0">
      <w:lvlJc w:val="left"/>
      <w:lvlText w:val="(%1)"/>
      <w:numFmt w:val="lowerLetter"/>
      <w:start w:val="3"/>
    </w:lvl>
  </w:abstractNum>
  <w:abstractNum w:abstractNumId="37">
    <w:nsid w:val="542289EC"/>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606"/>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upperLetter"/>
      <w:start w:val="27"/>
    </w:lvl>
  </w:abstractNum>
  <w:abstractNum w:abstractNumId="46">
    <w:nsid w:val="1BA026FA"/>
    <w:multiLevelType w:val="hybridMultilevel"/>
    <w:lvl w:ilvl="0">
      <w:lvlJc w:val="left"/>
      <w:lvlText w:val="%1."/>
      <w:numFmt w:val="decimal"/>
      <w:start w:val="2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0" Type="http://schemas.openxmlformats.org/officeDocument/2006/relationships/image" Target="media/image78.png"/><Relationship Id="rId108" Type="http://schemas.openxmlformats.org/officeDocument/2006/relationships/image" Target="media/image79.png"/><Relationship Id="rId145" Type="http://schemas.openxmlformats.org/officeDocument/2006/relationships/image" Target="media/image80.png"/><Relationship Id="rId160" Type="http://schemas.openxmlformats.org/officeDocument/2006/relationships/image" Target="media/image81.png"/><Relationship Id="rId169" Type="http://schemas.openxmlformats.org/officeDocument/2006/relationships/image" Target="media/image82.png"/><Relationship Id="rId170" Type="http://schemas.openxmlformats.org/officeDocument/2006/relationships/image" Target="media/image83.png"/><Relationship Id="rId171" Type="http://schemas.openxmlformats.org/officeDocument/2006/relationships/image" Target="media/image84.png"/><Relationship Id="rId172" Type="http://schemas.openxmlformats.org/officeDocument/2006/relationships/image" Target="media/image85.png"/><Relationship Id="rId173" Type="http://schemas.openxmlformats.org/officeDocument/2006/relationships/image" Target="media/image86.png"/><Relationship Id="rId174" Type="http://schemas.openxmlformats.org/officeDocument/2006/relationships/image" Target="media/image87.png"/><Relationship Id="rId175" Type="http://schemas.openxmlformats.org/officeDocument/2006/relationships/image" Target="media/image88.png"/><Relationship Id="rId176" Type="http://schemas.openxmlformats.org/officeDocument/2006/relationships/image" Target="media/image89.png"/><Relationship Id="rId177" Type="http://schemas.openxmlformats.org/officeDocument/2006/relationships/image" Target="media/image90.png"/><Relationship Id="rId178" Type="http://schemas.openxmlformats.org/officeDocument/2006/relationships/image" Target="media/image91.png"/><Relationship Id="rId179" Type="http://schemas.openxmlformats.org/officeDocument/2006/relationships/image" Target="media/image92.png"/><Relationship Id="rId180" Type="http://schemas.openxmlformats.org/officeDocument/2006/relationships/image" Target="media/image93.png"/><Relationship Id="rId181" Type="http://schemas.openxmlformats.org/officeDocument/2006/relationships/image" Target="media/image94.png"/><Relationship Id="rId182" Type="http://schemas.openxmlformats.org/officeDocument/2006/relationships/image" Target="media/image95.png"/><Relationship Id="rId183" Type="http://schemas.openxmlformats.org/officeDocument/2006/relationships/image" Target="media/image96.png"/><Relationship Id="rId184" Type="http://schemas.openxmlformats.org/officeDocument/2006/relationships/image" Target="media/image97.png"/><Relationship Id="rId185" Type="http://schemas.openxmlformats.org/officeDocument/2006/relationships/image" Target="media/image98.png"/><Relationship Id="rId186" Type="http://schemas.openxmlformats.org/officeDocument/2006/relationships/image" Target="media/image99.png"/><Relationship Id="rId187" Type="http://schemas.openxmlformats.org/officeDocument/2006/relationships/image" Target="media/image100.png"/><Relationship Id="rId188" Type="http://schemas.openxmlformats.org/officeDocument/2006/relationships/image" Target="media/image101.png"/><Relationship Id="rId189" Type="http://schemas.openxmlformats.org/officeDocument/2006/relationships/image" Target="media/image102.png"/><Relationship Id="rId190" Type="http://schemas.openxmlformats.org/officeDocument/2006/relationships/image" Target="media/image103.png"/><Relationship Id="rId191" Type="http://schemas.openxmlformats.org/officeDocument/2006/relationships/image" Target="media/image104.png"/><Relationship Id="rId192" Type="http://schemas.openxmlformats.org/officeDocument/2006/relationships/image" Target="media/image105.png"/><Relationship Id="rId193" Type="http://schemas.openxmlformats.org/officeDocument/2006/relationships/image" Target="media/image106.png"/><Relationship Id="rId194" Type="http://schemas.openxmlformats.org/officeDocument/2006/relationships/image" Target="media/image107.png"/><Relationship Id="rId195" Type="http://schemas.openxmlformats.org/officeDocument/2006/relationships/image" Target="media/image108.png"/><Relationship Id="rId196" Type="http://schemas.openxmlformats.org/officeDocument/2006/relationships/image" Target="media/image109.png"/><Relationship Id="rId197" Type="http://schemas.openxmlformats.org/officeDocument/2006/relationships/image" Target="media/image110.png"/><Relationship Id="rId198" Type="http://schemas.openxmlformats.org/officeDocument/2006/relationships/image" Target="media/image111.png"/><Relationship Id="rId199" Type="http://schemas.openxmlformats.org/officeDocument/2006/relationships/image" Target="media/image112.png"/><Relationship Id="rId200" Type="http://schemas.openxmlformats.org/officeDocument/2006/relationships/image" Target="media/image113.png"/><Relationship Id="rId201" Type="http://schemas.openxmlformats.org/officeDocument/2006/relationships/image" Target="media/image114.png"/><Relationship Id="rId202" Type="http://schemas.openxmlformats.org/officeDocument/2006/relationships/image" Target="media/image115.png"/><Relationship Id="rId203" Type="http://schemas.openxmlformats.org/officeDocument/2006/relationships/image" Target="media/image116.png"/><Relationship Id="rId204" Type="http://schemas.openxmlformats.org/officeDocument/2006/relationships/image" Target="media/image117.png"/><Relationship Id="rId85" Type="http://schemas.openxmlformats.org/officeDocument/2006/relationships/hyperlink" Target="http://www.sec.gov/Archives/edgar/data/749647/000143774914014489/ex2-1.htm" TargetMode="External"/><Relationship Id="rId86" Type="http://schemas.openxmlformats.org/officeDocument/2006/relationships/hyperlink" Target="http://www.sec.gov/Archives/edgar/data/749647/000119312504133283/dex31.htm" TargetMode="External"/><Relationship Id="rId87" Type="http://schemas.openxmlformats.org/officeDocument/2006/relationships/hyperlink" Target="http://www.sec.gov/Archives/edgar/data/749647/000093173100000574/0000931731-00-000574-0004.txt" TargetMode="External"/><Relationship Id="rId88" Type="http://schemas.openxmlformats.org/officeDocument/2006/relationships/hyperlink" Target="http://www.sec.gov/Archives/edgar/data/749647/000119312506042024/dex31.htm" TargetMode="External"/><Relationship Id="rId89" Type="http://schemas.openxmlformats.org/officeDocument/2006/relationships/hyperlink" Target="http://www.sec.gov/Archives/edgar/data/749647/000143774913013524/ex3-1.htm" TargetMode="External"/><Relationship Id="rId91" Type="http://schemas.openxmlformats.org/officeDocument/2006/relationships/hyperlink" Target="http://www.sec.gov/Archives/edgar/data/749647/000143774917010183/ex3-1.htm" TargetMode="External"/><Relationship Id="rId92" Type="http://schemas.openxmlformats.org/officeDocument/2006/relationships/hyperlink" Target="http://www.sec.gov/Archives/edgar/data/749647/000074964711000147/exhibit3_1.htm" TargetMode="External"/><Relationship Id="rId93" Type="http://schemas.openxmlformats.org/officeDocument/2006/relationships/hyperlink" Target="http://www.sec.gov/Archives/edgar/data/749647/000093173100000574/0000931731-00-000574-0006.txt" TargetMode="External"/><Relationship Id="rId94" Type="http://schemas.openxmlformats.org/officeDocument/2006/relationships/hyperlink" Target="http://www.sec.gov/Archives/edgar/data/749647/000074964710000026/registrationrights.htm" TargetMode="External"/><Relationship Id="rId95" Type="http://schemas.openxmlformats.org/officeDocument/2006/relationships/hyperlink" Target="http://www.sec.gov/Archives/edgar/data/749647/000074964711000009/exhibit4_2.htm" TargetMode="External"/><Relationship Id="rId96" Type="http://schemas.openxmlformats.org/officeDocument/2006/relationships/hyperlink" Target="http://www.sec.gov/Archives/edgar/data/749647/000110465911032937/a11-13738_2ex4d1.htm" TargetMode="External"/><Relationship Id="rId97" Type="http://schemas.openxmlformats.org/officeDocument/2006/relationships/hyperlink" Target="http://www.sec.gov/Archives/edgar/data/749647/000110465911032937/a11-13738_2ex10d2.htm" TargetMode="External"/><Relationship Id="rId98" Type="http://schemas.openxmlformats.org/officeDocument/2006/relationships/hyperlink" Target="http://www.sec.gov/Archives/edgar/data/749647/000074964711000094/exhibit4_1.htm" TargetMode="External"/><Relationship Id="rId99" Type="http://schemas.openxmlformats.org/officeDocument/2006/relationships/hyperlink" Target="http://www.sec.gov/Archives/edgar/data/749647/000110465911040588/a11-21761_1ex10d3.htm" TargetMode="External"/><Relationship Id="rId100" Type="http://schemas.openxmlformats.org/officeDocument/2006/relationships/hyperlink" Target="http://www.sec.gov/Archives/edgar/data/749647/000110465911040588/a11-21761_1ex4d1.htm" TargetMode="External"/><Relationship Id="rId101" Type="http://schemas.openxmlformats.org/officeDocument/2006/relationships/hyperlink" Target="http://www.sec.gov/Archives/edgar/data/749647/000110465911040588/a11-21761_1ex4d2.htm" TargetMode="External"/><Relationship Id="rId102" Type="http://schemas.openxmlformats.org/officeDocument/2006/relationships/hyperlink" Target="http://www.sec.gov/Archives/edgar/data/749647/000074964711000154/formcspwarrant.htm" TargetMode="External"/><Relationship Id="rId103" Type="http://schemas.openxmlformats.org/officeDocument/2006/relationships/hyperlink" Target="http://www.sec.gov/Archives/edgar/data/749647/000074964711000154/formofregrightsagree.htm" TargetMode="External"/><Relationship Id="rId104" Type="http://schemas.openxmlformats.org/officeDocument/2006/relationships/hyperlink" Target="http://www.sec.gov/Archives/edgar/data/749647/000143774912008356/ex4-1.htm" TargetMode="External"/><Relationship Id="rId105" Type="http://schemas.openxmlformats.org/officeDocument/2006/relationships/hyperlink" Target="http://www.sec.gov/Archives/edgar/data/749647/000143774912008356/ex4-2.htm" TargetMode="External"/><Relationship Id="rId106" Type="http://schemas.openxmlformats.org/officeDocument/2006/relationships/hyperlink" Target="http://www.sec.gov/Archives/edgar/data/749647/000143774913001952/clsn20130225_8kex4-1.htm" TargetMode="External"/><Relationship Id="rId107" Type="http://schemas.openxmlformats.org/officeDocument/2006/relationships/hyperlink" Target="http://www.sec.gov/Archives/edgar/data/749647/000143774914000847/ex4-1.htm" TargetMode="External"/><Relationship Id="rId109" Type="http://schemas.openxmlformats.org/officeDocument/2006/relationships/hyperlink" Target="http://www.sec.gov/Archives/edgar/data/749647/000143774914000847/ex4-2.htm" TargetMode="External"/><Relationship Id="rId110" Type="http://schemas.openxmlformats.org/officeDocument/2006/relationships/hyperlink" Target="http://www.sec.gov/Archives/edgar/data/749647/000143774917017965/ex_98287.htm" TargetMode="External"/><Relationship Id="rId111" Type="http://schemas.openxmlformats.org/officeDocument/2006/relationships/hyperlink" Target="http://www.sec.gov/Archives/edgar/data/749647/000143774917012481/ex4-4.htm" TargetMode="External"/><Relationship Id="rId112" Type="http://schemas.openxmlformats.org/officeDocument/2006/relationships/hyperlink" Target="http://www.sec.gov/Archives/edgar/data/749647/000143774914002100/ex4-2.htm" TargetMode="External"/><Relationship Id="rId113" Type="http://schemas.openxmlformats.org/officeDocument/2006/relationships/hyperlink" Target="http://www.sec.gov/Archives/edgar/data/749647/000143774914002100/ex4-3.htm" TargetMode="External"/><Relationship Id="rId114" Type="http://schemas.openxmlformats.org/officeDocument/2006/relationships/hyperlink" Target="http://www.sec.gov/Archives/edgar/data/749647/000143774914014489/ex4-1.htm" TargetMode="External"/><Relationship Id="rId115" Type="http://schemas.openxmlformats.org/officeDocument/2006/relationships/hyperlink" Target="http://www.sec.gov/Archives/edgar/data/749647/000143774915011343/ex4-1.htm" TargetMode="External"/><Relationship Id="rId116" Type="http://schemas.openxmlformats.org/officeDocument/2006/relationships/hyperlink" Target="http://www.sec.gov/Archives/edgar/data/749647/000143774916034033/ex4-1.htm" TargetMode="External"/><Relationship Id="rId117" Type="http://schemas.openxmlformats.org/officeDocument/2006/relationships/hyperlink" Target="http://www.sec.gov/Archives/edgar/data/749647/000143774916034033/ex4-2.htm" TargetMode="External"/><Relationship Id="rId118" Type="http://schemas.openxmlformats.org/officeDocument/2006/relationships/hyperlink" Target="http://www.sec.gov/Archives/edgar/data/749647/000143774916034033/ex4-3.htm" TargetMode="External"/><Relationship Id="rId119" Type="http://schemas.openxmlformats.org/officeDocument/2006/relationships/hyperlink" Target="http://www.sec.gov/Archives/edgar/data/749647/000143774916034033/ex4-4.htm" TargetMode="External"/><Relationship Id="rId120" Type="http://schemas.openxmlformats.org/officeDocument/2006/relationships/hyperlink" Target="http://www.sec.gov/Archives/edgar/data/749647/000143774917002221/ex4-26.htm" TargetMode="External"/><Relationship Id="rId121" Type="http://schemas.openxmlformats.org/officeDocument/2006/relationships/hyperlink" Target="http://www.sec.gov/Archives/edgar/data/749647/000143774917002221/ex4-27.htm" TargetMode="External"/><Relationship Id="rId122" Type="http://schemas.openxmlformats.org/officeDocument/2006/relationships/hyperlink" Target="http://www.sec.gov/Archives/edgar/data/749647/000143774917011299/ex4-28.htm" TargetMode="External"/><Relationship Id="rId123" Type="http://schemas.openxmlformats.org/officeDocument/2006/relationships/hyperlink" Target="http://www.sec.gov/Archives/edgar/data/749647/000143774917011299/ex4-29.htm" TargetMode="External"/><Relationship Id="rId124" Type="http://schemas.openxmlformats.org/officeDocument/2006/relationships/hyperlink" Target="http://www.sec.gov/Archives/edgar/data/749647/000143774917011299/ex4-30.htm" TargetMode="External"/><Relationship Id="rId125" Type="http://schemas.openxmlformats.org/officeDocument/2006/relationships/hyperlink" Target="http://www.sec.gov/Archives/edgar/data/749647/000143774917012481/ex4-1.htm" TargetMode="External"/><Relationship Id="rId126" Type="http://schemas.openxmlformats.org/officeDocument/2006/relationships/hyperlink" Target="http://www.sec.gov/Archives/edgar/data/749647/000143774917012481/ex4-2.htm" TargetMode="External"/><Relationship Id="rId127" Type="http://schemas.openxmlformats.org/officeDocument/2006/relationships/hyperlink" Target="http://www.sec.gov/Archives/edgar/data/749647/000143774917012481/ex4-3.htm" TargetMode="External"/><Relationship Id="rId128" Type="http://schemas.openxmlformats.org/officeDocument/2006/relationships/hyperlink" Target="http://www.sec.gov/Archives/edgar/data/749647/000143774917019215/ex_99689.htm" TargetMode="External"/><Relationship Id="rId129" Type="http://schemas.openxmlformats.org/officeDocument/2006/relationships/hyperlink" Target="http://www.sec.gov/Archives/edgar/data/749647/000143774917017965/ex_98285.htm" TargetMode="External"/><Relationship Id="rId130" Type="http://schemas.openxmlformats.org/officeDocument/2006/relationships/hyperlink" Target="http://www.sec.gov/Archives/edgar/data/749647/000119312504133283/dex101.htm" TargetMode="External"/><Relationship Id="rId131" Type="http://schemas.openxmlformats.org/officeDocument/2006/relationships/hyperlink" Target="http://www.sec.gov/Archives/edgar/data/749647/000143774915012606/ex10-1.htm" TargetMode="External"/><Relationship Id="rId132" Type="http://schemas.openxmlformats.org/officeDocument/2006/relationships/hyperlink" Target="http://www.sec.gov/Archives/edgar/data/749647/000119312506228529/dex101.htm" TargetMode="External"/><Relationship Id="rId133" Type="http://schemas.openxmlformats.org/officeDocument/2006/relationships/hyperlink" Target="http://www.sec.gov/Archives/edgar/data/749647/000119312506228529/dex102.htm" TargetMode="External"/><Relationship Id="rId134" Type="http://schemas.openxmlformats.org/officeDocument/2006/relationships/hyperlink" Target="http://www.sec.gov/Archives/edgar/data/749647/000104746908003658/a2184136zex-10_15.htm" TargetMode="External"/><Relationship Id="rId135" Type="http://schemas.openxmlformats.org/officeDocument/2006/relationships/hyperlink" Target="http://www.sec.gov/Archives/edgar/data/749647/000104746908003658/a2184136zex-10_16.htm" TargetMode="External"/><Relationship Id="rId136" Type="http://schemas.openxmlformats.org/officeDocument/2006/relationships/hyperlink" Target="http://www.sec.gov/Archives/edgar/data/749647/000119312507000824/dex101.htm" TargetMode="External"/><Relationship Id="rId137" Type="http://schemas.openxmlformats.org/officeDocument/2006/relationships/hyperlink" Target="http://www.sec.gov/Archives/edgar/data/749647/000143774917019215/ex_99691.htm" TargetMode="External"/><Relationship Id="rId138" Type="http://schemas.openxmlformats.org/officeDocument/2006/relationships/hyperlink" Target="http://www.sec.gov/Archives/edgar/data/749647/000143774917011793/ex10-1.htm" TargetMode="External"/><Relationship Id="rId139" Type="http://schemas.openxmlformats.org/officeDocument/2006/relationships/hyperlink" Target="http://www.sec.gov/Archives/edgar/data/749647/000143774917011743/ex10-1.htm" TargetMode="External"/><Relationship Id="rId140" Type="http://schemas.openxmlformats.org/officeDocument/2006/relationships/hyperlink" Target="http://www.sec.gov/Archives/edgar/data/749647/000143774917011025/ex10-1.htm" TargetMode="External"/><Relationship Id="rId141" Type="http://schemas.openxmlformats.org/officeDocument/2006/relationships/hyperlink" Target="http://www.sec.gov/Archives/edgar/data/749647/000143774916028601/ex10-8.htm" TargetMode="External"/><Relationship Id="rId142" Type="http://schemas.openxmlformats.org/officeDocument/2006/relationships/hyperlink" Target="http://www.sec.gov/Archives/edgar/data/749647/000074964710000024/offerletter.htm" TargetMode="External"/><Relationship Id="rId143" Type="http://schemas.openxmlformats.org/officeDocument/2006/relationships/hyperlink" Target="http://www.sec.gov/Archives/edgar/data/749647/000093173199000517/0000931731-99-000517.txt" TargetMode="External"/><Relationship Id="rId144" Type="http://schemas.openxmlformats.org/officeDocument/2006/relationships/hyperlink" Target="http://www.sec.gov/Archives/edgar/data/749647/000100515003001416/ex10-1.txt" TargetMode="External"/><Relationship Id="rId146" Type="http://schemas.openxmlformats.org/officeDocument/2006/relationships/hyperlink" Target="http://www.sec.gov/Archives/edgar/data/749647/000104746909003319/a2191931zex-10_15.htm" TargetMode="External"/><Relationship Id="rId147" Type="http://schemas.openxmlformats.org/officeDocument/2006/relationships/hyperlink" Target="http://www.sec.gov/Archives/edgar/data/749647/000074964711000009/amend2yakult.htm" TargetMode="External"/><Relationship Id="rId148" Type="http://schemas.openxmlformats.org/officeDocument/2006/relationships/hyperlink" Target="http://www.sec.gov/Archives/edgar/data/749647/000074964711000106/exhibit99_1.htm" TargetMode="External"/><Relationship Id="rId149" Type="http://schemas.openxmlformats.org/officeDocument/2006/relationships/hyperlink" Target="http://www.sec.gov/Archives/edgar/data/749647/000143774917019215/ex_99690.htm" TargetMode="External"/><Relationship Id="rId150" Type="http://schemas.openxmlformats.org/officeDocument/2006/relationships/hyperlink" Target="http://www.sec.gov/Archives/edgar/data/749647/000143774912008356/ex10-2.htm" TargetMode="External"/><Relationship Id="rId151" Type="http://schemas.openxmlformats.org/officeDocument/2006/relationships/hyperlink" Target="http://www.sec.gov/Archives/edgar/data/749647/000143774912008356/ex10-3.htm" TargetMode="External"/><Relationship Id="rId152" Type="http://schemas.openxmlformats.org/officeDocument/2006/relationships/hyperlink" Target="http://www.sec.gov/Archives/edgar/data/749647/000143774913000989/clsn20130130b_8kex10-1.htm" TargetMode="External"/><Relationship Id="rId153" Type="http://schemas.openxmlformats.org/officeDocument/2006/relationships/hyperlink" Target="http://www.sec.gov/Archives/edgar/data/749647/000143774913001952/clsn20130225_8kex10-1.htm" TargetMode="External"/><Relationship Id="rId154" Type="http://schemas.openxmlformats.org/officeDocument/2006/relationships/hyperlink" Target="http://www.sec.gov/Archives/edgar/data/749647/000143774913005568/ex10-1.htm" TargetMode="External"/><Relationship Id="rId155" Type="http://schemas.openxmlformats.org/officeDocument/2006/relationships/hyperlink" Target="http://www.sec.gov/Archives/edgar/data/749647/000143774914004012/ex10-28.htm" TargetMode="External"/><Relationship Id="rId156" Type="http://schemas.openxmlformats.org/officeDocument/2006/relationships/hyperlink" Target="http://www.sec.gov/Archives/edgar/data/749647/000143774914000847/ex10-1.htm" TargetMode="External"/><Relationship Id="rId157" Type="http://schemas.openxmlformats.org/officeDocument/2006/relationships/hyperlink" Target="http://www.sec.gov/Archives/edgar/data/749647/000143774915004805/ex10-27.htm" TargetMode="External"/><Relationship Id="rId158" Type="http://schemas.openxmlformats.org/officeDocument/2006/relationships/hyperlink" Target="http://www.sec.gov/Archives/edgar/data/749647/000143774915012610/ex10-1.htm" TargetMode="External"/><Relationship Id="rId159" Type="http://schemas.openxmlformats.org/officeDocument/2006/relationships/hyperlink" Target="http://www.sec.gov/Archives/edgar/data/749647/000143774915011343/ex10-1.htm" TargetMode="External"/><Relationship Id="rId161" Type="http://schemas.openxmlformats.org/officeDocument/2006/relationships/hyperlink" Target="http://www.sec.gov/Archives/edgar/data/749647/000143774916034033/ex10-1.htm" TargetMode="External"/><Relationship Id="rId162" Type="http://schemas.openxmlformats.org/officeDocument/2006/relationships/hyperlink" Target="http://www.sec.gov/Archives/edgar/data/749647/000143774916041670/ex10-1.htm" TargetMode="External"/><Relationship Id="rId163" Type="http://schemas.openxmlformats.org/officeDocument/2006/relationships/hyperlink" Target="http://www.sec.gov/Archives/edgar/data/749647/000143774916041670/ex10-2.htm" TargetMode="External"/><Relationship Id="rId164" Type="http://schemas.openxmlformats.org/officeDocument/2006/relationships/hyperlink" Target="http://www.sec.gov/Archives/edgar/data/749647/000143774916041670/ex10-3.htm" TargetMode="External"/><Relationship Id="rId165" Type="http://schemas.openxmlformats.org/officeDocument/2006/relationships/hyperlink" Target="http://www.sec.gov/Archives/edgar/data/749647/000143774916041670/ex10-4.htm" TargetMode="External"/><Relationship Id="rId166" Type="http://schemas.openxmlformats.org/officeDocument/2006/relationships/hyperlink" Target="http://www.sec.gov/Archives/edgar/data/749647/000143774916043741/ex10-1.htm" TargetMode="External"/><Relationship Id="rId167" Type="http://schemas.openxmlformats.org/officeDocument/2006/relationships/hyperlink" Target="http://www.sec.gov/Archives/edgar/data/749647/000143774917002221/ex10-33.htm" TargetMode="External"/><Relationship Id="rId168" Type="http://schemas.openxmlformats.org/officeDocument/2006/relationships/hyperlink" Target="http://www.sec.gov/Archives/edgar/data/749647/00014377491701248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2019-12-28T23:40:12Z</dcterms:created>
  <dcterms:modified xsi:type="dcterms:W3CDTF">2019-12-28T23:40:12Z</dcterms:modified>
</cp:coreProperties>
</file>