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9" w:lineRule="exact"/>
        <w:rPr>
          <w:sz w:val="24"/>
          <w:szCs w:val="24"/>
          <w:color w:val="auto"/>
        </w:rPr>
      </w:pPr>
    </w:p>
    <w:p>
      <w:pPr>
        <w:ind w:left="4000" w:right="2320" w:hanging="3992"/>
        <w:spacing w:after="0" w:line="498" w:lineRule="auto"/>
        <w:tabs>
          <w:tab w:leader="none" w:pos="45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2016</w:t>
      </w:r>
    </w:p>
    <w:p>
      <w:pPr>
        <w:spacing w:after="0" w:line="1"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3" w:lineRule="exact"/>
        <w:rPr>
          <w:sz w:val="24"/>
          <w:szCs w:val="24"/>
          <w:color w:val="auto"/>
        </w:rPr>
      </w:pPr>
    </w:p>
    <w:p>
      <w:pPr>
        <w:ind w:left="3440" w:right="2300" w:hanging="3432"/>
        <w:spacing w:after="0" w:line="528" w:lineRule="auto"/>
        <w:tabs>
          <w:tab w:leader="none" w:pos="467"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 to ____________</w:t>
      </w:r>
    </w:p>
    <w:p>
      <w:pPr>
        <w:ind w:left="434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001-15911</w:t>
      </w: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160" w:type="dxa"/>
            <w:vAlign w:val="bottom"/>
          </w:tcPr>
          <w:p>
            <w:pPr>
              <w:ind w:left="2020"/>
              <w:spacing w:after="0"/>
              <w:rPr>
                <w:sz w:val="20"/>
                <w:szCs w:val="20"/>
                <w:color w:val="auto"/>
              </w:rPr>
            </w:pPr>
            <w:r>
              <w:rPr>
                <w:rFonts w:ascii="Arial" w:cs="Arial" w:eastAsia="Arial" w:hAnsi="Arial"/>
                <w:sz w:val="18"/>
                <w:szCs w:val="18"/>
                <w:b w:val="1"/>
                <w:bCs w:val="1"/>
                <w:color w:val="auto"/>
              </w:rPr>
              <w:t>Delaware</w:t>
            </w:r>
          </w:p>
        </w:tc>
        <w:tc>
          <w:tcPr>
            <w:tcW w:w="7260" w:type="dxa"/>
            <w:vAlign w:val="bottom"/>
            <w:gridSpan w:val="3"/>
          </w:tcPr>
          <w:p>
            <w:pPr>
              <w:jc w:val="right"/>
              <w:ind w:right="2670"/>
              <w:spacing w:after="0"/>
              <w:rPr>
                <w:sz w:val="20"/>
                <w:szCs w:val="20"/>
                <w:color w:val="auto"/>
              </w:rPr>
            </w:pPr>
            <w:r>
              <w:rPr>
                <w:rFonts w:ascii="Arial" w:cs="Arial" w:eastAsia="Arial" w:hAnsi="Arial"/>
                <w:sz w:val="18"/>
                <w:szCs w:val="18"/>
                <w:b w:val="1"/>
                <w:bCs w:val="1"/>
                <w:color w:val="auto"/>
              </w:rPr>
              <w:t>52-1256615</w:t>
            </w:r>
          </w:p>
        </w:tc>
      </w:tr>
      <w:tr>
        <w:trPr>
          <w:trHeight w:val="194"/>
        </w:trPr>
        <w:tc>
          <w:tcPr>
            <w:tcW w:w="4160" w:type="dxa"/>
            <w:vAlign w:val="bottom"/>
            <w:tcBorders>
              <w:top w:val="single" w:sz="8" w:color="auto"/>
            </w:tcBorders>
          </w:tcPr>
          <w:p>
            <w:pPr>
              <w:jc w:val="center"/>
              <w:ind w:left="750"/>
              <w:spacing w:after="0" w:line="195" w:lineRule="exact"/>
              <w:rPr>
                <w:sz w:val="20"/>
                <w:szCs w:val="20"/>
                <w:color w:val="auto"/>
              </w:rPr>
            </w:pPr>
            <w:r>
              <w:rPr>
                <w:rFonts w:ascii="Arial" w:cs="Arial" w:eastAsia="Arial" w:hAnsi="Arial"/>
                <w:sz w:val="18"/>
                <w:szCs w:val="18"/>
                <w:color w:val="auto"/>
                <w:w w:val="92"/>
              </w:rPr>
              <w:t>(State or other jurisdiction of incorporation</w:t>
            </w:r>
          </w:p>
        </w:tc>
        <w:tc>
          <w:tcPr>
            <w:tcW w:w="14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580" w:type="dxa"/>
            <w:vAlign w:val="bottom"/>
            <w:tcBorders>
              <w:top w:val="single" w:sz="8" w:color="auto"/>
            </w:tcBorders>
          </w:tcPr>
          <w:p>
            <w:pPr>
              <w:jc w:val="right"/>
              <w:ind w:right="1530"/>
              <w:spacing w:after="0" w:line="195" w:lineRule="exact"/>
              <w:rPr>
                <w:sz w:val="20"/>
                <w:szCs w:val="20"/>
                <w:color w:val="auto"/>
              </w:rPr>
            </w:pPr>
            <w:r>
              <w:rPr>
                <w:rFonts w:ascii="Arial" w:cs="Arial" w:eastAsia="Arial" w:hAnsi="Arial"/>
                <w:sz w:val="18"/>
                <w:szCs w:val="18"/>
                <w:color w:val="auto"/>
              </w:rPr>
              <w:t>(I.R.S. Employer Identification Number)</w:t>
            </w:r>
          </w:p>
        </w:tc>
      </w:tr>
      <w:tr>
        <w:trPr>
          <w:trHeight w:val="230"/>
        </w:trPr>
        <w:tc>
          <w:tcPr>
            <w:tcW w:w="4160" w:type="dxa"/>
            <w:vAlign w:val="bottom"/>
          </w:tcPr>
          <w:p>
            <w:pPr>
              <w:jc w:val="center"/>
              <w:ind w:left="750"/>
              <w:spacing w:after="0"/>
              <w:rPr>
                <w:sz w:val="20"/>
                <w:szCs w:val="20"/>
                <w:color w:val="auto"/>
              </w:rPr>
            </w:pPr>
            <w:r>
              <w:rPr>
                <w:rFonts w:ascii="Arial" w:cs="Arial" w:eastAsia="Arial" w:hAnsi="Arial"/>
                <w:sz w:val="18"/>
                <w:szCs w:val="18"/>
                <w:color w:val="auto"/>
                <w:w w:val="92"/>
              </w:rPr>
              <w:t>or organization)</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12"/>
        </w:trPr>
        <w:tc>
          <w:tcPr>
            <w:tcW w:w="4160" w:type="dxa"/>
            <w:vAlign w:val="bottom"/>
          </w:tcPr>
          <w:p>
            <w:pPr>
              <w:spacing w:after="0"/>
              <w:rPr>
                <w:sz w:val="24"/>
                <w:szCs w:val="24"/>
                <w:color w:val="auto"/>
              </w:rPr>
            </w:pPr>
          </w:p>
        </w:tc>
        <w:tc>
          <w:tcPr>
            <w:tcW w:w="7260" w:type="dxa"/>
            <w:vAlign w:val="bottom"/>
            <w:gridSpan w:val="3"/>
          </w:tcPr>
          <w:p>
            <w:pPr>
              <w:jc w:val="center"/>
              <w:ind w:right="4070"/>
              <w:spacing w:after="0"/>
              <w:rPr>
                <w:sz w:val="20"/>
                <w:szCs w:val="20"/>
                <w:color w:val="auto"/>
              </w:rPr>
            </w:pPr>
            <w:r>
              <w:rPr>
                <w:rFonts w:ascii="Arial" w:cs="Arial" w:eastAsia="Arial" w:hAnsi="Arial"/>
                <w:sz w:val="18"/>
                <w:szCs w:val="18"/>
                <w:b w:val="1"/>
                <w:bCs w:val="1"/>
                <w:color w:val="auto"/>
                <w:w w:val="90"/>
              </w:rPr>
              <w:t>997 Lenox Drive, Suite 100</w:t>
            </w:r>
          </w:p>
        </w:tc>
      </w:tr>
      <w:tr>
        <w:trPr>
          <w:trHeight w:val="219"/>
        </w:trPr>
        <w:tc>
          <w:tcPr>
            <w:tcW w:w="4160" w:type="dxa"/>
            <w:vAlign w:val="bottom"/>
          </w:tcPr>
          <w:p>
            <w:pPr>
              <w:spacing w:after="0"/>
              <w:rPr>
                <w:sz w:val="19"/>
                <w:szCs w:val="19"/>
                <w:color w:val="auto"/>
              </w:rPr>
            </w:pPr>
          </w:p>
        </w:tc>
        <w:tc>
          <w:tcPr>
            <w:tcW w:w="7260" w:type="dxa"/>
            <w:vAlign w:val="bottom"/>
            <w:gridSpan w:val="3"/>
          </w:tcPr>
          <w:p>
            <w:pPr>
              <w:jc w:val="center"/>
              <w:ind w:right="4050"/>
              <w:spacing w:after="0"/>
              <w:rPr>
                <w:sz w:val="20"/>
                <w:szCs w:val="20"/>
                <w:color w:val="auto"/>
              </w:rPr>
            </w:pPr>
            <w:r>
              <w:rPr>
                <w:rFonts w:ascii="Arial" w:cs="Arial" w:eastAsia="Arial" w:hAnsi="Arial"/>
                <w:sz w:val="18"/>
                <w:szCs w:val="18"/>
                <w:b w:val="1"/>
                <w:bCs w:val="1"/>
                <w:color w:val="auto"/>
                <w:w w:val="90"/>
              </w:rPr>
              <w:t xml:space="preserve">Lawrenceville </w:t>
            </w:r>
            <w:r>
              <w:rPr>
                <w:rFonts w:ascii="Arial" w:cs="Arial" w:eastAsia="Arial" w:hAnsi="Arial"/>
                <w:sz w:val="18"/>
                <w:szCs w:val="18"/>
                <w:color w:val="auto"/>
                <w:w w:val="90"/>
              </w:rPr>
              <w:t>,</w:t>
            </w:r>
            <w:r>
              <w:rPr>
                <w:rFonts w:ascii="Arial" w:cs="Arial" w:eastAsia="Arial" w:hAnsi="Arial"/>
                <w:sz w:val="18"/>
                <w:szCs w:val="18"/>
                <w:b w:val="1"/>
                <w:bCs w:val="1"/>
                <w:color w:val="auto"/>
                <w:w w:val="90"/>
              </w:rPr>
              <w:t xml:space="preserve"> NJ 08648</w:t>
            </w:r>
          </w:p>
        </w:tc>
      </w:tr>
      <w:tr>
        <w:trPr>
          <w:trHeight w:val="230"/>
        </w:trPr>
        <w:tc>
          <w:tcPr>
            <w:tcW w:w="4160" w:type="dxa"/>
            <w:vAlign w:val="bottom"/>
          </w:tcPr>
          <w:p>
            <w:pPr>
              <w:spacing w:after="0"/>
              <w:rPr>
                <w:sz w:val="19"/>
                <w:szCs w:val="19"/>
                <w:color w:val="auto"/>
              </w:rPr>
            </w:pPr>
          </w:p>
        </w:tc>
        <w:tc>
          <w:tcPr>
            <w:tcW w:w="7260" w:type="dxa"/>
            <w:vAlign w:val="bottom"/>
            <w:gridSpan w:val="3"/>
          </w:tcPr>
          <w:p>
            <w:pPr>
              <w:jc w:val="center"/>
              <w:ind w:right="4050"/>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9"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4" w:lineRule="exact"/>
        <w:rPr>
          <w:sz w:val="24"/>
          <w:szCs w:val="24"/>
          <w:color w:val="auto"/>
        </w:rPr>
      </w:pPr>
    </w:p>
    <w:p>
      <w:pPr>
        <w:jc w:val="both"/>
        <w:spacing w:after="0" w:line="30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sectPr>
      </w:pPr>
    </w:p>
    <w:p>
      <w:pPr>
        <w:spacing w:after="0" w:line="11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6160" w:space="720"/>
            <w:col w:w="1200" w:space="720"/>
            <w:col w:w="2620"/>
          </w:cols>
          <w:pgMar w:left="240" w:top="229" w:right="239" w:bottom="1440" w:gutter="0" w:footer="0" w:header="0"/>
          <w:type w:val="continuous"/>
        </w:sectPr>
      </w:pP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78"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520" w:space="140"/>
            <w:col w:w="4500" w:space="720"/>
            <w:col w:w="1960" w:space="220"/>
            <w:col w:w="2360"/>
          </w:cols>
          <w:pgMar w:left="240" w:top="229" w:right="239" w:bottom="1440" w:gutter="0" w:footer="0" w:header="0"/>
          <w:type w:val="continuous"/>
        </w:sectPr>
      </w:pP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420"/>
          </w:cols>
          <w:pgMar w:left="240" w:top="229" w:right="239" w:bottom="1440" w:gutter="0" w:footer="0" w:header="0"/>
          <w:type w:val="continuous"/>
        </w:sectPr>
      </w:pP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As of May 13, 2016, the Registrant had 23,436,772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521970</wp:posOffset>
            </wp:positionV>
            <wp:extent cx="726821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1200" w:type="dxa"/>
            <w:vAlign w:val="bottom"/>
          </w:tcPr>
          <w:p>
            <w:pPr>
              <w:spacing w:after="0"/>
              <w:rPr>
                <w:sz w:val="18"/>
                <w:szCs w:val="18"/>
                <w:color w:val="auto"/>
              </w:rPr>
            </w:pPr>
          </w:p>
        </w:tc>
        <w:tc>
          <w:tcPr>
            <w:tcW w:w="9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CELSION CORPORATION</w:t>
            </w:r>
          </w:p>
        </w:tc>
        <w:tc>
          <w:tcPr>
            <w:tcW w:w="960" w:type="dxa"/>
            <w:vAlign w:val="bottom"/>
          </w:tcPr>
          <w:p>
            <w:pPr>
              <w:spacing w:after="0"/>
              <w:rPr>
                <w:sz w:val="18"/>
                <w:szCs w:val="18"/>
                <w:color w:val="auto"/>
              </w:rPr>
            </w:pPr>
          </w:p>
        </w:tc>
      </w:tr>
      <w:tr>
        <w:trPr>
          <w:trHeight w:val="215"/>
        </w:trPr>
        <w:tc>
          <w:tcPr>
            <w:tcW w:w="1200" w:type="dxa"/>
            <w:vAlign w:val="bottom"/>
          </w:tcPr>
          <w:p>
            <w:pPr>
              <w:spacing w:after="0"/>
              <w:rPr>
                <w:sz w:val="18"/>
                <w:szCs w:val="18"/>
                <w:color w:val="auto"/>
              </w:rPr>
            </w:pPr>
          </w:p>
        </w:tc>
        <w:tc>
          <w:tcPr>
            <w:tcW w:w="926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QUARTERLY REPORT ON</w:t>
            </w:r>
          </w:p>
        </w:tc>
        <w:tc>
          <w:tcPr>
            <w:tcW w:w="960" w:type="dxa"/>
            <w:vAlign w:val="bottom"/>
          </w:tcPr>
          <w:p>
            <w:pPr>
              <w:spacing w:after="0"/>
              <w:rPr>
                <w:sz w:val="18"/>
                <w:szCs w:val="18"/>
                <w:color w:val="auto"/>
              </w:rPr>
            </w:pPr>
          </w:p>
        </w:tc>
      </w:tr>
      <w:tr>
        <w:trPr>
          <w:trHeight w:val="234"/>
        </w:trPr>
        <w:tc>
          <w:tcPr>
            <w:tcW w:w="1200" w:type="dxa"/>
            <w:vAlign w:val="bottom"/>
          </w:tcPr>
          <w:p>
            <w:pPr>
              <w:spacing w:after="0"/>
              <w:rPr>
                <w:sz w:val="20"/>
                <w:szCs w:val="20"/>
                <w:color w:val="auto"/>
              </w:rPr>
            </w:pPr>
          </w:p>
        </w:tc>
        <w:tc>
          <w:tcPr>
            <w:tcW w:w="926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FORM 10-Q</w:t>
            </w:r>
          </w:p>
        </w:tc>
        <w:tc>
          <w:tcPr>
            <w:tcW w:w="960" w:type="dxa"/>
            <w:vAlign w:val="bottom"/>
          </w:tcPr>
          <w:p>
            <w:pPr>
              <w:spacing w:after="0"/>
              <w:rPr>
                <w:sz w:val="20"/>
                <w:szCs w:val="20"/>
                <w:color w:val="auto"/>
              </w:rPr>
            </w:pPr>
          </w:p>
        </w:tc>
      </w:tr>
      <w:tr>
        <w:trPr>
          <w:trHeight w:val="430"/>
        </w:trPr>
        <w:tc>
          <w:tcPr>
            <w:tcW w:w="1200" w:type="dxa"/>
            <w:vAlign w:val="bottom"/>
          </w:tcPr>
          <w:p>
            <w:pPr>
              <w:spacing w:after="0"/>
              <w:rPr>
                <w:sz w:val="24"/>
                <w:szCs w:val="24"/>
                <w:color w:val="auto"/>
              </w:rPr>
            </w:pPr>
          </w:p>
        </w:tc>
        <w:tc>
          <w:tcPr>
            <w:tcW w:w="9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TABLE OF CONTENTS</w:t>
            </w:r>
          </w:p>
        </w:tc>
        <w:tc>
          <w:tcPr>
            <w:tcW w:w="960" w:type="dxa"/>
            <w:vAlign w:val="bottom"/>
          </w:tcPr>
          <w:p>
            <w:pPr>
              <w:spacing w:after="0"/>
              <w:rPr>
                <w:sz w:val="24"/>
                <w:szCs w:val="24"/>
                <w:color w:val="auto"/>
              </w:rPr>
            </w:pPr>
          </w:p>
        </w:tc>
      </w:tr>
      <w:tr>
        <w:trPr>
          <w:trHeight w:val="215"/>
        </w:trPr>
        <w:tc>
          <w:tcPr>
            <w:tcW w:w="104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960" w:type="dxa"/>
            <w:vAlign w:val="bottom"/>
            <w:shd w:val="clear" w:color="auto" w:fill="CCEEFF"/>
          </w:tcPr>
          <w:p>
            <w:pPr>
              <w:spacing w:after="0"/>
              <w:rPr>
                <w:sz w:val="18"/>
                <w:szCs w:val="18"/>
                <w:color w:val="auto"/>
              </w:rPr>
            </w:pPr>
          </w:p>
        </w:tc>
      </w:tr>
      <w:tr>
        <w:trPr>
          <w:trHeight w:val="215"/>
        </w:trPr>
        <w:tc>
          <w:tcPr>
            <w:tcW w:w="12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Page(s)</w:t>
            </w: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w:t>
            </w:r>
          </w:p>
        </w:tc>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Statements (Unaudited)</w:t>
            </w: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w:t>
            </w:r>
          </w:p>
        </w:tc>
      </w:tr>
      <w:tr>
        <w:trPr>
          <w:trHeight w:val="215"/>
        </w:trPr>
        <w:tc>
          <w:tcPr>
            <w:tcW w:w="120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Condensed Consolidated Balance Sheets</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5"/>
        </w:trPr>
        <w:tc>
          <w:tcPr>
            <w:tcW w:w="1200" w:type="dxa"/>
            <w:vAlign w:val="bottom"/>
            <w:shd w:val="clear" w:color="auto" w:fill="CCEEFF"/>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Condensed Consolidated Statements of Operations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5"/>
        </w:trPr>
        <w:tc>
          <w:tcPr>
            <w:tcW w:w="120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Condensed Consolidated Statements of Comprehensive Loss</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5"/>
        </w:trPr>
        <w:tc>
          <w:tcPr>
            <w:tcW w:w="1200" w:type="dxa"/>
            <w:vAlign w:val="bottom"/>
            <w:shd w:val="clear" w:color="auto" w:fill="CCEEFF"/>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Condensed Consolidated Statements of Cash Flows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5"/>
        </w:trPr>
        <w:tc>
          <w:tcPr>
            <w:tcW w:w="120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Notes to Condensed Consolidated Financial Statements</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5"/>
        </w:trPr>
        <w:tc>
          <w:tcPr>
            <w:tcW w:w="1200" w:type="dxa"/>
            <w:vAlign w:val="bottom"/>
            <w:shd w:val="clear" w:color="auto" w:fill="CCEEFF"/>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1200" w:type="dxa"/>
            <w:vAlign w:val="bottom"/>
          </w:tcPr>
          <w:p>
            <w:pPr>
              <w:ind w:left="160"/>
              <w:spacing w:after="0"/>
              <w:rPr>
                <w:sz w:val="20"/>
                <w:szCs w:val="20"/>
                <w:color w:val="auto"/>
              </w:rPr>
            </w:pPr>
            <w:r>
              <w:rPr>
                <w:rFonts w:ascii="Arial" w:cs="Arial" w:eastAsia="Arial" w:hAnsi="Arial"/>
                <w:sz w:val="18"/>
                <w:szCs w:val="18"/>
                <w:color w:val="auto"/>
              </w:rPr>
              <w:t>Item 2.</w:t>
            </w:r>
          </w:p>
        </w:tc>
        <w:tc>
          <w:tcPr>
            <w:tcW w:w="9260" w:type="dxa"/>
            <w:vAlign w:val="bottom"/>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5"/>
        </w:trPr>
        <w:tc>
          <w:tcPr>
            <w:tcW w:w="1200" w:type="dxa"/>
            <w:vAlign w:val="bottom"/>
            <w:shd w:val="clear" w:color="auto" w:fill="CCEEFF"/>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1200" w:type="dxa"/>
            <w:vAlign w:val="bottom"/>
          </w:tcPr>
          <w:p>
            <w:pPr>
              <w:ind w:left="160"/>
              <w:spacing w:after="0"/>
              <w:rPr>
                <w:sz w:val="20"/>
                <w:szCs w:val="20"/>
                <w:color w:val="auto"/>
              </w:rPr>
            </w:pPr>
            <w:r>
              <w:rPr>
                <w:rFonts w:ascii="Arial" w:cs="Arial" w:eastAsia="Arial" w:hAnsi="Arial"/>
                <w:sz w:val="18"/>
                <w:szCs w:val="18"/>
                <w:color w:val="auto"/>
              </w:rPr>
              <w:t>Item 3.</w:t>
            </w:r>
          </w:p>
        </w:tc>
        <w:tc>
          <w:tcPr>
            <w:tcW w:w="9260" w:type="dxa"/>
            <w:vAlign w:val="bottom"/>
          </w:tcPr>
          <w:p>
            <w:pPr>
              <w:ind w:left="40"/>
              <w:spacing w:after="0"/>
              <w:rPr>
                <w:sz w:val="20"/>
                <w:szCs w:val="20"/>
                <w:color w:val="auto"/>
              </w:rPr>
            </w:pPr>
            <w:r>
              <w:rPr>
                <w:rFonts w:ascii="Arial" w:cs="Arial" w:eastAsia="Arial" w:hAnsi="Arial"/>
                <w:sz w:val="18"/>
                <w:szCs w:val="18"/>
                <w:color w:val="auto"/>
              </w:rPr>
              <w:t>Quantitative and Qualitative Disclosures about Market Risk</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15"/>
        </w:trPr>
        <w:tc>
          <w:tcPr>
            <w:tcW w:w="1200" w:type="dxa"/>
            <w:vAlign w:val="bottom"/>
            <w:shd w:val="clear" w:color="auto" w:fill="CCEEFF"/>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1200" w:type="dxa"/>
            <w:vAlign w:val="bottom"/>
          </w:tcPr>
          <w:p>
            <w:pPr>
              <w:ind w:left="160"/>
              <w:spacing w:after="0"/>
              <w:rPr>
                <w:sz w:val="20"/>
                <w:szCs w:val="20"/>
                <w:color w:val="auto"/>
              </w:rPr>
            </w:pPr>
            <w:r>
              <w:rPr>
                <w:rFonts w:ascii="Arial" w:cs="Arial" w:eastAsia="Arial" w:hAnsi="Arial"/>
                <w:sz w:val="18"/>
                <w:szCs w:val="18"/>
                <w:color w:val="auto"/>
              </w:rPr>
              <w:t>Item 4.</w:t>
            </w:r>
          </w:p>
        </w:tc>
        <w:tc>
          <w:tcPr>
            <w:tcW w:w="9260" w:type="dxa"/>
            <w:vAlign w:val="bottom"/>
          </w:tcPr>
          <w:p>
            <w:pPr>
              <w:ind w:left="40"/>
              <w:spacing w:after="0"/>
              <w:rPr>
                <w:sz w:val="20"/>
                <w:szCs w:val="20"/>
                <w:color w:val="auto"/>
              </w:rPr>
            </w:pPr>
            <w:r>
              <w:rPr>
                <w:rFonts w:ascii="Arial" w:cs="Arial" w:eastAsia="Arial" w:hAnsi="Arial"/>
                <w:sz w:val="18"/>
                <w:szCs w:val="18"/>
                <w:color w:val="auto"/>
              </w:rPr>
              <w:t>Controls and Procedures</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15"/>
        </w:trPr>
        <w:tc>
          <w:tcPr>
            <w:tcW w:w="1046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1046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5"/>
        </w:trPr>
        <w:tc>
          <w:tcPr>
            <w:tcW w:w="1200" w:type="dxa"/>
            <w:vAlign w:val="bottom"/>
            <w:shd w:val="clear" w:color="auto" w:fill="CCEEFF"/>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1200" w:type="dxa"/>
            <w:vAlign w:val="bottom"/>
          </w:tcPr>
          <w:p>
            <w:pPr>
              <w:ind w:left="160"/>
              <w:spacing w:after="0"/>
              <w:rPr>
                <w:sz w:val="20"/>
                <w:szCs w:val="20"/>
                <w:color w:val="auto"/>
              </w:rPr>
            </w:pPr>
            <w:r>
              <w:rPr>
                <w:rFonts w:ascii="Arial" w:cs="Arial" w:eastAsia="Arial" w:hAnsi="Arial"/>
                <w:sz w:val="18"/>
                <w:szCs w:val="18"/>
                <w:color w:val="auto"/>
              </w:rPr>
              <w:t>Item 1.</w:t>
            </w:r>
          </w:p>
        </w:tc>
        <w:tc>
          <w:tcPr>
            <w:tcW w:w="9260" w:type="dxa"/>
            <w:vAlign w:val="bottom"/>
          </w:tcPr>
          <w:p>
            <w:pPr>
              <w:ind w:left="40"/>
              <w:spacing w:after="0"/>
              <w:rPr>
                <w:sz w:val="20"/>
                <w:szCs w:val="20"/>
                <w:color w:val="auto"/>
              </w:rPr>
            </w:pPr>
            <w:r>
              <w:rPr>
                <w:rFonts w:ascii="Arial" w:cs="Arial" w:eastAsia="Arial" w:hAnsi="Arial"/>
                <w:sz w:val="18"/>
                <w:szCs w:val="18"/>
                <w:color w:val="auto"/>
              </w:rPr>
              <w:t>Legal Proceedings</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5"/>
        </w:trPr>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1A.</w:t>
            </w:r>
          </w:p>
        </w:tc>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 Factors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r>
      <w:tr>
        <w:trPr>
          <w:trHeight w:val="215"/>
        </w:trPr>
        <w:tc>
          <w:tcPr>
            <w:tcW w:w="1200" w:type="dxa"/>
            <w:vAlign w:val="bottom"/>
          </w:tcPr>
          <w:p>
            <w:pPr>
              <w:ind w:left="160"/>
              <w:spacing w:after="0"/>
              <w:rPr>
                <w:sz w:val="20"/>
                <w:szCs w:val="20"/>
                <w:color w:val="auto"/>
              </w:rPr>
            </w:pPr>
            <w:r>
              <w:rPr>
                <w:rFonts w:ascii="Arial" w:cs="Arial" w:eastAsia="Arial" w:hAnsi="Arial"/>
                <w:sz w:val="18"/>
                <w:szCs w:val="18"/>
                <w:color w:val="auto"/>
              </w:rPr>
              <w:t>Item 2.</w:t>
            </w:r>
          </w:p>
        </w:tc>
        <w:tc>
          <w:tcPr>
            <w:tcW w:w="9260" w:type="dxa"/>
            <w:vAlign w:val="bottom"/>
          </w:tcPr>
          <w:p>
            <w:pPr>
              <w:ind w:left="40"/>
              <w:spacing w:after="0"/>
              <w:rPr>
                <w:sz w:val="20"/>
                <w:szCs w:val="20"/>
                <w:color w:val="auto"/>
              </w:rPr>
            </w:pPr>
            <w:r>
              <w:rPr>
                <w:rFonts w:ascii="Arial" w:cs="Arial" w:eastAsia="Arial" w:hAnsi="Arial"/>
                <w:sz w:val="18"/>
                <w:szCs w:val="18"/>
                <w:color w:val="auto"/>
              </w:rPr>
              <w:t>Unregistered Sales of Equity Securities and Use of Proceeds</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5"/>
        </w:trPr>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3.</w:t>
            </w:r>
          </w:p>
        </w:tc>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Defaults Upon Senior Securities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215"/>
        </w:trPr>
        <w:tc>
          <w:tcPr>
            <w:tcW w:w="1200" w:type="dxa"/>
            <w:vAlign w:val="bottom"/>
          </w:tcPr>
          <w:p>
            <w:pPr>
              <w:ind w:left="160"/>
              <w:spacing w:after="0"/>
              <w:rPr>
                <w:sz w:val="20"/>
                <w:szCs w:val="20"/>
                <w:color w:val="auto"/>
              </w:rPr>
            </w:pPr>
            <w:r>
              <w:rPr>
                <w:rFonts w:ascii="Arial" w:cs="Arial" w:eastAsia="Arial" w:hAnsi="Arial"/>
                <w:sz w:val="18"/>
                <w:szCs w:val="18"/>
                <w:color w:val="auto"/>
              </w:rPr>
              <w:t>Item 4.</w:t>
            </w:r>
          </w:p>
        </w:tc>
        <w:tc>
          <w:tcPr>
            <w:tcW w:w="9260" w:type="dxa"/>
            <w:vAlign w:val="bottom"/>
          </w:tcPr>
          <w:p>
            <w:pPr>
              <w:ind w:left="40"/>
              <w:spacing w:after="0"/>
              <w:rPr>
                <w:sz w:val="20"/>
                <w:szCs w:val="20"/>
                <w:color w:val="auto"/>
              </w:rPr>
            </w:pPr>
            <w:r>
              <w:rPr>
                <w:rFonts w:ascii="Arial" w:cs="Arial" w:eastAsia="Arial" w:hAnsi="Arial"/>
                <w:sz w:val="18"/>
                <w:szCs w:val="18"/>
                <w:color w:val="auto"/>
              </w:rPr>
              <w:t>Mine Safety Disclosures</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5"/>
        </w:trPr>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5.</w:t>
            </w:r>
          </w:p>
        </w:tc>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Information</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215"/>
        </w:trPr>
        <w:tc>
          <w:tcPr>
            <w:tcW w:w="1200" w:type="dxa"/>
            <w:vAlign w:val="bottom"/>
          </w:tcPr>
          <w:p>
            <w:pPr>
              <w:ind w:left="160"/>
              <w:spacing w:after="0"/>
              <w:rPr>
                <w:sz w:val="20"/>
                <w:szCs w:val="20"/>
                <w:color w:val="auto"/>
              </w:rPr>
            </w:pPr>
            <w:r>
              <w:rPr>
                <w:rFonts w:ascii="Arial" w:cs="Arial" w:eastAsia="Arial" w:hAnsi="Arial"/>
                <w:sz w:val="18"/>
                <w:szCs w:val="18"/>
                <w:color w:val="auto"/>
              </w:rPr>
              <w:t>Item 6.</w:t>
            </w:r>
          </w:p>
        </w:tc>
        <w:tc>
          <w:tcPr>
            <w:tcW w:w="9260" w:type="dxa"/>
            <w:vAlign w:val="bottom"/>
          </w:tcPr>
          <w:p>
            <w:pPr>
              <w:ind w:left="40"/>
              <w:spacing w:after="0"/>
              <w:rPr>
                <w:sz w:val="20"/>
                <w:szCs w:val="20"/>
                <w:color w:val="auto"/>
              </w:rPr>
            </w:pPr>
            <w:r>
              <w:rPr>
                <w:rFonts w:ascii="Arial" w:cs="Arial" w:eastAsia="Arial" w:hAnsi="Arial"/>
                <w:sz w:val="18"/>
                <w:szCs w:val="18"/>
                <w:color w:val="auto"/>
              </w:rPr>
              <w:t>Exhibits</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5"/>
        </w:trPr>
        <w:tc>
          <w:tcPr>
            <w:tcW w:w="1200" w:type="dxa"/>
            <w:vAlign w:val="bottom"/>
            <w:shd w:val="clear" w:color="auto" w:fill="CCEEFF"/>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1200" w:type="dxa"/>
            <w:vAlign w:val="bottom"/>
          </w:tcPr>
          <w:p>
            <w:pPr>
              <w:spacing w:after="0"/>
              <w:rPr>
                <w:sz w:val="20"/>
                <w:szCs w:val="20"/>
                <w:color w:val="auto"/>
              </w:rPr>
            </w:pPr>
            <w:r>
              <w:rPr>
                <w:rFonts w:ascii="Arial" w:cs="Arial" w:eastAsia="Arial" w:hAnsi="Arial"/>
                <w:sz w:val="18"/>
                <w:szCs w:val="18"/>
                <w:b w:val="1"/>
                <w:bCs w:val="1"/>
                <w:color w:val="auto"/>
                <w:w w:val="99"/>
              </w:rPr>
              <w:t>SIGNATURES</w:t>
            </w:r>
          </w:p>
        </w:tc>
        <w:tc>
          <w:tcPr>
            <w:tcW w:w="92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43</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and its wholly-owned subsidiary CLSN Laboratories, Inc., also a Delaware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Celsion brand and product names, including but not limited to Celsion®, ThermoDox®, EGEN®, TheraPlas™ and TheraSilence™,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FINANCIAL STATEMENTS</w:t>
      </w:r>
    </w:p>
    <w:p>
      <w:pPr>
        <w:spacing w:after="0" w:line="22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CELSION CORPORATION</w:t>
      </w:r>
    </w:p>
    <w:p>
      <w:pPr>
        <w:spacing w:after="0" w:line="223"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8"/>
              </w:rPr>
              <w:t>BALANCE SHEETS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8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March 31, 2016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14,310,542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9,265,144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 – available for sale, at fair value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10,799,890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340"/>
              <w:spacing w:after="0"/>
              <w:rPr>
                <w:sz w:val="20"/>
                <w:szCs w:val="20"/>
                <w:color w:val="auto"/>
              </w:rPr>
            </w:pPr>
            <w:r>
              <w:rPr>
                <w:rFonts w:ascii="Arial" w:cs="Arial" w:eastAsia="Arial" w:hAnsi="Arial"/>
                <w:sz w:val="18"/>
                <w:szCs w:val="18"/>
                <w:color w:val="auto"/>
              </w:rPr>
              <w:t>Accrued interest receivable on investment securities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Advances and deposits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371,655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189,553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14,682,197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20,281,316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120" w:type="dxa"/>
            <w:vAlign w:val="bottom"/>
          </w:tcPr>
          <w:p>
            <w:pPr>
              <w:ind w:left="160"/>
              <w:spacing w:after="0" w:line="201" w:lineRule="exact"/>
              <w:rPr>
                <w:sz w:val="20"/>
                <w:szCs w:val="20"/>
                <w:color w:val="auto"/>
              </w:rPr>
            </w:pPr>
            <w:r>
              <w:rPr>
                <w:rFonts w:ascii="Arial" w:cs="Arial" w:eastAsia="Arial" w:hAnsi="Arial"/>
                <w:sz w:val="18"/>
                <w:szCs w:val="18"/>
                <w:b w:val="1"/>
                <w:bCs w:val="1"/>
                <w:color w:val="auto"/>
                <w:w w:val="97"/>
              </w:rPr>
              <w:t xml:space="preserve">Property and equipment </w:t>
            </w:r>
            <w:r>
              <w:rPr>
                <w:rFonts w:ascii="Arial" w:cs="Arial" w:eastAsia="Arial" w:hAnsi="Arial"/>
                <w:sz w:val="18"/>
                <w:szCs w:val="18"/>
                <w:color w:val="auto"/>
                <w:w w:val="97"/>
              </w:rPr>
              <w:t>(at cost, less accumulated depreciation and amortization of $2,178,483 and</w:t>
            </w:r>
          </w:p>
        </w:tc>
        <w:tc>
          <w:tcPr>
            <w:tcW w:w="12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756,750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854,872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$2,058,483, respectively)</w:t>
            </w: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In-process research and development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25,801,728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25,801,728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1,976,101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1,976,101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Security deposit on letter of credit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340"/>
              <w:spacing w:after="0"/>
              <w:rPr>
                <w:sz w:val="20"/>
                <w:szCs w:val="20"/>
                <w:color w:val="auto"/>
              </w:rPr>
            </w:pPr>
            <w:r>
              <w:rPr>
                <w:rFonts w:ascii="Arial" w:cs="Arial" w:eastAsia="Arial" w:hAnsi="Arial"/>
                <w:sz w:val="18"/>
                <w:szCs w:val="18"/>
                <w:color w:val="auto"/>
              </w:rPr>
              <w:t>Patent licensing fees and other assets, net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14,386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27,890,340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27,892,215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43,329,287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49,028,403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8120" w:type="dxa"/>
            <w:vAlign w:val="bottom"/>
            <w:tcBorders>
              <w:top w:val="single" w:sz="8" w:color="CCEEFF"/>
            </w:tcBorders>
          </w:tcPr>
          <w:p>
            <w:pPr>
              <w:jc w:val="center"/>
              <w:ind w:left="3210"/>
              <w:spacing w:after="0"/>
              <w:rPr>
                <w:sz w:val="20"/>
                <w:szCs w:val="20"/>
                <w:color w:val="auto"/>
              </w:rPr>
            </w:pPr>
            <w:r>
              <w:rPr>
                <w:rFonts w:ascii="Arial" w:cs="Arial" w:eastAsia="Arial" w:hAnsi="Arial"/>
                <w:sz w:val="18"/>
                <w:szCs w:val="18"/>
                <w:b w:val="1"/>
                <w:bCs w:val="1"/>
                <w:color w:val="auto"/>
                <w:w w:val="86"/>
              </w:rPr>
              <w:t>See accompanying notes to the financial statements.</w:t>
            </w:r>
          </w:p>
        </w:tc>
        <w:tc>
          <w:tcPr>
            <w:tcW w:w="1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2"/>
        </w:trPr>
        <w:tc>
          <w:tcPr>
            <w:tcW w:w="8120" w:type="dxa"/>
            <w:vAlign w:val="bottom"/>
          </w:tcPr>
          <w:p>
            <w:pPr>
              <w:jc w:val="center"/>
              <w:ind w:left="321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8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8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8" w:right="19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CELSION CORPORATION</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CONDENSED CONSOLIDATED</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8"/>
              </w:rPr>
              <w:t>BALANCE SHEETS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1"/>
              </w:rPr>
              <w:t>(Continued)</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8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March 31, 2016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(unaudited)</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340"/>
              <w:spacing w:after="0"/>
              <w:rPr>
                <w:sz w:val="20"/>
                <w:szCs w:val="20"/>
                <w:color w:val="auto"/>
              </w:rPr>
            </w:pPr>
            <w:r>
              <w:rPr>
                <w:rFonts w:ascii="Arial" w:cs="Arial" w:eastAsia="Arial" w:hAnsi="Arial"/>
                <w:sz w:val="18"/>
                <w:szCs w:val="18"/>
                <w:color w:val="auto"/>
              </w:rPr>
              <w:t>Accounts payable ─ trade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2,764,941</w:t>
            </w:r>
          </w:p>
        </w:tc>
        <w:tc>
          <w:tcPr>
            <w:tcW w:w="1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2,830,227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accrued liabilities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2,097,041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1,919,769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340"/>
              <w:spacing w:after="0"/>
              <w:rPr>
                <w:sz w:val="20"/>
                <w:szCs w:val="20"/>
                <w:color w:val="auto"/>
              </w:rPr>
            </w:pPr>
            <w:r>
              <w:rPr>
                <w:rFonts w:ascii="Arial" w:cs="Arial" w:eastAsia="Arial" w:hAnsi="Arial"/>
                <w:sz w:val="18"/>
                <w:szCs w:val="18"/>
                <w:color w:val="auto"/>
              </w:rPr>
              <w:t>Notes payable - current portion</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4,201,019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4,073,716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revenue –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9,563,001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9,323,712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340"/>
              <w:spacing w:after="0"/>
              <w:rPr>
                <w:sz w:val="20"/>
                <w:szCs w:val="20"/>
                <w:color w:val="auto"/>
              </w:rPr>
            </w:pPr>
            <w:r>
              <w:rPr>
                <w:rFonts w:ascii="Arial" w:cs="Arial" w:eastAsia="Arial" w:hAnsi="Arial"/>
                <w:sz w:val="18"/>
                <w:szCs w:val="18"/>
                <w:color w:val="auto"/>
              </w:rPr>
              <w:t>Notes payable – non-current portion</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1,319,414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2,350,018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Earn-out milestone liability</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14,224,068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13,921,412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340"/>
              <w:spacing w:after="0"/>
              <w:rPr>
                <w:sz w:val="20"/>
                <w:szCs w:val="20"/>
                <w:color w:val="auto"/>
              </w:rPr>
            </w:pPr>
            <w:r>
              <w:rPr>
                <w:rFonts w:ascii="Arial" w:cs="Arial" w:eastAsia="Arial" w:hAnsi="Arial"/>
                <w:sz w:val="18"/>
                <w:szCs w:val="18"/>
                <w:color w:val="auto"/>
              </w:rPr>
              <w:t>Deferred revenue – non-current portion</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2,875,000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liabilities – non-current</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38,784</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28,020,267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28,642,739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Preferred Stock - $0.01 par value (100,000 shares authorized and no shares issued or outstanding at March</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31, 2016 and December 31, 2015, respectively)</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120" w:type="dxa"/>
            <w:vAlign w:val="bottom"/>
          </w:tcPr>
          <w:p>
            <w:pPr>
              <w:ind w:left="340"/>
              <w:spacing w:after="0" w:line="201" w:lineRule="exact"/>
              <w:rPr>
                <w:sz w:val="20"/>
                <w:szCs w:val="20"/>
                <w:color w:val="auto"/>
              </w:rPr>
            </w:pPr>
            <w:r>
              <w:rPr>
                <w:rFonts w:ascii="Arial" w:cs="Arial" w:eastAsia="Arial" w:hAnsi="Arial"/>
                <w:sz w:val="18"/>
                <w:szCs w:val="18"/>
                <w:color w:val="auto"/>
                <w:w w:val="90"/>
              </w:rPr>
              <w:t>Common stock - $0.01 par value (75,000,000 shares authorized; 23,489,711 and 23,395,211 shares issued</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500"/>
              <w:spacing w:after="0"/>
              <w:rPr>
                <w:sz w:val="20"/>
                <w:szCs w:val="20"/>
                <w:color w:val="auto"/>
              </w:rPr>
            </w:pPr>
            <w:r>
              <w:rPr>
                <w:rFonts w:ascii="Arial" w:cs="Arial" w:eastAsia="Arial" w:hAnsi="Arial"/>
                <w:sz w:val="18"/>
                <w:szCs w:val="18"/>
                <w:color w:val="auto"/>
                <w:w w:val="99"/>
              </w:rPr>
              <w:t>at March 31, 2016 and December 31, 2015, respectively and 23,424,699 and 23,319,287 shares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500"/>
              <w:spacing w:after="0"/>
              <w:rPr>
                <w:sz w:val="20"/>
                <w:szCs w:val="20"/>
                <w:color w:val="auto"/>
              </w:rPr>
            </w:pPr>
            <w:r>
              <w:rPr>
                <w:rFonts w:ascii="Arial" w:cs="Arial" w:eastAsia="Arial" w:hAnsi="Arial"/>
                <w:sz w:val="18"/>
                <w:szCs w:val="18"/>
                <w:color w:val="auto"/>
              </w:rPr>
              <w:t>outstanding at March 31, 2016 and December 31, 2015, respectively)</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234,897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233,952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240,282,304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239,668,235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(224,024,545)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(218,130,360)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16,492,656</w:t>
            </w: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21,767,969</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Treasury stock, at cost (65,012 and 75,924 shares at March 31, 2016 and December 31, 2015, respectively)</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(1,183,636)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20" w:type="dxa"/>
            <w:vAlign w:val="bottom"/>
            <w:tcBorders>
              <w:top w:val="single" w:sz="8" w:color="CCEEFF"/>
            </w:tcBorders>
          </w:tcPr>
          <w:p>
            <w:pPr>
              <w:ind w:left="16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15,309,020</w:t>
            </w: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20,385,664</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43,329,287</w:t>
            </w:r>
          </w:p>
        </w:tc>
        <w:tc>
          <w:tcPr>
            <w:tcW w:w="1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49,028,403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jc w:val="center"/>
              <w:ind w:left="3210"/>
              <w:spacing w:after="0"/>
              <w:rPr>
                <w:sz w:val="20"/>
                <w:szCs w:val="20"/>
                <w:color w:val="auto"/>
              </w:rPr>
            </w:pPr>
            <w:r>
              <w:rPr>
                <w:rFonts w:ascii="Arial" w:cs="Arial" w:eastAsia="Arial" w:hAnsi="Arial"/>
                <w:sz w:val="18"/>
                <w:szCs w:val="18"/>
                <w:b w:val="1"/>
                <w:bCs w:val="1"/>
                <w:color w:val="auto"/>
                <w:w w:val="86"/>
              </w:rPr>
              <w:t>See accompanying notes to the financial statements</w:t>
            </w:r>
            <w:r>
              <w:rPr>
                <w:rFonts w:ascii="Arial" w:cs="Arial" w:eastAsia="Arial" w:hAnsi="Arial"/>
                <w:sz w:val="18"/>
                <w:szCs w:val="18"/>
                <w:color w:val="auto"/>
                <w:w w:val="86"/>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2"/>
        </w:trPr>
        <w:tc>
          <w:tcPr>
            <w:tcW w:w="8120" w:type="dxa"/>
            <w:vAlign w:val="bottom"/>
          </w:tcPr>
          <w:p>
            <w:pPr>
              <w:jc w:val="center"/>
              <w:ind w:left="321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8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8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8" w:right="19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CELSION CORPORATION</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2"/>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CONDENSED CONSOLIDATED</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7"/>
              </w:rPr>
              <w:t>STATEMENTS OF OPERATIONS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2"/>
        </w:trPr>
        <w:tc>
          <w:tcPr>
            <w:tcW w:w="8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Three Months Ended</w:t>
            </w:r>
          </w:p>
        </w:tc>
      </w:tr>
      <w:tr>
        <w:trPr>
          <w:trHeight w:val="233"/>
        </w:trPr>
        <w:tc>
          <w:tcPr>
            <w:tcW w:w="8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r>
      <w:tr>
        <w:trPr>
          <w:trHeight w:val="209"/>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5"/>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r>
      <w:tr>
        <w:trPr>
          <w:trHeight w:val="209"/>
        </w:trPr>
        <w:tc>
          <w:tcPr>
            <w:tcW w:w="8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1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3,441,171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4,506,408</w:t>
            </w:r>
          </w:p>
        </w:tc>
      </w:tr>
      <w:tr>
        <w:trPr>
          <w:trHeight w:val="215"/>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1,862,525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2,031,840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120" w:type="dxa"/>
            <w:vAlign w:val="bottom"/>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5,303,696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6,538,248</w:t>
            </w:r>
          </w:p>
        </w:tc>
        <w:tc>
          <w:tcPr>
            <w:tcW w:w="100" w:type="dxa"/>
            <w:vAlign w:val="bottom"/>
          </w:tcPr>
          <w:p>
            <w:pPr>
              <w:spacing w:after="0"/>
              <w:rPr>
                <w:sz w:val="18"/>
                <w:szCs w:val="18"/>
                <w:color w:val="auto"/>
              </w:rPr>
            </w:pPr>
          </w:p>
        </w:tc>
      </w:tr>
      <w:tr>
        <w:trPr>
          <w:trHeight w:val="209"/>
        </w:trPr>
        <w:tc>
          <w:tcPr>
            <w:tcW w:w="8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15"/>
        </w:trPr>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(5,178,696)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(6,413,248)</w:t>
            </w:r>
          </w:p>
        </w:tc>
      </w:tr>
      <w:tr>
        <w:trPr>
          <w:trHeight w:val="209"/>
        </w:trPr>
        <w:tc>
          <w:tcPr>
            <w:tcW w:w="8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Other (expense) income:</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valuation of common stock warrant liability</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(43,228)</w:t>
            </w:r>
          </w:p>
        </w:tc>
      </w:tr>
      <w:tr>
        <w:trPr>
          <w:trHeight w:val="215"/>
        </w:trPr>
        <w:tc>
          <w:tcPr>
            <w:tcW w:w="8120" w:type="dxa"/>
            <w:vAlign w:val="bottom"/>
          </w:tcPr>
          <w:p>
            <w:pPr>
              <w:ind w:left="340"/>
              <w:spacing w:after="0"/>
              <w:rPr>
                <w:sz w:val="20"/>
                <w:szCs w:val="20"/>
                <w:color w:val="auto"/>
              </w:rPr>
            </w:pPr>
            <w:r>
              <w:rPr>
                <w:rFonts w:ascii="Arial" w:cs="Arial" w:eastAsia="Arial" w:hAnsi="Arial"/>
                <w:sz w:val="18"/>
                <w:szCs w:val="18"/>
                <w:color w:val="auto"/>
              </w:rPr>
              <w:t>Loss from valuation of earn-out milestone liability</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(302,656)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(172,136)</w:t>
            </w:r>
          </w:p>
        </w:tc>
      </w:tr>
      <w:tr>
        <w:trPr>
          <w:trHeight w:val="215"/>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income, net</w:t>
            </w:r>
          </w:p>
        </w:tc>
        <w:tc>
          <w:tcPr>
            <w:tcW w:w="3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16,380</w:t>
            </w:r>
          </w:p>
        </w:tc>
      </w:tr>
      <w:tr>
        <w:trPr>
          <w:trHeight w:val="215"/>
        </w:trPr>
        <w:tc>
          <w:tcPr>
            <w:tcW w:w="81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(244,198)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(392,303)</w:t>
            </w:r>
          </w:p>
        </w:tc>
      </w:tr>
      <w:tr>
        <w:trPr>
          <w:trHeight w:val="215"/>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w:t>
            </w:r>
          </w:p>
        </w:tc>
      </w:tr>
      <w:tr>
        <w:trPr>
          <w:trHeight w:val="20"/>
        </w:trPr>
        <w:tc>
          <w:tcPr>
            <w:tcW w:w="8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120" w:type="dxa"/>
            <w:vAlign w:val="bottom"/>
          </w:tcPr>
          <w:p>
            <w:pPr>
              <w:ind w:left="500"/>
              <w:spacing w:after="0"/>
              <w:rPr>
                <w:sz w:val="20"/>
                <w:szCs w:val="20"/>
                <w:color w:val="auto"/>
              </w:rPr>
            </w:pPr>
            <w:r>
              <w:rPr>
                <w:rFonts w:ascii="Arial" w:cs="Arial" w:eastAsia="Arial" w:hAnsi="Arial"/>
                <w:sz w:val="18"/>
                <w:szCs w:val="18"/>
                <w:b w:val="1"/>
                <w:bCs w:val="1"/>
                <w:color w:val="auto"/>
              </w:rPr>
              <w:t>Total other (expense) income, net</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(537,771)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(591,820)</w:t>
            </w:r>
          </w:p>
        </w:tc>
      </w:tr>
      <w:tr>
        <w:trPr>
          <w:trHeight w:val="209"/>
        </w:trPr>
        <w:tc>
          <w:tcPr>
            <w:tcW w:w="8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55"/>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(5,716,467)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(7,005,068)</w:t>
            </w:r>
          </w:p>
        </w:tc>
      </w:tr>
      <w:tr>
        <w:trPr>
          <w:trHeight w:val="195"/>
        </w:trPr>
        <w:tc>
          <w:tcPr>
            <w:tcW w:w="81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5"/>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 per common share</w:t>
            </w:r>
          </w:p>
        </w:tc>
        <w:tc>
          <w:tcPr>
            <w:tcW w:w="3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120" w:type="dxa"/>
            <w:vAlign w:val="bottom"/>
          </w:tcPr>
          <w:p>
            <w:pPr>
              <w:ind w:left="660"/>
              <w:spacing w:after="0"/>
              <w:rPr>
                <w:sz w:val="20"/>
                <w:szCs w:val="20"/>
                <w:color w:val="auto"/>
              </w:rPr>
            </w:pPr>
            <w:r>
              <w:rPr>
                <w:rFonts w:ascii="Arial" w:cs="Arial" w:eastAsia="Arial" w:hAnsi="Arial"/>
                <w:sz w:val="18"/>
                <w:szCs w:val="18"/>
                <w:b w:val="1"/>
                <w:bCs w:val="1"/>
                <w:color w:val="auto"/>
              </w:rPr>
              <w:t>Basic and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r>
      <w:tr>
        <w:trPr>
          <w:trHeight w:val="20"/>
        </w:trPr>
        <w:tc>
          <w:tcPr>
            <w:tcW w:w="8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8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812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81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Basic and diluted</w:t>
            </w:r>
          </w:p>
        </w:tc>
        <w:tc>
          <w:tcPr>
            <w:tcW w:w="3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23,388,917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19,990,217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COMPREHENSIVE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Three Months Ended</w:t>
            </w:r>
          </w:p>
        </w:tc>
      </w:tr>
      <w:tr>
        <w:trPr>
          <w:trHeight w:val="233"/>
        </w:trPr>
        <w:tc>
          <w:tcPr>
            <w:tcW w:w="8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r>
      <w:tr>
        <w:trPr>
          <w:trHeight w:val="209"/>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gain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120" w:type="dxa"/>
            <w:vAlign w:val="bottom"/>
          </w:tcPr>
          <w:p>
            <w:pPr>
              <w:ind w:left="160"/>
              <w:spacing w:after="0"/>
              <w:rPr>
                <w:sz w:val="20"/>
                <w:szCs w:val="20"/>
                <w:color w:val="auto"/>
              </w:rPr>
            </w:pPr>
            <w:r>
              <w:rPr>
                <w:rFonts w:ascii="Arial" w:cs="Arial" w:eastAsia="Arial" w:hAnsi="Arial"/>
                <w:sz w:val="18"/>
                <w:szCs w:val="18"/>
                <w:color w:val="auto"/>
              </w:rPr>
              <w:t>Realized loss (gain) on investment securities recognized in investment income,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3,858</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15"/>
        </w:trPr>
        <w:tc>
          <w:tcPr>
            <w:tcW w:w="8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15"/>
        </w:trPr>
        <w:tc>
          <w:tcPr>
            <w:tcW w:w="8120" w:type="dxa"/>
            <w:vAlign w:val="bottom"/>
          </w:tcPr>
          <w:p>
            <w:pPr>
              <w:ind w:left="160"/>
              <w:spacing w:after="0"/>
              <w:rPr>
                <w:sz w:val="20"/>
                <w:szCs w:val="20"/>
                <w:color w:val="auto"/>
              </w:rPr>
            </w:pPr>
            <w:r>
              <w:rPr>
                <w:rFonts w:ascii="Arial" w:cs="Arial" w:eastAsia="Arial" w:hAnsi="Arial"/>
                <w:sz w:val="18"/>
                <w:szCs w:val="18"/>
                <w:color w:val="auto"/>
              </w:rPr>
              <w:t>Unrealized gain on investment securities</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8,207</w:t>
            </w:r>
          </w:p>
        </w:tc>
      </w:tr>
      <w:tr>
        <w:trPr>
          <w:trHeight w:val="209"/>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gain</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100" w:type="dxa"/>
            <w:vAlign w:val="bottom"/>
            <w:shd w:val="clear" w:color="auto" w:fill="CCEEFF"/>
          </w:tcPr>
          <w:p>
            <w:pPr>
              <w:spacing w:after="0"/>
              <w:rPr>
                <w:sz w:val="18"/>
                <w:szCs w:val="18"/>
                <w:color w:val="auto"/>
              </w:rPr>
            </w:pPr>
          </w:p>
        </w:tc>
      </w:tr>
      <w:tr>
        <w:trPr>
          <w:trHeight w:val="215"/>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5"/>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(5,716,467)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(7,005,068)</w:t>
            </w:r>
          </w:p>
        </w:tc>
      </w:tr>
      <w:tr>
        <w:trPr>
          <w:trHeight w:val="20"/>
        </w:trPr>
        <w:tc>
          <w:tcPr>
            <w:tcW w:w="8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120" w:type="dxa"/>
            <w:vAlign w:val="bottom"/>
          </w:tcPr>
          <w:p>
            <w:pPr>
              <w:ind w:left="340"/>
              <w:spacing w:after="0"/>
              <w:rPr>
                <w:sz w:val="20"/>
                <w:szCs w:val="20"/>
                <w:color w:val="auto"/>
              </w:rPr>
            </w:pPr>
            <w:r>
              <w:rPr>
                <w:rFonts w:ascii="Arial" w:cs="Arial" w:eastAsia="Arial" w:hAnsi="Arial"/>
                <w:sz w:val="18"/>
                <w:szCs w:val="18"/>
                <w:color w:val="auto"/>
              </w:rPr>
              <w:t>Comprehensive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(5,712,609)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(6,996,990)</w:t>
            </w:r>
          </w:p>
        </w:tc>
      </w:tr>
      <w:tr>
        <w:trPr>
          <w:trHeight w:val="20"/>
        </w:trPr>
        <w:tc>
          <w:tcPr>
            <w:tcW w:w="8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00" w:type="dxa"/>
            <w:vAlign w:val="bottom"/>
          </w:tcPr>
          <w:p>
            <w:pPr>
              <w:jc w:val="center"/>
              <w:ind w:left="3490"/>
              <w:spacing w:after="0"/>
              <w:rPr>
                <w:sz w:val="20"/>
                <w:szCs w:val="20"/>
                <w:color w:val="auto"/>
              </w:rPr>
            </w:pPr>
            <w:r>
              <w:rPr>
                <w:rFonts w:ascii="Arial" w:cs="Arial" w:eastAsia="Arial" w:hAnsi="Arial"/>
                <w:sz w:val="18"/>
                <w:szCs w:val="18"/>
                <w:b w:val="1"/>
                <w:bCs w:val="1"/>
                <w:color w:val="auto"/>
                <w:w w:val="99"/>
              </w:rPr>
              <w:t>CELSION CORPORATION</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500" w:type="dxa"/>
            <w:vAlign w:val="bottom"/>
          </w:tcPr>
          <w:p>
            <w:pPr>
              <w:jc w:val="center"/>
              <w:ind w:left="3470"/>
              <w:spacing w:after="0"/>
              <w:rPr>
                <w:sz w:val="20"/>
                <w:szCs w:val="20"/>
                <w:color w:val="auto"/>
              </w:rPr>
            </w:pPr>
            <w:r>
              <w:rPr>
                <w:rFonts w:ascii="Arial" w:cs="Arial" w:eastAsia="Arial" w:hAnsi="Arial"/>
                <w:sz w:val="18"/>
                <w:szCs w:val="18"/>
                <w:b w:val="1"/>
                <w:bCs w:val="1"/>
                <w:color w:val="auto"/>
                <w:w w:val="99"/>
              </w:rPr>
              <w:t>CONDENSED CONSOLIDATED</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tcPr>
          <w:p>
            <w:pPr>
              <w:jc w:val="center"/>
              <w:ind w:left="3490"/>
              <w:spacing w:after="0"/>
              <w:rPr>
                <w:sz w:val="20"/>
                <w:szCs w:val="20"/>
                <w:color w:val="auto"/>
              </w:rPr>
            </w:pPr>
            <w:r>
              <w:rPr>
                <w:rFonts w:ascii="Arial" w:cs="Arial" w:eastAsia="Arial" w:hAnsi="Arial"/>
                <w:sz w:val="18"/>
                <w:szCs w:val="18"/>
                <w:b w:val="1"/>
                <w:bCs w:val="1"/>
                <w:color w:val="auto"/>
                <w:w w:val="97"/>
              </w:rPr>
              <w:t>STATEMENTS OF CASH FLOWS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tcPr>
          <w:p>
            <w:pPr>
              <w:jc w:val="center"/>
              <w:ind w:left="3490"/>
              <w:spacing w:after="0"/>
              <w:rPr>
                <w:sz w:val="20"/>
                <w:szCs w:val="20"/>
                <w:color w:val="auto"/>
              </w:rPr>
            </w:pPr>
            <w:r>
              <w:rPr>
                <w:rFonts w:ascii="Arial" w:cs="Arial" w:eastAsia="Arial" w:hAnsi="Arial"/>
                <w:sz w:val="18"/>
                <w:szCs w:val="18"/>
                <w:b w:val="1"/>
                <w:bCs w:val="1"/>
                <w:color w:val="auto"/>
                <w:w w:val="91"/>
              </w:rPr>
              <w:t>(Unaudited)</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(5,716,467)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(7,005,068)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Non-cash items included in net loss: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121,875</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109,875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fair value of common stock warrant liability</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Change in fair value of earn-out milestone liability</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302,656</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172,136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Stock-based compensation costs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615,014</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848,843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issued out of treasury</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20,951</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w w:val="99"/>
              </w:rPr>
              <w:t>Amortization of deferred finance charges and debt discount associated with notes payable</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85,192</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127,392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deferred rent liability</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(8,813)</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Loss (gain) realized on sale of investment securities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3,858</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changes in:</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Accrued interest on short term investments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26,729</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172,328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deposits and other assets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(182,102)</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(65,286)</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632,437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177,272</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tcPr>
          <w:p>
            <w:pPr>
              <w:ind w:left="800"/>
              <w:spacing w:after="0"/>
              <w:rPr>
                <w:sz w:val="20"/>
                <w:szCs w:val="20"/>
                <w:color w:val="auto"/>
              </w:rPr>
            </w:pPr>
            <w:r>
              <w:rPr>
                <w:rFonts w:ascii="Arial" w:cs="Arial" w:eastAsia="Arial" w:hAnsi="Arial"/>
                <w:sz w:val="18"/>
                <w:szCs w:val="18"/>
                <w:b w:val="1"/>
                <w:bCs w:val="1"/>
                <w:color w:val="auto"/>
              </w:rPr>
              <w:t>Net cash (used in) operating activities: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(4,744,121)</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(5,936,323)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investment securities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(15,277,192)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Proceeds from sale and maturity of investment securities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10,799,890</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17,062,532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(21,878)</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tcPr>
          <w:p>
            <w:pPr>
              <w:ind w:left="800"/>
              <w:spacing w:after="0"/>
              <w:rPr>
                <w:sz w:val="20"/>
                <w:szCs w:val="20"/>
                <w:color w:val="auto"/>
              </w:rPr>
            </w:pPr>
            <w:r>
              <w:rPr>
                <w:rFonts w:ascii="Arial" w:cs="Arial" w:eastAsia="Arial" w:hAnsi="Arial"/>
                <w:sz w:val="18"/>
                <w:szCs w:val="18"/>
                <w:b w:val="1"/>
                <w:bCs w:val="1"/>
                <w:color w:val="auto"/>
              </w:rPr>
              <w:t>Net cash provided by investing activities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10,778,012</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1,742,166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Principal payments on notes payable</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(988,493)</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tcPr>
          <w:p>
            <w:pPr>
              <w:ind w:left="800"/>
              <w:spacing w:after="0"/>
              <w:rPr>
                <w:sz w:val="20"/>
                <w:szCs w:val="20"/>
                <w:color w:val="auto"/>
              </w:rPr>
            </w:pPr>
            <w:r>
              <w:rPr>
                <w:rFonts w:ascii="Arial" w:cs="Arial" w:eastAsia="Arial" w:hAnsi="Arial"/>
                <w:sz w:val="18"/>
                <w:szCs w:val="18"/>
                <w:b w:val="1"/>
                <w:bCs w:val="1"/>
                <w:color w:val="auto"/>
              </w:rPr>
              <w:t>Net cash (used in) financing activities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(988,493)</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(878,437)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5,045,398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(5,072,594)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6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9,265,144</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12,686,881</w:t>
            </w:r>
          </w:p>
        </w:tc>
        <w:tc>
          <w:tcPr>
            <w:tcW w:w="0" w:type="dxa"/>
            <w:vAlign w:val="bottom"/>
          </w:tcPr>
          <w:p>
            <w:pPr>
              <w:spacing w:after="0"/>
              <w:rPr>
                <w:sz w:val="1"/>
                <w:szCs w:val="1"/>
                <w:color w:val="auto"/>
              </w:rPr>
            </w:pPr>
          </w:p>
        </w:tc>
      </w:tr>
      <w:tr>
        <w:trPr>
          <w:trHeight w:val="209"/>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14,310,542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7,614,287</w:t>
            </w:r>
          </w:p>
        </w:tc>
        <w:tc>
          <w:tcPr>
            <w:tcW w:w="0" w:type="dxa"/>
            <w:vAlign w:val="bottom"/>
          </w:tcPr>
          <w:p>
            <w:pPr>
              <w:spacing w:after="0"/>
              <w:rPr>
                <w:sz w:val="1"/>
                <w:szCs w:val="1"/>
                <w:color w:val="auto"/>
              </w:rPr>
            </w:pPr>
          </w:p>
        </w:tc>
      </w:tr>
      <w:tr>
        <w:trPr>
          <w:trHeight w:val="20"/>
        </w:trPr>
        <w:tc>
          <w:tcPr>
            <w:tcW w:w="7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7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165,527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6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80645</wp:posOffset>
            </wp:positionV>
            <wp:extent cx="726821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360"/>
          </w:cols>
          <w:pgMar w:left="400" w:top="578" w:right="1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THE CONDENSED CONSOLIDATED</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FINANCIAL STATEMENTS (UNAUDITED)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 AND 2015</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Celsion Corporation, a Delaware corporation based in Lawrenceville, New Jersey, and its wholly owned subsidiary, CLSN Laboratories, Inc., also a Delaware corporation, referred to herein as “Celsion”, “we”, or “the Company,” as the context requires, is a fully-integrated oncology drug development company focused on developing a portfolio of innovative cancer treatments, including directed chemotherapies, immunotherapies and RNA- or DNA-based therapies. Our lead program is ThermoDox</w:t>
      </w:r>
      <w:r>
        <w:rPr>
          <w:rFonts w:ascii="Arial" w:cs="Arial" w:eastAsia="Arial" w:hAnsi="Arial"/>
          <w:sz w:val="28"/>
          <w:szCs w:val="28"/>
          <w:color w:val="auto"/>
          <w:vertAlign w:val="superscript"/>
        </w:rPr>
        <w:t>®</w:t>
      </w:r>
      <w:r>
        <w:rPr>
          <w:rFonts w:ascii="Arial" w:cs="Arial" w:eastAsia="Arial" w:hAnsi="Arial"/>
          <w:sz w:val="17"/>
          <w:szCs w:val="17"/>
          <w:color w:val="auto"/>
        </w:rPr>
        <w:t>, a proprietary heat-activated liposomal encapsulation of doxorubicin, currently in Phase III development for the treatment of primary liver cancer. Our pipeline also includes GEN-1,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 effects common to cancer treatments.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Celsion Corporation and CLSN Laboratories, Inc., have been prepared in accordance with generally accepted accounting principles in the United States (GAAP) for interim financial information and with the instructions to Form 10-Q and Article 10 of Regulation S-X. All intercompany balances and transactions have been eliminated. Certain information and footnote disclosures normally included in financial statements prepared in accordance with GAAP have been condensed or omitted pursuant to such rules and regulations.</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 month period ended March 31, 2016 are not necessarily indicative of the results that may be expected for any other interim period(s) or for any full year. For further information, refer to the financial statements and notes thereto included in the Company’s Annual Report on Form 10-K and Form 10K/A for the fiscal year ended December 31, 2015 filed with the Securities and Exchange Commission (SEC) on March 30, 2016 and April 29, 2016, respectively.</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Management’s Plan</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 has incurred an accumulated deficit of $224 million through March 31, 2016. In addition, the Company has incurred negative cash flow from operations since it started the business. The Company has spent, and expects to continue to spend, substantial amounts in connection with implementing its business strategy, including the planned product development efforts, clinical trials, and research and discovery efforts.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1" w:lineRule="exact"/>
        <w:rPr>
          <w:sz w:val="20"/>
          <w:szCs w:val="20"/>
          <w:color w:val="auto"/>
        </w:rPr>
      </w:pPr>
    </w:p>
    <w:p>
      <w:pPr>
        <w:ind w:left="780" w:hanging="383"/>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3" w:lineRule="exact"/>
        <w:rPr>
          <w:rFonts w:ascii="Arial" w:cs="Arial" w:eastAsia="Arial" w:hAnsi="Arial"/>
          <w:sz w:val="18"/>
          <w:szCs w:val="18"/>
          <w:color w:val="auto"/>
        </w:rPr>
      </w:pPr>
    </w:p>
    <w:p>
      <w:pPr>
        <w:ind w:left="780" w:hanging="383"/>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3" w:lineRule="exact"/>
        <w:rPr>
          <w:rFonts w:ascii="Arial" w:cs="Arial" w:eastAsia="Arial" w:hAnsi="Arial"/>
          <w:sz w:val="18"/>
          <w:szCs w:val="18"/>
          <w:color w:val="auto"/>
        </w:rPr>
      </w:pPr>
    </w:p>
    <w:p>
      <w:pPr>
        <w:ind w:left="780" w:hanging="383"/>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3" w:lineRule="exact"/>
        <w:rPr>
          <w:rFonts w:ascii="Arial" w:cs="Arial" w:eastAsia="Arial" w:hAnsi="Arial"/>
          <w:sz w:val="18"/>
          <w:szCs w:val="18"/>
          <w:color w:val="auto"/>
        </w:rPr>
      </w:pPr>
    </w:p>
    <w:p>
      <w:pPr>
        <w:ind w:left="780" w:hanging="383"/>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9" w:name="page10"/>
    <w:bookmarkEnd w:id="9"/>
    <w:p>
      <w:pPr>
        <w:ind w:left="780" w:hanging="383"/>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3" w:lineRule="exact"/>
        <w:rPr>
          <w:rFonts w:ascii="Arial" w:cs="Arial" w:eastAsia="Arial" w:hAnsi="Arial"/>
          <w:sz w:val="18"/>
          <w:szCs w:val="18"/>
          <w:color w:val="auto"/>
        </w:rPr>
      </w:pPr>
    </w:p>
    <w:p>
      <w:pPr>
        <w:ind w:left="780" w:right="780" w:hanging="383"/>
        <w:spacing w:after="0" w:line="275"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780" w:hanging="383"/>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3" w:lineRule="exact"/>
        <w:rPr>
          <w:rFonts w:ascii="Arial" w:cs="Arial" w:eastAsia="Arial" w:hAnsi="Arial"/>
          <w:sz w:val="18"/>
          <w:szCs w:val="18"/>
          <w:color w:val="auto"/>
        </w:rPr>
      </w:pPr>
    </w:p>
    <w:p>
      <w:pPr>
        <w:ind w:left="780" w:hanging="383"/>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3" w:lineRule="exact"/>
        <w:rPr>
          <w:rFonts w:ascii="Arial" w:cs="Arial" w:eastAsia="Arial" w:hAnsi="Arial"/>
          <w:sz w:val="18"/>
          <w:szCs w:val="18"/>
          <w:color w:val="auto"/>
        </w:rPr>
      </w:pPr>
    </w:p>
    <w:p>
      <w:pPr>
        <w:ind w:left="780" w:hanging="383"/>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and other sources.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may seek to access the public or private equity markets when conditions are favorable due to long-term capital requirements. As more fully discussed in Note 11, the Company has $7.5 million available under a controlled equity offering facility it has with Cantor Fitzgerald &amp; Co. Besides this equity facility, the Company does not have any committed sources of financing at this time, and it is uncertain whether additional funding will be available when needed on terms that will be acceptable to it, or at all. If the Company raises funds by selling additional shares of common stock or other securities convertible into common stock, the ownership interest of the existing stockholders will be diluted. If the Company is not able to obtain financing when needed, it may be unable to carry out the business plan. As a result, the Company may have to significantly limit its operations and its business, financial condition and results of operations would be materially harmed.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New Accounting Pronouncements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2015, the FASB issued Accounting Standards Update No. 2015-03 Interest – Imputation of Interest (ASU Subtopic 835-30). The new standard requires that debt issuance costs related to a recognized debt liability be presented in the balance sheet as a direct deduction from the carrying amount of that debt liability, consistent with debt discounts. ASU Subtopic 835-30 became effective for the Company beginning January 1, 2016 and was applied retrospectively. This adoption resulted in the reclassification of unamortized deferred financing fees related to the Company’s notes payable from other assets totaling $18,931 and $26,131 as of March 31, 2016 and December 31, 2015, respectively.</w:t>
      </w:r>
    </w:p>
    <w:p>
      <w:pPr>
        <w:spacing w:after="0" w:line="19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January 2016, the FASB issued Accounting Standards Update No. 2016-01, Recognition and Measurement of Financial Assets and Financial Liabilities, which requires that most equity investments be measured at fair value, with subsequent changes in fair value recognized in net income (other than those accounted for under equity method of accounting). This guidance is effective for fiscal years, and interim periods within those years, beginning after December 15, 2017. The Company is currently assessing the impact of the adoption of this guidance on its Consolidated Financial Statements and disclosures.</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Accounting Standards Update No. 2016-02, “Leases (Topic 842)”, which requires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is effective for fiscal years beginning after December 15, 2018, including interim reporting periods within that reporting period. Early adoption is permitted. The Company is currently evaluating the impact the adoption of this guidance will have on its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Basic earnings per share is calculated based upon the net income (loss) available to common shareholders divided by the weighted average number of common shares outstanding during the period. Diluted earnings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For the three month periods ended March 31, 2016 and 2015, diluted loss attributable to common shareholders per common share was the same as basic loss attributable to common shareholders per common share as all options and warrants that were convertible into shares of the Company’s common stock were excluded from the calculation of diluted earnings attributable to common shareholders per common share as their effect would have been anti-dilutive. The total number of shares of common stock issuable upon exercise of warrants and equity awards were 8,627,832 and 6,343,151 for the three month periods ended March 31, 2016 and 2015,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 Securities - Available For Sale</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Short term investments available for sale of $10,799,890 as of December 31, 2015 consist of money market funds, commercial paper, corporate debt securities, and government agency debt securities. They are valued at estimated fair value, with unrealized gains and losses reported as a separate component of stockholders’ equity in Accumulated Other Comprehensive Income.</w:t>
      </w:r>
    </w:p>
    <w:p>
      <w:pPr>
        <w:spacing w:after="0" w:line="18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80" w:type="dxa"/>
            <w:vAlign w:val="bottom"/>
            <w:gridSpan w:val="5"/>
          </w:tcPr>
          <w:p>
            <w:pPr>
              <w:ind w:left="300"/>
              <w:spacing w:after="0"/>
              <w:rPr>
                <w:sz w:val="20"/>
                <w:szCs w:val="20"/>
                <w:color w:val="auto"/>
              </w:rPr>
            </w:pPr>
            <w:r>
              <w:rPr>
                <w:rFonts w:ascii="Arial" w:cs="Arial" w:eastAsia="Arial" w:hAnsi="Arial"/>
                <w:sz w:val="18"/>
                <w:szCs w:val="18"/>
                <w:b w:val="1"/>
                <w:bCs w:val="1"/>
                <w:color w:val="auto"/>
              </w:rPr>
              <w:t>March 31, 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5"/>
          </w:tcPr>
          <w:p>
            <w:pPr>
              <w:ind w:left="320"/>
              <w:spacing w:after="0"/>
              <w:rPr>
                <w:sz w:val="20"/>
                <w:szCs w:val="20"/>
                <w:color w:val="auto"/>
              </w:rPr>
            </w:pPr>
            <w:r>
              <w:rPr>
                <w:rFonts w:ascii="Arial" w:cs="Arial" w:eastAsia="Arial" w:hAnsi="Arial"/>
                <w:sz w:val="18"/>
                <w:szCs w:val="18"/>
                <w:b w:val="1"/>
                <w:bCs w:val="1"/>
                <w:color w:val="auto"/>
              </w:rPr>
              <w:t>December 31, 2015</w:t>
            </w:r>
          </w:p>
        </w:tc>
      </w:tr>
      <w:tr>
        <w:trPr>
          <w:trHeight w:val="209"/>
        </w:trPr>
        <w:tc>
          <w:tcPr>
            <w:tcW w:w="60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080" w:type="dxa"/>
            <w:vAlign w:val="bottom"/>
          </w:tcPr>
          <w:p>
            <w:pPr>
              <w:spacing w:after="0"/>
              <w:rPr>
                <w:sz w:val="20"/>
                <w:szCs w:val="20"/>
                <w:color w:val="auto"/>
              </w:rPr>
            </w:pPr>
            <w:r>
              <w:rPr>
                <w:rFonts w:ascii="Arial" w:cs="Arial" w:eastAsia="Arial" w:hAnsi="Arial"/>
                <w:sz w:val="18"/>
                <w:szCs w:val="18"/>
                <w:color w:val="auto"/>
              </w:rPr>
              <w:t>Certificate of deposit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680"/>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4,800,000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4,798,810</w:t>
            </w:r>
          </w:p>
        </w:tc>
      </w:tr>
      <w:tr>
        <w:trPr>
          <w:trHeight w:val="215"/>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Bonds- corporate issuances</w:t>
            </w:r>
          </w:p>
        </w:tc>
        <w:tc>
          <w:tcPr>
            <w:tcW w:w="3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6,003,748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6,001,080</w:t>
            </w:r>
          </w:p>
        </w:tc>
      </w:tr>
      <w:tr>
        <w:trPr>
          <w:trHeight w:val="20"/>
        </w:trPr>
        <w:tc>
          <w:tcPr>
            <w:tcW w:w="60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680"/>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10,803,748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10,799,890</w:t>
            </w:r>
          </w:p>
        </w:tc>
      </w:tr>
      <w:tr>
        <w:trPr>
          <w:trHeight w:val="20"/>
        </w:trPr>
        <w:tc>
          <w:tcPr>
            <w:tcW w:w="6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0"/>
        </w:trPr>
        <w:tc>
          <w:tcPr>
            <w:tcW w:w="6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gridSpan w:val="5"/>
          </w:tcPr>
          <w:p>
            <w:pPr>
              <w:ind w:left="300"/>
              <w:spacing w:after="0"/>
              <w:rPr>
                <w:sz w:val="20"/>
                <w:szCs w:val="20"/>
                <w:color w:val="auto"/>
              </w:rPr>
            </w:pPr>
            <w:r>
              <w:rPr>
                <w:rFonts w:ascii="Arial" w:cs="Arial" w:eastAsia="Arial" w:hAnsi="Arial"/>
                <w:sz w:val="18"/>
                <w:szCs w:val="18"/>
                <w:b w:val="1"/>
                <w:bCs w:val="1"/>
                <w:color w:val="auto"/>
              </w:rPr>
              <w:t>March 31, 2016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5"/>
          </w:tcPr>
          <w:p>
            <w:pPr>
              <w:ind w:left="320"/>
              <w:spacing w:after="0"/>
              <w:rPr>
                <w:sz w:val="20"/>
                <w:szCs w:val="20"/>
                <w:color w:val="auto"/>
              </w:rPr>
            </w:pPr>
            <w:r>
              <w:rPr>
                <w:rFonts w:ascii="Arial" w:cs="Arial" w:eastAsia="Arial" w:hAnsi="Arial"/>
                <w:sz w:val="18"/>
                <w:szCs w:val="18"/>
                <w:b w:val="1"/>
                <w:bCs w:val="1"/>
                <w:color w:val="auto"/>
              </w:rPr>
              <w:t>December 31, 2015</w:t>
            </w:r>
          </w:p>
        </w:tc>
      </w:tr>
      <w:tr>
        <w:trPr>
          <w:trHeight w:val="209"/>
        </w:trPr>
        <w:tc>
          <w:tcPr>
            <w:tcW w:w="60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09"/>
        </w:trPr>
        <w:tc>
          <w:tcPr>
            <w:tcW w:w="60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3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080" w:type="dxa"/>
            <w:vAlign w:val="bottom"/>
          </w:tcPr>
          <w:p>
            <w:pPr>
              <w:spacing w:after="0"/>
              <w:rPr>
                <w:sz w:val="20"/>
                <w:szCs w:val="20"/>
                <w:color w:val="auto"/>
              </w:rPr>
            </w:pPr>
            <w:r>
              <w:rPr>
                <w:rFonts w:ascii="Arial" w:cs="Arial" w:eastAsia="Arial" w:hAnsi="Arial"/>
                <w:sz w:val="18"/>
                <w:szCs w:val="18"/>
                <w:color w:val="auto"/>
              </w:rPr>
              <w:t>Within 3 months</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680"/>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10,803,748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10,799,890</w:t>
            </w:r>
          </w:p>
        </w:tc>
      </w:tr>
      <w:tr>
        <w:trPr>
          <w:trHeight w:val="215"/>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3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0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680"/>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10,803,748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10,799,890</w:t>
            </w:r>
          </w:p>
        </w:tc>
      </w:tr>
      <w:tr>
        <w:trPr>
          <w:trHeight w:val="20"/>
        </w:trPr>
        <w:tc>
          <w:tcPr>
            <w:tcW w:w="6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ectPr>
          <w:pgSz w:w="11900" w:h="16838" w:orient="portrait"/>
          <w:cols w:equalWidth="0" w:num="1">
            <w:col w:w="11420"/>
          </w:cols>
          <w:pgMar w:left="240" w:top="582" w:right="239" w:bottom="1440" w:gutter="0" w:footer="0" w:header="0"/>
        </w:sectPr>
      </w:pPr>
    </w:p>
    <w:p>
      <w:pPr>
        <w:spacing w:after="0" w:line="39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16510</wp:posOffset>
            </wp:positionV>
            <wp:extent cx="4686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and dividends accrued and paid</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Accretion of investment premium</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Realized (losses) gains</w:t>
      </w:r>
    </w:p>
    <w:p>
      <w:pPr>
        <w:spacing w:after="0" w:line="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 income, net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0485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7" w:lineRule="exact"/>
        <w:rPr>
          <w:sz w:val="20"/>
          <w:szCs w:val="20"/>
          <w:color w:val="auto"/>
        </w:rPr>
      </w:pPr>
    </w:p>
    <w:p>
      <w:pPr>
        <w:ind w:left="1080"/>
        <w:spacing w:after="0"/>
        <w:tabs>
          <w:tab w:leader="none" w:pos="278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20485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18,987</w:t>
            </w:r>
          </w:p>
        </w:tc>
        <w:tc>
          <w:tcPr>
            <w:tcW w:w="220" w:type="dxa"/>
            <w:vAlign w:val="bottom"/>
          </w:tcPr>
          <w:p>
            <w:pPr>
              <w:spacing w:after="0"/>
              <w:rPr>
                <w:sz w:val="18"/>
                <w:szCs w:val="18"/>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93,175</w:t>
            </w:r>
          </w:p>
        </w:tc>
      </w:tr>
      <w:tr>
        <w:trPr>
          <w:trHeight w:val="215"/>
        </w:trPr>
        <w:tc>
          <w:tcPr>
            <w:tcW w:w="5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(5,788)</w:t>
            </w:r>
          </w:p>
        </w:tc>
        <w:tc>
          <w:tcPr>
            <w:tcW w:w="5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(76,924)</w:t>
            </w:r>
          </w:p>
        </w:tc>
      </w:tr>
      <w:tr>
        <w:trPr>
          <w:trHeight w:val="229"/>
        </w:trPr>
        <w:tc>
          <w:tcPr>
            <w:tcW w:w="5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(3,858)</w:t>
            </w:r>
          </w:p>
        </w:tc>
        <w:tc>
          <w:tcPr>
            <w:tcW w:w="5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r>
      <w:tr>
        <w:trPr>
          <w:trHeight w:val="209"/>
        </w:trPr>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9,341</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16,380</w:t>
            </w:r>
          </w:p>
        </w:tc>
        <w:tc>
          <w:tcPr>
            <w:tcW w:w="60" w:type="dxa"/>
            <w:vAlign w:val="bottom"/>
          </w:tcPr>
          <w:p>
            <w:pPr>
              <w:spacing w:after="0"/>
              <w:rPr>
                <w:sz w:val="18"/>
                <w:szCs w:val="18"/>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-579755</wp:posOffset>
            </wp:positionV>
            <wp:extent cx="6880225" cy="136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0225" cy="136525"/>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-306705</wp:posOffset>
            </wp:positionV>
            <wp:extent cx="688022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022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440"/>
          </w:cols>
          <w:pgMar w:left="240" w:top="582" w:right="239" w:bottom="1440" w:gutter="0" w:footer="0" w:header="0"/>
          <w:type w:val="continuous"/>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26821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type w:val="continuous"/>
        </w:sectPr>
      </w:pPr>
    </w:p>
    <w:bookmarkStart w:id="11" w:name="page12"/>
    <w:bookmarkEnd w:id="11"/>
    <w:p>
      <w:pPr>
        <w:jc w:val="both"/>
        <w:spacing w:after="0" w:line="262" w:lineRule="auto"/>
        <w:rPr>
          <w:sz w:val="20"/>
          <w:szCs w:val="20"/>
          <w:color w:val="auto"/>
        </w:rPr>
      </w:pPr>
      <w:r>
        <w:rPr>
          <w:rFonts w:ascii="Arial" w:cs="Arial" w:eastAsia="Arial" w:hAnsi="Arial"/>
          <w:sz w:val="18"/>
          <w:szCs w:val="18"/>
          <w:color w:val="auto"/>
        </w:rPr>
        <w:t>The following table shows the Company’s investment securities gross unrealized losses and fair value by investment category and length of time that individual securities have been in a continuous unrealized loss position at March 31, 2016. The Company has reviewed individual securities to determine whether a decline in fair value below the amortizable cost basis is other than temporary.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5"/>
          </w:tcPr>
          <w:p>
            <w:pPr>
              <w:ind w:left="440"/>
              <w:spacing w:after="0"/>
              <w:rPr>
                <w:sz w:val="20"/>
                <w:szCs w:val="20"/>
                <w:color w:val="auto"/>
              </w:rPr>
            </w:pPr>
            <w:r>
              <w:rPr>
                <w:rFonts w:ascii="Arial" w:cs="Arial" w:eastAsia="Arial" w:hAnsi="Arial"/>
                <w:sz w:val="18"/>
                <w:szCs w:val="18"/>
                <w:b w:val="1"/>
                <w:bCs w:val="1"/>
                <w:color w:val="auto"/>
              </w:rPr>
              <w:t>March 31, 2016</w:t>
            </w:r>
          </w:p>
        </w:tc>
        <w:tc>
          <w:tcPr>
            <w:tcW w:w="220" w:type="dxa"/>
            <w:vAlign w:val="bottom"/>
          </w:tcPr>
          <w:p>
            <w:pPr>
              <w:spacing w:after="0"/>
              <w:rPr>
                <w:sz w:val="20"/>
                <w:szCs w:val="20"/>
                <w:color w:val="auto"/>
              </w:rPr>
            </w:pPr>
          </w:p>
        </w:tc>
        <w:tc>
          <w:tcPr>
            <w:tcW w:w="250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December 31, 2015</w:t>
            </w:r>
          </w:p>
        </w:tc>
      </w:tr>
      <w:tr>
        <w:trPr>
          <w:trHeight w:val="190"/>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rPr>
              <w:t>Unrealized</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6"/>
                <w:szCs w:val="16"/>
                <w:color w:val="auto"/>
              </w:rPr>
            </w:pPr>
          </w:p>
        </w:tc>
      </w:tr>
      <w:tr>
        <w:trPr>
          <w:trHeight w:val="215"/>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Holding</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Holding</w:t>
            </w:r>
          </w:p>
        </w:tc>
      </w:tr>
      <w:tr>
        <w:trPr>
          <w:trHeight w:val="215"/>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Gains</w:t>
            </w:r>
          </w:p>
        </w:tc>
      </w:tr>
      <w:tr>
        <w:trPr>
          <w:trHeight w:val="233"/>
        </w:trPr>
        <w:tc>
          <w:tcPr>
            <w:tcW w:w="5200" w:type="dxa"/>
            <w:vAlign w:val="bottom"/>
          </w:tcPr>
          <w:p>
            <w:pPr>
              <w:spacing w:after="0"/>
              <w:rPr>
                <w:sz w:val="20"/>
                <w:szCs w:val="20"/>
                <w:color w:val="auto"/>
              </w:rPr>
            </w:pPr>
            <w:r>
              <w:rPr>
                <w:rFonts w:ascii="Arial" w:cs="Arial" w:eastAsia="Arial" w:hAnsi="Arial"/>
                <w:sz w:val="18"/>
                <w:szCs w:val="18"/>
                <w:b w:val="1"/>
                <w:bCs w:val="1"/>
                <w:color w:val="auto"/>
              </w:rPr>
              <w:t>Description of Securities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(Losses)</w:t>
            </w:r>
          </w:p>
        </w:tc>
      </w:tr>
      <w:tr>
        <w:trPr>
          <w:trHeight w:val="209"/>
        </w:trPr>
        <w:tc>
          <w:tcPr>
            <w:tcW w:w="5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1"/>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Available for Sale (all unrealized holding gains and losses are less than</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9"/>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12 months at date of measurement)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5"/>
        </w:trPr>
        <w:tc>
          <w:tcPr>
            <w:tcW w:w="5200" w:type="dxa"/>
            <w:vAlign w:val="bottom"/>
          </w:tcPr>
          <w:p>
            <w:pPr>
              <w:ind w:left="160"/>
              <w:spacing w:after="0"/>
              <w:rPr>
                <w:sz w:val="20"/>
                <w:szCs w:val="20"/>
                <w:color w:val="auto"/>
              </w:rPr>
            </w:pPr>
            <w:r>
              <w:rPr>
                <w:rFonts w:ascii="Arial" w:cs="Arial" w:eastAsia="Arial" w:hAnsi="Arial"/>
                <w:sz w:val="18"/>
                <w:szCs w:val="18"/>
                <w:color w:val="auto"/>
              </w:rPr>
              <w:t>Short-term investments with unrealized gains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240,024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r>
      <w:tr>
        <w:trPr>
          <w:trHeight w:val="215"/>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 with unrealized losses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10,559,866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(3,882)</w:t>
            </w:r>
          </w:p>
        </w:tc>
      </w:tr>
      <w:tr>
        <w:trPr>
          <w:trHeight w:val="20"/>
        </w:trPr>
        <w:tc>
          <w:tcPr>
            <w:tcW w:w="5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9"/>
        </w:trPr>
        <w:tc>
          <w:tcPr>
            <w:tcW w:w="520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10,799,890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(3,858)</w:t>
            </w:r>
          </w:p>
        </w:tc>
      </w:tr>
      <w:tr>
        <w:trPr>
          <w:trHeight w:val="20"/>
        </w:trPr>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 by component, in accumulated other comprehensive loss for the first three months of 2016.</w:t>
      </w:r>
    </w:p>
    <w:p>
      <w:pPr>
        <w:spacing w:after="0" w:line="273" w:lineRule="exact"/>
        <w:rPr>
          <w:sz w:val="20"/>
          <w:szCs w:val="20"/>
          <w:color w:val="auto"/>
        </w:rPr>
      </w:pPr>
    </w:p>
    <w:tbl>
      <w:tblPr>
        <w:tblLayout w:type="fixed"/>
        <w:tblInd w:w="500" w:type="dxa"/>
        <w:tblCellMar>
          <w:top w:w="0" w:type="dxa"/>
          <w:left w:w="0" w:type="dxa"/>
          <w:bottom w:w="0" w:type="dxa"/>
          <w:right w:w="0" w:type="dxa"/>
        </w:tblCellMar>
      </w:tblPr>
      <w:tr>
        <w:trPr>
          <w:trHeight w:val="23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Realized loss reclassified from other accumulated comprehensive loss</w:t>
            </w: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Other comprehensive gain, net</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80" w:type="dxa"/>
            <w:vAlign w:val="bottom"/>
            <w:gridSpan w:val="2"/>
          </w:tcPr>
          <w:p>
            <w:pPr>
              <w:spacing w:after="0"/>
              <w:rPr>
                <w:sz w:val="20"/>
                <w:szCs w:val="20"/>
                <w:color w:val="auto"/>
              </w:rPr>
            </w:pPr>
            <w:r>
              <w:rPr>
                <w:rFonts w:ascii="Arial" w:cs="Arial" w:eastAsia="Arial" w:hAnsi="Arial"/>
                <w:sz w:val="18"/>
                <w:szCs w:val="18"/>
                <w:color w:val="auto"/>
              </w:rPr>
              <w:t>Balance at March 31, 2016</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Measurements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FASB Accounting Standards Codification (ASC) Section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 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8" w:lineRule="exact"/>
        <w:rPr>
          <w:sz w:val="20"/>
          <w:szCs w:val="20"/>
          <w:color w:val="auto"/>
        </w:rPr>
      </w:pPr>
    </w:p>
    <w:p>
      <w:pPr>
        <w:ind w:left="660"/>
        <w:spacing w:after="0" w:line="280"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Quoted prices (unadjusted) or identical assets or liabilities in active markets that the entity has the ability to access as of the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162" w:lineRule="exact"/>
        <w:rPr>
          <w:sz w:val="20"/>
          <w:szCs w:val="20"/>
          <w:color w:val="auto"/>
        </w:rPr>
      </w:pPr>
    </w:p>
    <w:p>
      <w:pPr>
        <w:ind w:left="660"/>
        <w:spacing w:after="0" w:line="280"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or other inputs that are observable or can be corroborated by observable market data; and</w:t>
      </w:r>
    </w:p>
    <w:p>
      <w:pPr>
        <w:spacing w:after="0" w:line="162" w:lineRule="exact"/>
        <w:rPr>
          <w:sz w:val="20"/>
          <w:szCs w:val="20"/>
          <w:color w:val="auto"/>
        </w:rPr>
      </w:pPr>
    </w:p>
    <w:p>
      <w:pPr>
        <w:ind w:left="660"/>
        <w:spacing w:after="0" w:line="280"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Significant unobservable inputs that reflect a reporting entity’s own assumptions that market participants would use in pricing an asset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Cash and cash equivalents, other current assets, accounts payable and other accrued liabilities are reflected in the balance sheet at their estimated fair values primarily due to their short-term nature. There were no transfers of assets of liabilities between Level 1 and Level 2 and no transfers in or out of Level 3 during the three months ended March 31, 2016 except for the change in the earn-out milestone liability were included in earnings.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r>
              <w:rPr>
                <w:rFonts w:ascii="Arial" w:cs="Arial" w:eastAsia="Arial" w:hAnsi="Arial"/>
                <w:sz w:val="18"/>
                <w:szCs w:val="18"/>
                <w:color w:val="auto"/>
                <w:w w:val="96"/>
              </w:rPr>
              <w:t>Assets and liabilities measured at fair value are summarized below:</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5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Quoted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Prices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 Active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Markets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 Fair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For</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Significant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Value 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Identical</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Significant</w:t>
            </w:r>
          </w:p>
        </w:tc>
        <w:tc>
          <w:tcPr>
            <w:tcW w:w="0" w:type="dxa"/>
            <w:vAlign w:val="bottom"/>
          </w:tcPr>
          <w:p>
            <w:pPr>
              <w:spacing w:after="0"/>
              <w:rPr>
                <w:sz w:val="1"/>
                <w:szCs w:val="1"/>
                <w:color w:val="auto"/>
              </w:rPr>
            </w:pPr>
          </w:p>
        </w:tc>
      </w:tr>
      <w:tr>
        <w:trPr>
          <w:trHeight w:val="215"/>
        </w:trPr>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the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Assets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Observable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Unobservable</w:t>
            </w:r>
          </w:p>
        </w:tc>
        <w:tc>
          <w:tcPr>
            <w:tcW w:w="0" w:type="dxa"/>
            <w:vAlign w:val="bottom"/>
          </w:tcPr>
          <w:p>
            <w:pPr>
              <w:spacing w:after="0"/>
              <w:rPr>
                <w:sz w:val="1"/>
                <w:szCs w:val="1"/>
                <w:color w:val="auto"/>
              </w:rPr>
            </w:pPr>
          </w:p>
        </w:tc>
      </w:tr>
      <w:tr>
        <w:trPr>
          <w:trHeight w:val="215"/>
        </w:trPr>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/Liabilities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Inputs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Inputs</w:t>
            </w:r>
          </w:p>
        </w:tc>
        <w:tc>
          <w:tcPr>
            <w:tcW w:w="0" w:type="dxa"/>
            <w:vAlign w:val="bottom"/>
          </w:tcPr>
          <w:p>
            <w:pPr>
              <w:spacing w:after="0"/>
              <w:rPr>
                <w:sz w:val="1"/>
                <w:szCs w:val="1"/>
                <w:color w:val="auto"/>
              </w:rPr>
            </w:pPr>
          </w:p>
        </w:tc>
      </w:tr>
      <w:tr>
        <w:trPr>
          <w:trHeight w:val="233"/>
        </w:trPr>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Sheet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(Level 1)</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Recurring items as of December 31, 2015</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 available for sale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7"/>
              </w:rPr>
              <w:t>10,799,890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10,799,890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52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Recurring items as of March 31, 2016</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Earn-out milestone liability (Note 13)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7"/>
              </w:rPr>
              <w:t>14,224,068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14,224,068</w:t>
            </w:r>
          </w:p>
        </w:tc>
        <w:tc>
          <w:tcPr>
            <w:tcW w:w="0" w:type="dxa"/>
            <w:vAlign w:val="bottom"/>
          </w:tcPr>
          <w:p>
            <w:pPr>
              <w:spacing w:after="0"/>
              <w:rPr>
                <w:sz w:val="1"/>
                <w:szCs w:val="1"/>
                <w:color w:val="auto"/>
              </w:rPr>
            </w:pPr>
          </w:p>
        </w:tc>
      </w:tr>
      <w:tr>
        <w:trPr>
          <w:trHeight w:val="195"/>
        </w:trPr>
        <w:tc>
          <w:tcPr>
            <w:tcW w:w="52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2015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tcPr>
          <w:p>
            <w:pPr>
              <w:ind w:left="160"/>
              <w:spacing w:after="0"/>
              <w:rPr>
                <w:sz w:val="20"/>
                <w:szCs w:val="20"/>
                <w:color w:val="auto"/>
              </w:rPr>
            </w:pPr>
            <w:r>
              <w:rPr>
                <w:rFonts w:ascii="Arial" w:cs="Arial" w:eastAsia="Arial" w:hAnsi="Arial"/>
                <w:sz w:val="18"/>
                <w:szCs w:val="18"/>
                <w:color w:val="auto"/>
              </w:rPr>
              <w:t>Earn-out milestone liability (Note 13)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w w:val="97"/>
              </w:rPr>
              <w:t>13,921,412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13,921,412</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rPr>
              <w:t>Note 8. Acquisition of EGEN, Inc.</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20, 2014, Celsion completed the acquisition of substantially all of the assets of EGEN, Inc., an Alabama Corporation (EGEN) pursuant to an Asset Purchase Agreement (EGEN Purchase Agreement). CLSN Laboratories, Inc., a Delaware corporation and a wholly-owned subsidiary of Celsion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total aggregate purchase price for the acquisition is up to $44.4 million, which includes potential future payments of up to $30.4 million contingent upon achievement of certain milestones set forth in the EGEN Purchase Agreement (Earn-out Payments). At the closing, Celsion paid approximately $3.0 million in cash after expense adjustment and issued 2,712,188 shares of its common stock to EGEN. The shares of Celsion common stock were issued in a private transaction exempt from registration under the Securities Act of 1933, as amended (the Securities Act), pursuant to Section 4(2) thereof. In addition, 670,070 shares of common stock are issuable to EGEN on or after August 2, 2016 pending satisfactory resolution of any post-closing adjustments of expenses and EGEN’s indemnification obligations under the EGEN Purchase Agreement (Holdback Shares). A registration statement (File No. 333-198786) was filed on September 16, 2014 and declared effective on September 30, 2014 for the resale of the shares of common stock issued and issuable to EGEN under the EGEN Purchase Agreement.</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Earn-out payments of up to $30.4 million will become payable, in cash, shares of Celsion common stock or a combination thereof, at Celsion’s option, as follows:</w:t>
      </w:r>
    </w:p>
    <w:p>
      <w:pPr>
        <w:spacing w:after="0" w:line="171" w:lineRule="exact"/>
        <w:rPr>
          <w:sz w:val="20"/>
          <w:szCs w:val="20"/>
          <w:color w:val="auto"/>
        </w:rPr>
      </w:pPr>
    </w:p>
    <w:p>
      <w:pPr>
        <w:ind w:left="660" w:right="1600" w:hanging="330"/>
        <w:spacing w:after="0" w:line="27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to be conducted by the Company or its subsidiary;</w:t>
      </w:r>
    </w:p>
    <w:p>
      <w:pPr>
        <w:spacing w:after="0" w:line="170" w:lineRule="exact"/>
        <w:rPr>
          <w:rFonts w:ascii="Arial" w:cs="Arial" w:eastAsia="Arial" w:hAnsi="Arial"/>
          <w:sz w:val="18"/>
          <w:szCs w:val="18"/>
          <w:color w:val="auto"/>
        </w:rPr>
      </w:pPr>
    </w:p>
    <w:p>
      <w:pPr>
        <w:ind w:left="660" w:right="1560" w:hanging="330"/>
        <w:spacing w:after="0" w:line="27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 and</w:t>
      </w:r>
    </w:p>
    <w:p>
      <w:pPr>
        <w:spacing w:after="0" w:line="147" w:lineRule="exact"/>
        <w:rPr>
          <w:rFonts w:ascii="Arial" w:cs="Arial" w:eastAsia="Arial" w:hAnsi="Arial"/>
          <w:sz w:val="18"/>
          <w:szCs w:val="18"/>
          <w:color w:val="auto"/>
        </w:rPr>
      </w:pPr>
    </w:p>
    <w:p>
      <w:pPr>
        <w:ind w:left="660" w:right="1580" w:hanging="330"/>
        <w:spacing w:after="0" w:line="20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up to $6.0 million will become payable upon achieving certain specified milestones relating to the TheraSilence </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technology acquired from EGEN in the acquisition.</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9, 2014, Celsion borrowed an additional $5 million pursuant to a certain Loan and Security Agreement dated as of November 25, 2013, by and between Celsion and Hercules Technology Growth Capital, Inc. (see Note 10). Celsion used the loan proceeds to pay the upfront cash payment at closing and certain transaction costs incurred by Celsion in connection with the acquisition.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3" w:name="page14"/>
    <w:bookmarkEnd w:id="13"/>
    <w:p>
      <w:pPr>
        <w:ind w:right="20"/>
        <w:spacing w:after="0" w:line="340" w:lineRule="auto"/>
        <w:rPr>
          <w:sz w:val="20"/>
          <w:szCs w:val="20"/>
          <w:color w:val="auto"/>
        </w:rPr>
      </w:pPr>
      <w:r>
        <w:rPr>
          <w:rFonts w:ascii="Arial" w:cs="Arial" w:eastAsia="Arial" w:hAnsi="Arial"/>
          <w:sz w:val="16"/>
          <w:szCs w:val="16"/>
          <w:color w:val="auto"/>
        </w:rPr>
        <w:t>The EGEN Purchase Agreement contains customary representations and warranties regarding EGEN and Celsion, covenants regarding the conduct of EGEN’s business prior to the consummation of the acquisition, indemnification provisions, termination and other provisions customary for transactions of this nature.</w:t>
      </w:r>
    </w:p>
    <w:p>
      <w:pPr>
        <w:spacing w:after="0" w:line="12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 determined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60" w:type="dxa"/>
            <w:vAlign w:val="bottom"/>
          </w:tcPr>
          <w:p>
            <w:pPr>
              <w:spacing w:after="0"/>
              <w:rPr>
                <w:sz w:val="20"/>
                <w:szCs w:val="20"/>
                <w:color w:val="auto"/>
              </w:rPr>
            </w:pPr>
            <w:r>
              <w:rPr>
                <w:rFonts w:ascii="Arial" w:cs="Arial" w:eastAsia="Arial" w:hAnsi="Arial"/>
                <w:sz w:val="18"/>
                <w:szCs w:val="18"/>
                <w:b w:val="1"/>
                <w:bCs w:val="1"/>
                <w:color w:val="auto"/>
              </w:rPr>
              <w:t>Consideration Paid at Closing</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net of cash acquired</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2,821,000</w:t>
            </w:r>
          </w:p>
        </w:tc>
        <w:tc>
          <w:tcPr>
            <w:tcW w:w="100" w:type="dxa"/>
            <w:vAlign w:val="bottom"/>
            <w:shd w:val="clear" w:color="auto" w:fill="CCEEFF"/>
          </w:tcPr>
          <w:p>
            <w:pPr>
              <w:spacing w:after="0"/>
              <w:rPr>
                <w:sz w:val="18"/>
                <w:szCs w:val="18"/>
                <w:color w:val="auto"/>
              </w:rPr>
            </w:pPr>
          </w:p>
        </w:tc>
      </w:tr>
      <w:tr>
        <w:trPr>
          <w:trHeight w:val="201"/>
        </w:trPr>
        <w:tc>
          <w:tcPr>
            <w:tcW w:w="8060" w:type="dxa"/>
            <w:vAlign w:val="bottom"/>
          </w:tcPr>
          <w:p>
            <w:pPr>
              <w:ind w:left="820"/>
              <w:spacing w:after="0" w:line="201" w:lineRule="exact"/>
              <w:rPr>
                <w:sz w:val="20"/>
                <w:szCs w:val="20"/>
                <w:color w:val="auto"/>
              </w:rPr>
            </w:pPr>
            <w:r>
              <w:rPr>
                <w:rFonts w:ascii="Arial" w:cs="Arial" w:eastAsia="Arial" w:hAnsi="Arial"/>
                <w:sz w:val="18"/>
                <w:szCs w:val="18"/>
                <w:color w:val="auto"/>
                <w:w w:val="94"/>
              </w:rPr>
              <w:t>Celsion common stock (2,712,188 shares valued at $3.48 which was the last closing price of our</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8060" w:type="dxa"/>
            <w:vAlign w:val="bottom"/>
          </w:tcPr>
          <w:p>
            <w:pPr>
              <w:ind w:left="980"/>
              <w:spacing w:after="0"/>
              <w:rPr>
                <w:sz w:val="20"/>
                <w:szCs w:val="20"/>
                <w:color w:val="auto"/>
              </w:rPr>
            </w:pPr>
            <w:r>
              <w:rPr>
                <w:rFonts w:ascii="Arial" w:cs="Arial" w:eastAsia="Arial" w:hAnsi="Arial"/>
                <w:sz w:val="18"/>
                <w:szCs w:val="18"/>
                <w:color w:val="auto"/>
              </w:rPr>
              <w:t>common stock at the time of closing the transaction on June 20, 2014)</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9,438,000</w:t>
            </w:r>
          </w:p>
        </w:tc>
        <w:tc>
          <w:tcPr>
            <w:tcW w:w="100" w:type="dxa"/>
            <w:vAlign w:val="bottom"/>
          </w:tcPr>
          <w:p>
            <w:pPr>
              <w:spacing w:after="0"/>
              <w:rPr>
                <w:sz w:val="19"/>
                <w:szCs w:val="19"/>
                <w:color w:val="auto"/>
              </w:rPr>
            </w:pPr>
          </w:p>
        </w:tc>
      </w:tr>
      <w:tr>
        <w:trPr>
          <w:trHeight w:val="215"/>
        </w:trPr>
        <w:tc>
          <w:tcPr>
            <w:tcW w:w="8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060" w:type="dxa"/>
            <w:vAlign w:val="bottom"/>
          </w:tcPr>
          <w:p>
            <w:pPr>
              <w:ind w:left="340"/>
              <w:spacing w:after="0"/>
              <w:rPr>
                <w:sz w:val="20"/>
                <w:szCs w:val="20"/>
                <w:color w:val="auto"/>
              </w:rPr>
            </w:pPr>
            <w:r>
              <w:rPr>
                <w:rFonts w:ascii="Arial" w:cs="Arial" w:eastAsia="Arial" w:hAnsi="Arial"/>
                <w:sz w:val="18"/>
                <w:szCs w:val="18"/>
                <w:b w:val="1"/>
                <w:bCs w:val="1"/>
                <w:color w:val="auto"/>
              </w:rPr>
              <w:t>Future Consideration</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8060" w:type="dxa"/>
            <w:vAlign w:val="bottom"/>
            <w:shd w:val="clear" w:color="auto" w:fill="CCEEFF"/>
          </w:tcPr>
          <w:p>
            <w:pPr>
              <w:ind w:left="820"/>
              <w:spacing w:after="0" w:line="201" w:lineRule="exact"/>
              <w:rPr>
                <w:sz w:val="20"/>
                <w:szCs w:val="20"/>
                <w:color w:val="auto"/>
              </w:rPr>
            </w:pPr>
            <w:r>
              <w:rPr>
                <w:rFonts w:ascii="Arial" w:cs="Arial" w:eastAsia="Arial" w:hAnsi="Arial"/>
                <w:sz w:val="18"/>
                <w:szCs w:val="18"/>
                <w:color w:val="auto"/>
                <w:w w:val="96"/>
              </w:rPr>
              <w:t>Holdback Shares (670,070 shares of Celsion common stock which were discounted by 38% to</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80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reflect the cost of the restriction)</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1,441,000</w:t>
            </w:r>
          </w:p>
        </w:tc>
        <w:tc>
          <w:tcPr>
            <w:tcW w:w="100" w:type="dxa"/>
            <w:vAlign w:val="bottom"/>
            <w:shd w:val="clear" w:color="auto" w:fill="CCEEFF"/>
          </w:tcPr>
          <w:p>
            <w:pPr>
              <w:spacing w:after="0"/>
              <w:rPr>
                <w:sz w:val="19"/>
                <w:szCs w:val="19"/>
                <w:color w:val="auto"/>
              </w:rPr>
            </w:pPr>
          </w:p>
        </w:tc>
      </w:tr>
      <w:tr>
        <w:trPr>
          <w:trHeight w:val="215"/>
        </w:trPr>
        <w:tc>
          <w:tcPr>
            <w:tcW w:w="8060" w:type="dxa"/>
            <w:vAlign w:val="bottom"/>
          </w:tcPr>
          <w:p>
            <w:pPr>
              <w:ind w:left="820"/>
              <w:spacing w:after="0"/>
              <w:rPr>
                <w:sz w:val="20"/>
                <w:szCs w:val="20"/>
                <w:color w:val="auto"/>
              </w:rPr>
            </w:pPr>
            <w:r>
              <w:rPr>
                <w:rFonts w:ascii="Arial" w:cs="Arial" w:eastAsia="Arial" w:hAnsi="Arial"/>
                <w:sz w:val="18"/>
                <w:szCs w:val="18"/>
                <w:color w:val="auto"/>
              </w:rPr>
              <w:t>Earn-out Payments (at fair value*)</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13,878,000</w:t>
            </w:r>
          </w:p>
        </w:tc>
        <w:tc>
          <w:tcPr>
            <w:tcW w:w="100" w:type="dxa"/>
            <w:vAlign w:val="bottom"/>
          </w:tcPr>
          <w:p>
            <w:pPr>
              <w:spacing w:after="0"/>
              <w:rPr>
                <w:sz w:val="18"/>
                <w:szCs w:val="18"/>
                <w:color w:val="auto"/>
              </w:rPr>
            </w:pPr>
          </w:p>
        </w:tc>
      </w:tr>
      <w:tr>
        <w:trPr>
          <w:trHeight w:val="209"/>
        </w:trPr>
        <w:tc>
          <w:tcPr>
            <w:tcW w:w="8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060" w:type="dxa"/>
            <w:vAlign w:val="bottom"/>
          </w:tcPr>
          <w:p>
            <w:pPr>
              <w:ind w:left="980"/>
              <w:spacing w:after="0"/>
              <w:rPr>
                <w:sz w:val="20"/>
                <w:szCs w:val="20"/>
                <w:color w:val="auto"/>
              </w:rPr>
            </w:pPr>
            <w:r>
              <w:rPr>
                <w:rFonts w:ascii="Arial" w:cs="Arial" w:eastAsia="Arial" w:hAnsi="Arial"/>
                <w:sz w:val="18"/>
                <w:szCs w:val="18"/>
                <w:color w:val="auto"/>
              </w:rPr>
              <w:t>Total fair value of consideration</w:t>
            </w: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540" w:right="860" w:hanging="470"/>
        <w:spacing w:after="0" w:line="287"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total aggregate purchase price for the acquisition of substantially all the assets of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statements. As of March 31, 2016 and December 31, 2015, the Company fair valued these milestones at $14.2 million and $13.9 million, respectively, and recognized a non-cash charge of $302,656 during the three months ended March 31, 2016 as a result of the change in the fair value of these milestones from December 31, 2015. As of March 31, 2015 and December 31, 2014, the Company fair valued these milestones at $13.8 million and $13.7 million, respectively, and recognized a non-cash charge of $172,136 during the three months ended March 31, 2015 as a result of the change in the fair value of these milestones from December 31, 2014.</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acquisition method of accounting, the total purchase price is allocated to EGEN’s net tangible and intangible assets and liabilities based on their estimated fair values as of the acquisition date. There were no subsequent adjustments to provisional amounts in finalizing the purchase price allocation of acquisition of substantially all of the assets of EGEN, Inc. on June 20, 2014. The following table summarizes the fair values of these assets acquired and liabilities assumed related to the acquisition.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5"/>
        </w:trPr>
        <w:tc>
          <w:tcPr>
            <w:tcW w:w="86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25,802,000</w:t>
            </w:r>
          </w:p>
        </w:tc>
        <w:tc>
          <w:tcPr>
            <w:tcW w:w="100" w:type="dxa"/>
            <w:vAlign w:val="bottom"/>
          </w:tcPr>
          <w:p>
            <w:pPr>
              <w:spacing w:after="0"/>
              <w:rPr>
                <w:sz w:val="18"/>
                <w:szCs w:val="18"/>
                <w:color w:val="auto"/>
              </w:rPr>
            </w:pPr>
          </w:p>
        </w:tc>
      </w:tr>
      <w:tr>
        <w:trPr>
          <w:trHeight w:val="215"/>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66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27,813,000</w:t>
            </w:r>
          </w:p>
        </w:tc>
        <w:tc>
          <w:tcPr>
            <w:tcW w:w="100" w:type="dxa"/>
            <w:vAlign w:val="bottom"/>
          </w:tcPr>
          <w:p>
            <w:pPr>
              <w:spacing w:after="0"/>
              <w:rPr>
                <w:sz w:val="18"/>
                <w:szCs w:val="18"/>
                <w:color w:val="auto"/>
              </w:rPr>
            </w:pPr>
          </w:p>
        </w:tc>
      </w:tr>
      <w:tr>
        <w:trPr>
          <w:trHeight w:val="215"/>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(235,000)</w:t>
            </w:r>
          </w:p>
        </w:tc>
      </w:tr>
      <w:tr>
        <w:trPr>
          <w:trHeight w:val="209"/>
        </w:trPr>
        <w:tc>
          <w:tcPr>
            <w:tcW w:w="86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top w:val="single" w:sz="8" w:color="CCEEFF"/>
            </w:tcBorders>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Such indicators could include, but are not limited to (1) a significant adverse change in legal factors or in business climate, (2) unanticipated competition, or (3) an adverse action or assessment by a regulator. We first assessed qualitative factors to determine whether it is more likely than not that the fair value of a reporting unit is less than its carrying amount, including goodwill. If we conclude that it is more likely than not that the fair value of a reporting unit is less than its carrying amount, we will conduct a two-step quantitative goodwill impairment test. As of September 30, 2015, after our assessment of the totality of the events that could impair Goodwill, it is the Company’s conclusion “it is not more likely than not” that the Goodwill is impaired. Therefore, the Company is not required to conduct a two-step quantitative goodwill impairment test. No events have occurred as of March 31, 2016 that would affect the Company’s conclusion as of the September 30, 2015 assessment date.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Acquired In-Process Research and Development (IPR&amp;D)</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Acquired IPR&amp;D consists of EGEN's drug technology platforms: TheraPlas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TheraSilence</w:t>
      </w:r>
      <w:r>
        <w:rPr>
          <w:rFonts w:ascii="Arial" w:cs="Arial" w:eastAsia="Arial" w:hAnsi="Arial"/>
          <w:sz w:val="26"/>
          <w:szCs w:val="26"/>
          <w:color w:val="auto"/>
          <w:vertAlign w:val="superscript"/>
        </w:rPr>
        <w:t>™</w:t>
      </w:r>
      <w:r>
        <w:rPr>
          <w:rFonts w:ascii="Arial" w:cs="Arial" w:eastAsia="Arial" w:hAnsi="Arial"/>
          <w:sz w:val="16"/>
          <w:szCs w:val="16"/>
          <w:color w:val="auto"/>
        </w:rPr>
        <w:t>. The fair value of the IPR&amp;D drug technology platforms was estimated to be $25.8 million as of the acquisition date using the Multi-Period Excess Earnings Method (MPEEM) which is a form of the income approach. Under the MPEEM, the fair value of an intangible asset is equal to the present value of the asset’s incremental after-tax cash flows (excess earnings) remaining after deducting the market rates of return on the estimated value of contributory assets (contributory charge) over its remaining useful life.</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To calculate fair value of </w:t>
      </w:r>
      <w:r>
        <w:rPr>
          <w:rFonts w:ascii="Arial" w:cs="Arial" w:eastAsia="Arial" w:hAnsi="Arial"/>
          <w:sz w:val="16"/>
          <w:szCs w:val="16"/>
          <w:i w:val="1"/>
          <w:iCs w:val="1"/>
          <w:color w:val="auto"/>
        </w:rPr>
        <w:t>the IPR&amp;D</w:t>
      </w:r>
      <w:r>
        <w:rPr>
          <w:rFonts w:ascii="Arial" w:cs="Arial" w:eastAsia="Arial" w:hAnsi="Arial"/>
          <w:sz w:val="16"/>
          <w:szCs w:val="16"/>
          <w:color w:val="auto"/>
        </w:rPr>
        <w:t xml:space="preserve"> programs under the MPEEM, we used projected cash flows discounted at a rate considered appropriate given the significant inherent risks associated with drug development by development-stage companies. Cash flows were calculated based on estimated projections of revenues and expenses related to the IPR&amp;D programs and then reduced by a contributory charge on requisite assets employed. Contributory assets included debt-free working capital, net fixed assets and assembled workforce. Rates of return on the contributory assets were based on rates used for comparable market participants. Cash flows were assumed to extend through a seven-year market exclusivity period. The resultant cash flows were then discounted to present value using a weighted-average cost of equity capital for companies with profiles substantially similar to that of Celsion, which we believe represents the rate that market participants would use to value the assets. The projected cash flows were based on significant assumptions, including the indication in which we will pursue development of IPR&amp;D programs, the time and resources needed to complete the development and regulatory approval of IPR&amp;D programs, estimates of revenue and operating profit related to the program considering its stage of development, the life of the potential commercialized product, market penetration and competition, and risks associated with achieving commercialization, including delay or failure to obtain regulatory approvals to conduct clinical studies, failure of clinical studies, delay or failure to obtain required market clearances, and intellectual property litigation.</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the closing of the acquisition, the IPR&amp;D is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When performing our impairment assessment, we have the option to first assess qualitative factors to determine whether it is necessary to recalculate the fair value of our acquired IPR&amp;D. If we elect this option and believe, as a result of the qualitative assessment, that it is more-likely-than-not that the fair value of our acquired IPR&amp;D is less than its carrying amount, we calculate the fair value using the same methodology as described above. If the carrying value of our acquired IPR&amp;D exceeds its fair value, then the intangible asset is written-down to its fair value. Alternatively, we may elect to not first assess qualitative factors and immediately recalculate the fair value of our acquired IPR&amp;D. As of September 30, 2015, after our assessment of the totality of the events that could impair IPR&amp;D, it is the Company’s conclusion “it is not more likely than not” that the indefinite-lived intangible assets are impaired. Therefore, the Company is not required to calculate the fair value of the intangible assets and perform a quantitative impairment test. No events have occurred as of March 31, 2016 that would affect the Company’s conclusion as of its assessment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Arial" w:cs="Arial" w:eastAsia="Arial" w:hAnsi="Arial"/>
                <w:sz w:val="18"/>
                <w:szCs w:val="18"/>
                <w:b w:val="1"/>
                <w:bCs w:val="1"/>
                <w:color w:val="auto"/>
              </w:rPr>
              <w:t>Note 9. Accrued Liabilities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6900" w:type="dxa"/>
            <w:vAlign w:val="bottom"/>
          </w:tcPr>
          <w:p>
            <w:pPr>
              <w:spacing w:after="0"/>
              <w:rPr>
                <w:sz w:val="20"/>
                <w:szCs w:val="20"/>
                <w:color w:val="auto"/>
              </w:rPr>
            </w:pPr>
            <w:r>
              <w:rPr>
                <w:rFonts w:ascii="Arial" w:cs="Arial" w:eastAsia="Arial" w:hAnsi="Arial"/>
                <w:sz w:val="18"/>
                <w:szCs w:val="18"/>
                <w:color w:val="auto"/>
                <w:w w:val="97"/>
              </w:rPr>
              <w:t>Other accrued liabilities at March 31, 2016 and December 31, 2015 include the following:</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6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March 31, 2016</w:t>
            </w:r>
          </w:p>
        </w:tc>
        <w:tc>
          <w:tcPr>
            <w:tcW w:w="100" w:type="dxa"/>
            <w:vAlign w:val="bottom"/>
          </w:tcPr>
          <w:p>
            <w:pPr>
              <w:spacing w:after="0"/>
              <w:rPr>
                <w:sz w:val="24"/>
                <w:szCs w:val="24"/>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2"/>
              </w:rPr>
              <w:t>December 31, 2015</w:t>
            </w: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contract research organizations and other contractual agreements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571,615</w:t>
            </w:r>
          </w:p>
        </w:tc>
        <w:tc>
          <w:tcPr>
            <w:tcW w:w="100" w:type="dxa"/>
            <w:vAlign w:val="bottom"/>
            <w:shd w:val="clear" w:color="auto" w:fill="CCEEFF"/>
          </w:tcPr>
          <w:p>
            <w:pPr>
              <w:spacing w:after="0"/>
              <w:rPr>
                <w:sz w:val="18"/>
                <w:szCs w:val="18"/>
                <w:color w:val="auto"/>
              </w:rPr>
            </w:pPr>
          </w:p>
        </w:tc>
      </w:tr>
      <w:tr>
        <w:trPr>
          <w:trHeight w:val="215"/>
        </w:trPr>
        <w:tc>
          <w:tcPr>
            <w:tcW w:w="690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760,341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947,078</w:t>
            </w:r>
          </w:p>
        </w:tc>
      </w:tr>
      <w:tr>
        <w:trPr>
          <w:trHeight w:val="215"/>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411,600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319,200</w:t>
            </w:r>
          </w:p>
        </w:tc>
      </w:tr>
      <w:tr>
        <w:trPr>
          <w:trHeight w:val="215"/>
        </w:trPr>
        <w:tc>
          <w:tcPr>
            <w:tcW w:w="6900" w:type="dxa"/>
            <w:vAlign w:val="bottom"/>
          </w:tcPr>
          <w:p>
            <w:pPr>
              <w:spacing w:after="0"/>
              <w:rPr>
                <w:sz w:val="20"/>
                <w:szCs w:val="20"/>
                <w:color w:val="auto"/>
              </w:rPr>
            </w:pPr>
            <w:r>
              <w:rPr>
                <w:rFonts w:ascii="Arial" w:cs="Arial" w:eastAsia="Arial" w:hAnsi="Arial"/>
                <w:sz w:val="18"/>
                <w:szCs w:val="18"/>
                <w:color w:val="auto"/>
              </w:rPr>
              <w:t>Accrued interest on notes payable</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62,136</w:t>
            </w:r>
          </w:p>
        </w:tc>
      </w:tr>
      <w:tr>
        <w:trPr>
          <w:trHeight w:val="215"/>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19,740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19,740</w:t>
            </w:r>
          </w:p>
        </w:tc>
      </w:tr>
      <w:tr>
        <w:trPr>
          <w:trHeight w:val="20"/>
        </w:trPr>
        <w:tc>
          <w:tcPr>
            <w:tcW w:w="69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90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2,097,041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1,919,769</w:t>
            </w:r>
          </w:p>
        </w:tc>
      </w:tr>
      <w:tr>
        <w:trPr>
          <w:trHeight w:val="20"/>
        </w:trPr>
        <w:tc>
          <w:tcPr>
            <w:tcW w:w="6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 Payable</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this second tranche, the Company has drawn down a total of $10 million under the Hercules Credit Agreement.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5" w:name="page16"/>
    <w:bookmarkEnd w:id="15"/>
    <w:p>
      <w:pPr>
        <w:jc w:val="both"/>
        <w:spacing w:after="0" w:line="310" w:lineRule="auto"/>
        <w:rPr>
          <w:sz w:val="20"/>
          <w:szCs w:val="20"/>
          <w:color w:val="auto"/>
        </w:rPr>
      </w:pPr>
      <w:r>
        <w:rPr>
          <w:rFonts w:ascii="Arial" w:cs="Arial" w:eastAsia="Arial" w:hAnsi="Arial"/>
          <w:sz w:val="16"/>
          <w:szCs w:val="16"/>
          <w:color w:val="auto"/>
        </w:rPr>
        <w:t>The obligations under the Hercules Credit Agreement are in the form of secured indebtedness bearing interest at a calculated prime-based variable rate (11.25% per annum since inception through December 17, 2015 and 11.50% since). Payments under the loan agreement were interest only for the first twelve months after loan closing, followed by a 30-month amortization period of principal and interest through the scheduled maturity date of June 1, 2017.</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Hercules Credit Agreement, the Company incurred cash expenses of $122,378 which were recorded as deferred financing fees. These deferred financing fees are being amortized as interest expense using the effective interest method over the life of the loan. In connection with adoption of ASU Subtopic 835-30 during the first quarter of 2016, unamortized deferred financing fees of $18,931 and $26,131 as of March 31, 2016 and December 31, 2015, respectively, have been reclassified as a direct deduction from the debt liability consistent with the presentation of a debt discount. Also in connection with the Hercules Credit Facility, the Company paid loan origination fees of $230,000 which has been classified as debt discount. This amount is being amortized as interest expense using the effective interest method over the life of the loan.</w:t>
      </w:r>
    </w:p>
    <w:p>
      <w:pPr>
        <w:spacing w:after="0" w:line="17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As a fee in connection with the Hercules Credit Agreement, the Company issued Hercules a warrant for a total of 97,493 shares of the Company’s common stock (the Hercules Warrant) at a per share exercise price of $3.59, exercisable for cash or by net exercise from November 25, 2013. Upon the closing of the second tranche on June 10, 2014, this warrant became exercisable for an additional 97,493 shares of the Company’s common stock. The Hercules Warrant will expire November 25, 2018. Hercules has certain rights to register the common stock underlying the Hercules Warrant pursuant to a Registration Rights Agreement with the Company dated November 25, 2013. The registration rights expire on the date when such stock may be sold under Rule 144 without restriction or upon the first year anniversary of the registration statement for such stock, whichever is earlier. The common stock issuable pursuant to the Hercules Warrant was filed pursuant to Rule 415 under the Securities Act of 1933 on the Prospectus for Registration Statement No. 333-193936 and was declared effective on September 30, 2014. The Company valued the Hercules Warrant issued at the inception of the loan using the Black-Scholes option pricing model and recorded $521,763 in 2013 as deferred financing fees. In calculating the value of the warrants, the Company assumed a volatility rate of 102%, risk free interest rate of 1.37%, an expected life of 5 years, a stock price of $3.55 (closing price on date of the Hercules Warrant) and no expected forfeitures nor dividends. In the second quarter of 2014, the Company reassessed the classification of the warrants and concluded the original amount should be reclassified from deferred financing fees and equity. Therefore, other assets and additional paid in capital were both reduced by the $521,763. The Company then valued the warrant for the initial 97,493 shares of the Company’s common stock as of the inception of the loan and recorded $260,928 as a debt discount to be amortized as interest expense using the effective interest method over the life of the loan and recognized a warrant liability for this amount. In connection with the closing of the second $5 million tranche on June 9, 2014, the Company then valued the warrant for the additional 97,493 shares of the Company’s common stock which became available and exercisable as of the date and recorded $215,333 as a debt discount to be amortized as interest expense using the effective interest method over the life of the loan and recognized a warrant liability for this amount. In calculating the value of the warrant for the additional shares of the Company’s common stock on June 10, 2014, the Company assumed a volatility rate of 104%, risk free interest rate of 1.69%, an expected remaining life of 4.5 years, a stock price of $3.07 (closing price June 9, 2014) and no expected forfeitures nor dividends. In 2014, the warrant liability was fair valued at the end of each quarter and the resulting change in fair value will be recognized in net income. In the second quarter of 2015, the Company concluded the warrant provision which provided for the exercise price to be adjusted downward as described above had expired. Therefore, the Company valued the warrant at $336,254 immediately prior to this event and recorded non-cash charges to net income of $18,018 and $61,246 in the second quarter and year to date periods of 2015, respectively. The Company also reduced the liability to zero and increased equity by $336,254 at this time. Also in connection with each of the $5.0 million tranches, the Company will be required to pay an end of term charge equal to 3.5% of each original loan amount at time of maturity. Therefore, these amounts totaling $350,000 are being amortized as interest expense using the effective interest method over the life of the loan.</w:t>
      </w:r>
    </w:p>
    <w:p>
      <w:pPr>
        <w:spacing w:after="0" w:line="384"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For the three month periods ended March 31, 2016 and 2015, the Company incurred $165,527 and $264,911 in interest expense, respectively, and amortized $78,671 and $127,392, respectively as interest expense for deferred fees, debt discount and end of term charges in connection with the Hercules Credit Agreement.</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Hercules Credit Agreement contains customary covenants, including covenants that limit or restrict the Company’s ability to grant liens, incur indebtedness, make certain restricted payments, merge or consolidate and make dispositions of assets. Upon the occurrence of an event of default under the Hercules Credit Agreement, the lenders may cease making loans, terminate the Hercules Credit Agreement, declare all amounts outstanding to be immediately due and payable and foreclose on or liquidate the Company’s assets that comprise the lenders’ collateral. The Hercules Credit Agreement specifies a number of events of default (some of which are subject to applicable grace or cure periods), including, among other things, non-payment defaults, covenant defaults, a material adverse effect on the Company or its assets, cross-defaults to other material indebtedness, bankruptcy and insolvency defaults and material judgment defaults. The Company has maintained compliance with these covenants.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Total notes payable associated with the Hercules Credit Agreement consisted of the following at: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3"/>
        </w:trPr>
        <w:tc>
          <w:tcPr>
            <w:tcW w:w="6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5,363,798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6,345,769</w:t>
            </w:r>
          </w:p>
        </w:tc>
        <w:tc>
          <w:tcPr>
            <w:tcW w:w="100" w:type="dxa"/>
            <w:vAlign w:val="bottom"/>
            <w:shd w:val="clear" w:color="auto" w:fill="CCEEFF"/>
          </w:tcPr>
          <w:p>
            <w:pPr>
              <w:spacing w:after="0"/>
              <w:rPr>
                <w:sz w:val="18"/>
                <w:szCs w:val="18"/>
                <w:color w:val="auto"/>
              </w:rPr>
            </w:pPr>
          </w:p>
        </w:tc>
      </w:tr>
      <w:tr>
        <w:trPr>
          <w:trHeight w:val="215"/>
        </w:trPr>
        <w:tc>
          <w:tcPr>
            <w:tcW w:w="6900" w:type="dxa"/>
            <w:vAlign w:val="bottom"/>
          </w:tcPr>
          <w:p>
            <w:pPr>
              <w:spacing w:after="0"/>
              <w:rPr>
                <w:sz w:val="20"/>
                <w:szCs w:val="20"/>
                <w:color w:val="auto"/>
              </w:rPr>
            </w:pPr>
            <w:r>
              <w:rPr>
                <w:rFonts w:ascii="Arial" w:cs="Arial" w:eastAsia="Arial" w:hAnsi="Arial"/>
                <w:sz w:val="18"/>
                <w:szCs w:val="18"/>
                <w:color w:val="auto"/>
              </w:rPr>
              <w:t>Amortized end of term charges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290,257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265,859</w:t>
            </w:r>
          </w:p>
        </w:tc>
      </w:tr>
      <w:tr>
        <w:trPr>
          <w:trHeight w:val="215"/>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(133,622)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(187,894)</w:t>
            </w:r>
          </w:p>
        </w:tc>
      </w:tr>
      <w:tr>
        <w:trPr>
          <w:trHeight w:val="20"/>
        </w:trPr>
        <w:tc>
          <w:tcPr>
            <w:tcW w:w="6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900" w:type="dxa"/>
            <w:vAlign w:val="bottom"/>
          </w:tcPr>
          <w:p>
            <w:pPr>
              <w:ind w:left="160"/>
              <w:spacing w:after="0"/>
              <w:rPr>
                <w:sz w:val="20"/>
                <w:szCs w:val="20"/>
                <w:color w:val="auto"/>
              </w:rPr>
            </w:pPr>
            <w:r>
              <w:rPr>
                <w:rFonts w:ascii="Arial" w:cs="Arial" w:eastAsia="Arial" w:hAnsi="Arial"/>
                <w:sz w:val="18"/>
                <w:szCs w:val="18"/>
                <w:color w:val="auto"/>
              </w:rPr>
              <w:t>Total convertible notes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5,520,433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6,423,734</w:t>
            </w:r>
          </w:p>
        </w:tc>
      </w:tr>
      <w:tr>
        <w:trPr>
          <w:trHeight w:val="20"/>
        </w:trPr>
        <w:tc>
          <w:tcPr>
            <w:tcW w:w="6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schedule of future principle payments before debt discount due on the Hercules Credit Agreement: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For the year</w:t>
            </w:r>
          </w:p>
        </w:tc>
        <w:tc>
          <w:tcPr>
            <w:tcW w:w="0" w:type="dxa"/>
            <w:vAlign w:val="bottom"/>
          </w:tcPr>
          <w:p>
            <w:pPr>
              <w:spacing w:after="0"/>
              <w:rPr>
                <w:sz w:val="1"/>
                <w:szCs w:val="1"/>
                <w:color w:val="auto"/>
              </w:rPr>
            </w:pPr>
          </w:p>
        </w:tc>
      </w:tr>
      <w:tr>
        <w:trPr>
          <w:trHeight w:val="215"/>
        </w:trPr>
        <w:tc>
          <w:tcPr>
            <w:tcW w:w="7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33"/>
        </w:trPr>
        <w:tc>
          <w:tcPr>
            <w:tcW w:w="7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09"/>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00" w:type="dxa"/>
            <w:vAlign w:val="bottom"/>
          </w:tcPr>
          <w:p>
            <w:pPr>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1,143,848</w:t>
            </w:r>
          </w:p>
        </w:tc>
        <w:tc>
          <w:tcPr>
            <w:tcW w:w="0" w:type="dxa"/>
            <w:vAlign w:val="bottom"/>
          </w:tcPr>
          <w:p>
            <w:pPr>
              <w:spacing w:after="0"/>
              <w:rPr>
                <w:sz w:val="1"/>
                <w:szCs w:val="1"/>
                <w:color w:val="auto"/>
              </w:rPr>
            </w:pPr>
          </w:p>
        </w:tc>
      </w:tr>
      <w:tr>
        <w:trPr>
          <w:trHeight w:val="215"/>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and thereafter</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tcPr>
          <w:p>
            <w:pPr>
              <w:ind w:left="16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5,363,798</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b w:val="1"/>
                <w:bCs w:val="1"/>
                <w:color w:val="auto"/>
              </w:rPr>
              <w:t>Note 11. Stockholders’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September 2015, the Company filed with the Securities and Exchange Commission a $75 million shelf registration statement on Form S-3 that allows the Company to issue any combination of common stock, preferred stock or warrants to purchase common stock or preferred stock. This shelf registration was declared effective on September 25, 2015.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May 2015 Common Stock Offering</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May 27, 2015, the Company entered into a Securities Purchase Agreement with certain investors, pursuant to which the Company sold and issued on June 1, 2015, in a registered direct offering (the May 2015 Offering), an aggregate of 3,000,000 shares of common stock at an offering price of $2.675 per share for gross proceeds of $8.0 million before the deduction of the placement agent fee and offering expenses. The Shares were offered by the Company pursuant to a registration statement on Form S-3 (File No. 333-183286), which was initially filed with the SEC on August 13, 2012, as amended on August 20, 2012, and was declared effective by the SEC on September 14, 2012 (the Shelf Registration Statement).</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 concurrent private placement closed on June 1, 2015, the Company issued to the investors in the May 2015 Offering certain warrants (the May 2015 Warrants) at an exercise price of $2.60 per share. The May 2015 Warrants are exercisable to purchase 0.65 share of common stock for each share of common stock purchased in the May 2015 Offering for an aggregate of 1,950,000 shares of common stock. Each May 2015 Warrant will be exercisable on the date of its issuance until the five-year anniversary of the date of issuance. On July 10, 2015, the Company filed a registration statement for the resale of any shares of common stock issuable upon the exercise of the May 2015 Warrants on Form S-3 (File No. 333-205608) which was declared effective by the SEC on July 30, 2015.</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Under this purchase agreement, the Company was prohibited, for the period from the date of closing and ending September 1, 2015, from effecting or entering into an agreement to issue common stock or, for a period of five months after the closing,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January 2014 Common Stock Offering</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15, 2014, the Company entered into a Securities Purchase Agreement with certain institutional investors, pursuant to which the Company sold, in a registered offering, an aggregate of 3,603,604 shares of its common stock, par value $0.01 per share, and warrants to purchase up to 1,801,802 shares of Common Stock, for an aggregate purchase price of approximately $15 million (the January 2014 Common Stock Offering). The shares of common stock and warrants were sold in units, with each unit consisting of one share of common stock, a Series A warrant to purchase 0.25 share of common stock and a Series B warrant to purchase 0.25 share of common stock. Each unit was sold at a purchase price of $4.1625. Each Series A warrant will be exercisable at any time on or after its issuance date and until the five-year anniversary of the issuance date. Each Series B warrant will be exercisable at any time on or after its issuance date and until the one-year anniversary of the issuance date. The Series B warrants expired in January 2015. Each warrant has an exercise price of $4.10 per share. Under the purchase agreement, the Company was prohibited, for a period of nine months after the closing, from effecting or entering into an agreement to issue common stock or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Shares issued in acquisition of EGEN, Inc.</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As more fully discussed in Note 8, the Company issued 2,712,188 shares of its common stock to the shareholders of EGEN, Inc. to acquire certain assets of EGEN. The shares of Celsion’s common stock were issued in a private transaction exempt from registration under the Securities Act of 1933, as amended (the Securities Act), pursuant to Section 4(2) thereof. In addition, 670,070 shares of Celsion common stock are issuable to EGEN shareholders on or after August 2, 2016 pending satisfactory resolution of any post-closing adjustments of expenses and EGEN’s indemnification obligations under the EGEN Purchase Agreement (Holdback Shares). The common stock issued and issuable to EGEN pursuant to the Asset Purchase Agreement were filed pursuant to Rule 415 under the Securities Act of 1933 on the Prospectus for Registration Statement No. 333-198786 and was declared effective on September 30,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Controlled Equity Offering</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On February 1, 2013, the Company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(the “ATM Agreement”) with Cantor Fitzgerald &amp; Co., as sales agent (“Cantor”), pursuant to which Celsion may offer and sell, from time to time, through Cantor, shares of our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From February 1, 2013 through March 31, 2016, the Company sold and issued an aggregate of 1,479,535 shares of common stock under the ATM Agreement, receiving approximately $7.4 million in net proceeds.</w:t>
      </w:r>
    </w:p>
    <w:p>
      <w:pPr>
        <w:spacing w:after="0" w:line="19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6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ATM Agreement will terminate upon the earlier of (i) the sale of ATM Shares under the ATM Agreement having an aggregate offering price of $25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 On October 2, 2015, we filed a prospectus supplement to the base prospectus that forms a part of the Shelf Registration Statement, filed on September 4, 2015 and declared effective by the SEC on September 25, 2015, pursuant to which we may offer and sell up to $7,500,000 of common stock from time to time under the ATM Agreement. The Company currently has approximately $17.4 million remaining under the ATM Agreement.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 Based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Plans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has long-term compensation plans that permit the granting of incentive awards in the form of stock options. Generally, the terms of these plans require that the exercise price of the options may not be less than the fair market value of Celsion’s common stock on the date the options are granted. Options granted generally vest over various time frames or upon milestone accomplishments. The Company’s options generally expire ten years from the date of the grant.</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2007, the Company adopted the Celsion Corporation 2007 Stock Incentive Plan (the 2007 Plan) under which 222,222 shares were authorized for issuance. The purpose of the 2007 Plan is to promote the long-term growth and profitability of the Company by providing incentives to improve stockholder value and enable the Company to attract, retain and reward the best available persons for positions of substantial responsibility. The 2007 Plan permits the granting of equity awards in the form of incentive stock options, nonqualified stock options, restricted stock, restricted stock units, stock appreciation rights, phantom stock, and performance awards, or in any combination of the foregoing. At the Annual Meetings of Stockholders of Celsion held on June 25, 2010, June 7, 2012 and June 20, 2014, the stockholders approved amendments to the Plan. The only material difference between the original Plan and the amended Plan was the number of shares of common stock available for issuance under the amended Plan which was increased by 222,222 to a total of 444,444 shares in 2010, by 500,000 to a total of 944,444 shares in 2012 and by 2,500,000 to a total of 3,444,444 shares in 2014.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8" w:name="page19"/>
    <w:bookmarkEnd w:id="18"/>
    <w:p>
      <w:pPr>
        <w:jc w:val="both"/>
        <w:spacing w:after="0" w:line="262" w:lineRule="auto"/>
        <w:rPr>
          <w:sz w:val="20"/>
          <w:szCs w:val="20"/>
          <w:color w:val="auto"/>
        </w:rPr>
      </w:pPr>
      <w:r>
        <w:rPr>
          <w:rFonts w:ascii="Arial" w:cs="Arial" w:eastAsia="Arial" w:hAnsi="Arial"/>
          <w:sz w:val="18"/>
          <w:szCs w:val="18"/>
          <w:color w:val="auto"/>
        </w:rPr>
        <w:t>Prior to the adoption of the 2007 Plan, the Company adopted two stock plans for directors, officers and employees (one in 2001 and another in 2004) under which 148,148 shares were reserved for future issuance under each of these plans. As these plans have been superseded by the 2007 Plan, any options previously granted which expire, forfeit, or cancel under these plans will be rolled into the 2007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and restricted stock awards for the three months ended March 31, 2016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b w:val="1"/>
                <w:bCs w:val="1"/>
                <w:color w:val="auto"/>
              </w:rPr>
              <w:t>Restricted Stock</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Stock Options</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8"/>
                <w:szCs w:val="18"/>
                <w:b w:val="1"/>
                <w:bCs w:val="1"/>
                <w:color w:val="auto"/>
              </w:rPr>
              <w:t>Awards</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line="190" w:lineRule="exact"/>
              <w:rPr>
                <w:sz w:val="20"/>
                <w:szCs w:val="20"/>
                <w:color w:val="auto"/>
              </w:rPr>
            </w:pPr>
            <w:r>
              <w:rPr>
                <w:rFonts w:ascii="Arial" w:cs="Arial" w:eastAsia="Arial" w:hAnsi="Arial"/>
                <w:sz w:val="18"/>
                <w:szCs w:val="18"/>
                <w:b w:val="1"/>
                <w:bCs w:val="1"/>
                <w:color w:val="auto"/>
                <w:w w:val="96"/>
              </w:rPr>
              <w:t>Weighted</w:t>
            </w:r>
          </w:p>
        </w:tc>
        <w:tc>
          <w:tcPr>
            <w:tcW w:w="220" w:type="dxa"/>
            <w:vAlign w:val="bottom"/>
          </w:tcPr>
          <w:p>
            <w:pPr>
              <w:spacing w:after="0"/>
              <w:rPr>
                <w:sz w:val="16"/>
                <w:szCs w:val="16"/>
                <w:color w:val="auto"/>
              </w:rPr>
            </w:pPr>
          </w:p>
        </w:tc>
        <w:tc>
          <w:tcPr>
            <w:tcW w:w="1280" w:type="dxa"/>
            <w:vAlign w:val="bottom"/>
            <w:gridSpan w:val="2"/>
          </w:tcPr>
          <w:p>
            <w:pPr>
              <w:jc w:val="right"/>
              <w:ind w:right="180"/>
              <w:spacing w:after="0" w:line="190" w:lineRule="exact"/>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15"/>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Weighted</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Non-vested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Average</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Terms of</w:t>
            </w:r>
          </w:p>
        </w:tc>
        <w:tc>
          <w:tcPr>
            <w:tcW w:w="0" w:type="dxa"/>
            <w:vAlign w:val="bottom"/>
          </w:tcPr>
          <w:p>
            <w:pPr>
              <w:spacing w:after="0"/>
              <w:rPr>
                <w:sz w:val="1"/>
                <w:szCs w:val="1"/>
                <w:color w:val="auto"/>
              </w:rPr>
            </w:pPr>
          </w:p>
        </w:tc>
      </w:tr>
      <w:tr>
        <w:trPr>
          <w:trHeight w:val="215"/>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Restricted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Grant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5"/>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Exercise</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Date</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Awards</w:t>
            </w: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r>
              <w:rPr>
                <w:rFonts w:ascii="Arial" w:cs="Arial" w:eastAsia="Arial" w:hAnsi="Arial"/>
                <w:sz w:val="18"/>
                <w:szCs w:val="18"/>
                <w:b w:val="1"/>
                <w:bCs w:val="1"/>
                <w:color w:val="auto"/>
              </w:rPr>
              <w:t>Equity Awards</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Outstanding</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Outstanding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Fair Value</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9"/>
              </w:rPr>
              <w:t>Equity awards outstanding at December 31, 2015</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2,139,822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81,518</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rPr>
              <w:t>Equity awards granted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551,250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94,500</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exercised</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(94,500)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rPr>
              <w:t>Equity awards forfeited, cancelled or expired</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(39,433)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12.24</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rPr>
              <w:t>Equity awards outstanding at March 31, 2016</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2,651,639</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81,518</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2.64</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40" w:type="dxa"/>
            <w:vAlign w:val="bottom"/>
          </w:tcPr>
          <w:p>
            <w:pPr>
              <w:spacing w:after="0" w:line="201" w:lineRule="exact"/>
              <w:rPr>
                <w:sz w:val="20"/>
                <w:szCs w:val="20"/>
                <w:color w:val="auto"/>
              </w:rPr>
            </w:pPr>
            <w:r>
              <w:rPr>
                <w:rFonts w:ascii="Arial" w:cs="Arial" w:eastAsia="Arial" w:hAnsi="Arial"/>
                <w:sz w:val="18"/>
                <w:szCs w:val="18"/>
                <w:color w:val="auto"/>
                <w:w w:val="98"/>
              </w:rPr>
              <w:t>Aggregate intrinsic value of outstanding awards at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71,662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119,016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160"/>
              <w:spacing w:after="0" w:line="189" w:lineRule="exact"/>
              <w:rPr>
                <w:sz w:val="20"/>
                <w:szCs w:val="20"/>
                <w:color w:val="auto"/>
              </w:rPr>
            </w:pPr>
            <w:r>
              <w:rPr>
                <w:rFonts w:ascii="Arial" w:cs="Arial" w:eastAsia="Arial" w:hAnsi="Arial"/>
                <w:sz w:val="18"/>
                <w:szCs w:val="18"/>
                <w:color w:val="auto"/>
              </w:rPr>
              <w:t>March 31, 2016</w:t>
            </w:r>
          </w:p>
        </w:tc>
        <w:tc>
          <w:tcPr>
            <w:tcW w:w="1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rPr>
              <w:t>Equity awards exercisable at March 31, 2016</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1,704,188</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5.63</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40" w:type="dxa"/>
            <w:vAlign w:val="bottom"/>
          </w:tcPr>
          <w:p>
            <w:pPr>
              <w:spacing w:after="0" w:line="201" w:lineRule="exact"/>
              <w:rPr>
                <w:sz w:val="20"/>
                <w:szCs w:val="20"/>
                <w:color w:val="auto"/>
              </w:rPr>
            </w:pPr>
            <w:r>
              <w:rPr>
                <w:rFonts w:ascii="Arial" w:cs="Arial" w:eastAsia="Arial" w:hAnsi="Arial"/>
                <w:sz w:val="18"/>
                <w:szCs w:val="18"/>
                <w:color w:val="auto"/>
                <w:w w:val="98"/>
              </w:rPr>
              <w:t>Aggregate intrinsic value of awards exercisable at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23,888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40" w:type="dxa"/>
            <w:vAlign w:val="bottom"/>
          </w:tcPr>
          <w:p>
            <w:pPr>
              <w:ind w:left="160"/>
              <w:spacing w:after="0" w:line="189" w:lineRule="exact"/>
              <w:rPr>
                <w:sz w:val="20"/>
                <w:szCs w:val="20"/>
                <w:color w:val="auto"/>
              </w:rPr>
            </w:pPr>
            <w:r>
              <w:rPr>
                <w:rFonts w:ascii="Arial" w:cs="Arial" w:eastAsia="Arial" w:hAnsi="Arial"/>
                <w:sz w:val="18"/>
                <w:szCs w:val="18"/>
                <w:color w:val="auto"/>
              </w:rPr>
              <w:t>March 31, 2016</w:t>
            </w:r>
          </w:p>
        </w:tc>
        <w:tc>
          <w:tcPr>
            <w:tcW w:w="1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following assumptions for determining the fair value of options granted under the Black-Scholes option pricing model:</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26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2"/>
              </w:rPr>
              <w:t>Three Months Ended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3"/>
        </w:trPr>
        <w:tc>
          <w:tcPr>
            <w:tcW w:w="6780" w:type="dxa"/>
            <w:vAlign w:val="bottom"/>
          </w:tcPr>
          <w:p>
            <w:pPr>
              <w:spacing w:after="0"/>
              <w:rPr>
                <w:sz w:val="20"/>
                <w:szCs w:val="20"/>
                <w:color w:val="auto"/>
              </w:rPr>
            </w:pPr>
          </w:p>
        </w:tc>
        <w:tc>
          <w:tcPr>
            <w:tcW w:w="264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93"/>
              </w:rPr>
              <w:t>March 31,</w:t>
            </w: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67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8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r>
      <w:tr>
        <w:trPr>
          <w:trHeight w:val="215"/>
        </w:trPr>
        <w:tc>
          <w:tcPr>
            <w:tcW w:w="6780" w:type="dxa"/>
            <w:vAlign w:val="bottom"/>
          </w:tcPr>
          <w:p>
            <w:pPr>
              <w:spacing w:after="0"/>
              <w:rPr>
                <w:sz w:val="20"/>
                <w:szCs w:val="20"/>
                <w:color w:val="auto"/>
              </w:rPr>
            </w:pPr>
            <w:r>
              <w:rPr>
                <w:rFonts w:ascii="Arial" w:cs="Arial" w:eastAsia="Arial" w:hAnsi="Arial"/>
                <w:sz w:val="18"/>
                <w:szCs w:val="18"/>
                <w:color w:val="auto"/>
              </w:rPr>
              <w:t>Expected volatility</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89.1%</w:t>
            </w:r>
          </w:p>
        </w:tc>
        <w:tc>
          <w:tcPr>
            <w:tcW w:w="8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93.0%</w:t>
            </w:r>
          </w:p>
        </w:tc>
      </w:tr>
      <w:tr>
        <w:trPr>
          <w:trHeight w:val="215"/>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r>
      <w:tr>
        <w:trPr>
          <w:trHeight w:val="215"/>
        </w:trPr>
        <w:tc>
          <w:tcPr>
            <w:tcW w:w="678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8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5"/>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8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01"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 free interest rate is derived from values assigned to U.S. Treasury bonds as published in the Wall Street Journal in effect at the time of grant. The model incorporates exercise, pre-vesting and post-vesting forfeiture assumptions based on analysis of historical data. The expected life of the fiscal 2016 and 2015 grants was generated using the simplified method.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9" w:name="page20"/>
    <w:bookmarkEnd w:id="19"/>
    <w:p>
      <w:pPr>
        <w:jc w:val="both"/>
        <w:ind w:right="40"/>
        <w:spacing w:after="0" w:line="262" w:lineRule="auto"/>
        <w:rPr>
          <w:sz w:val="20"/>
          <w:szCs w:val="20"/>
          <w:color w:val="auto"/>
        </w:rPr>
      </w:pPr>
      <w:r>
        <w:rPr>
          <w:rFonts w:ascii="Arial" w:cs="Arial" w:eastAsia="Arial" w:hAnsi="Arial"/>
          <w:sz w:val="18"/>
          <w:szCs w:val="18"/>
          <w:color w:val="auto"/>
        </w:rPr>
        <w:t>Total compensation cost related to employee stock options and restricted stock awards totaled $615,014 and $848,843 for the three months ended March 31, 2016 and 2015, respectively. No compensation cost related to share-based payments arrangements was capitalized as part of the cost of any asset as of March 31, 2016 and 2015.</w:t>
      </w:r>
    </w:p>
    <w:p>
      <w:pPr>
        <w:spacing w:after="0" w:line="182"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auto"/>
        </w:rPr>
        <w:t>As of March 31, 2016, there was $0.9 million of total unrecognized compensation cost related to non-vested share-based compensation arrangements. That cost is expected to be recognized over a weighted-average period of 1.2 years. The weighted average grant-date fair value was $1.14 and $2.17 per share for the options granted during the three months ended March 31, 2016 and 2015, respectively. The weighted average grant-date fair value was $1.33 and $3.50 for the restricted stock awards granted during the three months ended March 31, 2016 and 2015, respectively.</w:t>
      </w:r>
    </w:p>
    <w:p>
      <w:pPr>
        <w:spacing w:after="0" w:line="170" w:lineRule="exact"/>
        <w:rPr>
          <w:sz w:val="20"/>
          <w:szCs w:val="20"/>
          <w:color w:val="auto"/>
        </w:rPr>
      </w:pPr>
    </w:p>
    <w:p>
      <w:pPr>
        <w:jc w:val="both"/>
        <w:ind w:right="40"/>
        <w:spacing w:after="0" w:line="275" w:lineRule="auto"/>
        <w:rPr>
          <w:sz w:val="20"/>
          <w:szCs w:val="20"/>
          <w:color w:val="auto"/>
        </w:rPr>
      </w:pPr>
      <w:r>
        <w:rPr>
          <w:rFonts w:ascii="Arial" w:cs="Arial" w:eastAsia="Arial" w:hAnsi="Arial"/>
          <w:sz w:val="18"/>
          <w:szCs w:val="18"/>
          <w:color w:val="auto"/>
        </w:rPr>
        <w:t>Collectively, for all of the Company’s stock option plans as of March 31, 2016, there were a total of 3,565,770 shares reserved with 2,733,157 equity awards granted and 832,613 equity awards available for future issuance.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Earn-out Milestone Liability</w:t>
      </w:r>
    </w:p>
    <w:p>
      <w:pPr>
        <w:spacing w:after="0" w:line="227"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will be fair valued at the end of each quarter and any change in their value will be recognized in the financial statements.</w:t>
      </w:r>
    </w:p>
    <w:p>
      <w:pPr>
        <w:spacing w:after="0" w:line="191"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As of March 31, 2016 and December 31, 2015, the Company fair valued these milestones at $14.2 million and $13.9 million, respectively, and recognized a non-cash charge of $302,656 during the three months ended March 31, 2016 as a result of the change in the fair value of these milestones from December 31, 2015. As of March 31, 2015 and December 31, 2014, the Company fair valued these milestones at $13.8 million and $13.7 million, respectively, and recognized a non-cash charge of $172,136 during the three months ended March 31, 2015 as a result of the change in the fair value of these milestones from December 31, 2014.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schedule of the Company’s risk-adjustment assessment of each milestone: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Risk-adjustment</w:t>
            </w:r>
          </w:p>
        </w:tc>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1"/>
              </w:rPr>
              <w:t>Assessment</w:t>
            </w:r>
          </w:p>
        </w:tc>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Estimated Time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Borders>
              <w:bottom w:val="single" w:sz="8" w:color="auto"/>
            </w:tcBorders>
          </w:tcPr>
          <w:p>
            <w:pPr>
              <w:ind w:left="2000"/>
              <w:spacing w:after="0"/>
              <w:rPr>
                <w:sz w:val="20"/>
                <w:szCs w:val="20"/>
                <w:color w:val="auto"/>
              </w:rPr>
            </w:pPr>
            <w:r>
              <w:rPr>
                <w:rFonts w:ascii="Arial" w:cs="Arial" w:eastAsia="Arial" w:hAnsi="Arial"/>
                <w:sz w:val="18"/>
                <w:szCs w:val="18"/>
                <w:b w:val="1"/>
                <w:bCs w:val="1"/>
                <w:color w:val="auto"/>
              </w:rPr>
              <w:t>Date</w:t>
            </w:r>
          </w:p>
        </w:tc>
        <w:tc>
          <w:tcPr>
            <w:tcW w:w="12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of each Milestone</w:t>
            </w:r>
          </w:p>
        </w:tc>
        <w:tc>
          <w:tcPr>
            <w:tcW w:w="1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Discount Rate</w:t>
            </w:r>
          </w:p>
        </w:tc>
        <w:tc>
          <w:tcPr>
            <w:tcW w:w="2140" w:type="dxa"/>
            <w:vAlign w:val="bottom"/>
            <w:tcBorders>
              <w:bottom w:val="single" w:sz="8" w:color="auto"/>
            </w:tcBorders>
            <w:gridSpan w:val="5"/>
          </w:tcPr>
          <w:p>
            <w:pPr>
              <w:jc w:val="center"/>
              <w:ind w:left="10"/>
              <w:spacing w:after="0"/>
              <w:rPr>
                <w:sz w:val="20"/>
                <w:szCs w:val="20"/>
                <w:color w:val="auto"/>
              </w:rPr>
            </w:pPr>
            <w:r>
              <w:rPr>
                <w:rFonts w:ascii="Arial" w:cs="Arial" w:eastAsia="Arial" w:hAnsi="Arial"/>
                <w:sz w:val="18"/>
                <w:szCs w:val="18"/>
                <w:b w:val="1"/>
                <w:bCs w:val="1"/>
                <w:color w:val="auto"/>
                <w:w w:val="87"/>
              </w:rPr>
              <w:t>to Achieve (years)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2016</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 to 75%</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0.25 to 2.25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December 31, 2015</w:t>
            </w:r>
          </w:p>
        </w:tc>
        <w:tc>
          <w:tcPr>
            <w:tcW w:w="120" w:type="dxa"/>
            <w:vAlign w:val="bottom"/>
          </w:tcPr>
          <w:p>
            <w:pPr>
              <w:spacing w:after="0"/>
              <w:rPr>
                <w:sz w:val="18"/>
                <w:szCs w:val="18"/>
                <w:color w:val="auto"/>
              </w:rPr>
            </w:pPr>
          </w:p>
        </w:tc>
        <w:tc>
          <w:tcPr>
            <w:tcW w:w="2140" w:type="dxa"/>
            <w:vAlign w:val="bottom"/>
          </w:tcPr>
          <w:p>
            <w:pPr>
              <w:ind w:left="660"/>
              <w:spacing w:after="0"/>
              <w:rPr>
                <w:sz w:val="20"/>
                <w:szCs w:val="20"/>
                <w:color w:val="auto"/>
              </w:rPr>
            </w:pPr>
            <w:r>
              <w:rPr>
                <w:rFonts w:ascii="Arial" w:cs="Arial" w:eastAsia="Arial" w:hAnsi="Arial"/>
                <w:sz w:val="18"/>
                <w:szCs w:val="18"/>
                <w:color w:val="auto"/>
              </w:rPr>
              <w:t>10% to 75%</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0.50 to 2.50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2015</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 to 67%</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1.17 to 6.26</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December 31, 2014</w:t>
            </w:r>
          </w:p>
        </w:tc>
        <w:tc>
          <w:tcPr>
            <w:tcW w:w="120" w:type="dxa"/>
            <w:vAlign w:val="bottom"/>
          </w:tcPr>
          <w:p>
            <w:pPr>
              <w:spacing w:after="0"/>
              <w:rPr>
                <w:sz w:val="19"/>
                <w:szCs w:val="19"/>
                <w:color w:val="auto"/>
              </w:rPr>
            </w:pPr>
          </w:p>
        </w:tc>
        <w:tc>
          <w:tcPr>
            <w:tcW w:w="2140" w:type="dxa"/>
            <w:vAlign w:val="bottom"/>
          </w:tcPr>
          <w:p>
            <w:pPr>
              <w:ind w:left="660"/>
              <w:spacing w:after="0"/>
              <w:rPr>
                <w:sz w:val="20"/>
                <w:szCs w:val="20"/>
                <w:color w:val="auto"/>
              </w:rPr>
            </w:pPr>
            <w:r>
              <w:rPr>
                <w:rFonts w:ascii="Arial" w:cs="Arial" w:eastAsia="Arial" w:hAnsi="Arial"/>
                <w:sz w:val="18"/>
                <w:szCs w:val="18"/>
                <w:color w:val="auto"/>
              </w:rPr>
              <w:t>10% to 75%</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1.25 to 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6900" w:type="dxa"/>
            <w:vAlign w:val="bottom"/>
            <w:gridSpan w:val="5"/>
          </w:tcPr>
          <w:p>
            <w:pPr>
              <w:jc w:val="right"/>
              <w:ind w:right="570"/>
              <w:spacing w:after="0"/>
              <w:rPr>
                <w:sz w:val="20"/>
                <w:szCs w:val="20"/>
                <w:color w:val="auto"/>
              </w:rPr>
            </w:pPr>
            <w:r>
              <w:rPr>
                <w:rFonts w:ascii="Arial" w:cs="Arial" w:eastAsia="Arial" w:hAnsi="Arial"/>
                <w:sz w:val="18"/>
                <w:szCs w:val="18"/>
                <w:color w:val="auto"/>
                <w:w w:val="91"/>
              </w:rPr>
              <w:t>The following is a summary of the changes in the earn-out milestone liability for 2016:</w:t>
            </w:r>
          </w:p>
        </w:tc>
        <w:tc>
          <w:tcPr>
            <w:tcW w:w="1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0" w:type="dxa"/>
            <w:vAlign w:val="bottom"/>
            <w:vMerge w:val="restart"/>
          </w:tcPr>
          <w:p>
            <w:pPr>
              <w:spacing w:after="0"/>
              <w:rPr>
                <w:sz w:val="18"/>
                <w:szCs w:val="18"/>
                <w:color w:val="auto"/>
              </w:rPr>
            </w:pPr>
          </w:p>
        </w:tc>
        <w:tc>
          <w:tcPr>
            <w:tcW w:w="44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13,921,412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6740" w:type="dxa"/>
            <w:vAlign w:val="bottom"/>
            <w:gridSpan w:val="4"/>
          </w:tcPr>
          <w:p>
            <w:pPr>
              <w:spacing w:after="0"/>
              <w:rPr>
                <w:sz w:val="20"/>
                <w:szCs w:val="20"/>
                <w:color w:val="auto"/>
              </w:rPr>
            </w:pPr>
            <w:r>
              <w:rPr>
                <w:rFonts w:ascii="Arial" w:cs="Arial" w:eastAsia="Arial" w:hAnsi="Arial"/>
                <w:sz w:val="18"/>
                <w:szCs w:val="18"/>
                <w:color w:val="auto"/>
                <w:w w:val="99"/>
              </w:rPr>
              <w:t>Non-cash charge from the adjustment for the change in fair value included in net loss</w:t>
            </w:r>
          </w:p>
        </w:tc>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6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14,224,068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3"/>
        </w:trPr>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60" w:type="dxa"/>
            <w:vAlign w:val="bottom"/>
            <w:gridSpan w:val="2"/>
          </w:tcPr>
          <w:p>
            <w:pPr>
              <w:jc w:val="right"/>
              <w:ind w:right="1010"/>
              <w:spacing w:after="0"/>
              <w:rPr>
                <w:sz w:val="20"/>
                <w:szCs w:val="20"/>
                <w:color w:val="auto"/>
              </w:rPr>
            </w:pPr>
            <w:r>
              <w:rPr>
                <w:rFonts w:ascii="Arial" w:cs="Arial" w:eastAsia="Arial" w:hAnsi="Arial"/>
                <w:sz w:val="18"/>
                <w:szCs w:val="18"/>
                <w:color w:val="auto"/>
              </w:rPr>
              <w:t>17</w:t>
            </w:r>
          </w:p>
        </w:tc>
        <w:tc>
          <w:tcPr>
            <w:tcW w:w="1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3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14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2" w:right="19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Arial" w:cs="Arial" w:eastAsia="Arial" w:hAnsi="Arial"/>
                <w:sz w:val="18"/>
                <w:szCs w:val="18"/>
                <w:b w:val="1"/>
                <w:bCs w:val="1"/>
                <w:color w:val="auto"/>
              </w:rPr>
              <w:t>Note 14. Warrants</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6900" w:type="dxa"/>
            <w:vAlign w:val="bottom"/>
          </w:tcPr>
          <w:p>
            <w:pPr>
              <w:spacing w:after="0"/>
              <w:rPr>
                <w:sz w:val="20"/>
                <w:szCs w:val="20"/>
                <w:color w:val="auto"/>
              </w:rPr>
            </w:pPr>
            <w:r>
              <w:rPr>
                <w:rFonts w:ascii="Arial" w:cs="Arial" w:eastAsia="Arial" w:hAnsi="Arial"/>
                <w:sz w:val="18"/>
                <w:szCs w:val="18"/>
                <w:b w:val="1"/>
                <w:bCs w:val="1"/>
                <w:i w:val="1"/>
                <w:iCs w:val="1"/>
                <w:color w:val="auto"/>
              </w:rPr>
              <w:t>Common Stock Warrants</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6900" w:type="dxa"/>
            <w:vAlign w:val="bottom"/>
          </w:tcPr>
          <w:p>
            <w:pPr>
              <w:spacing w:after="0"/>
              <w:rPr>
                <w:sz w:val="20"/>
                <w:szCs w:val="20"/>
                <w:color w:val="auto"/>
              </w:rPr>
            </w:pPr>
            <w:r>
              <w:rPr>
                <w:rFonts w:ascii="Arial" w:cs="Arial" w:eastAsia="Arial" w:hAnsi="Arial"/>
                <w:sz w:val="18"/>
                <w:szCs w:val="18"/>
                <w:color w:val="auto"/>
                <w:w w:val="96"/>
              </w:rPr>
              <w:t>Following is a summary of all warrant activity for the three months ended March 31, 2016:</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6900" w:type="dxa"/>
            <w:vAlign w:val="bottom"/>
          </w:tcPr>
          <w:p>
            <w:pPr>
              <w:spacing w:after="0"/>
              <w:rPr>
                <w:sz w:val="24"/>
                <w:szCs w:val="24"/>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Weighted</w:t>
            </w:r>
          </w:p>
        </w:tc>
      </w:tr>
      <w:tr>
        <w:trPr>
          <w:trHeight w:val="215"/>
        </w:trPr>
        <w:tc>
          <w:tcPr>
            <w:tcW w:w="69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Average</w:t>
            </w:r>
          </w:p>
        </w:tc>
      </w:tr>
      <w:tr>
        <w:trPr>
          <w:trHeight w:val="233"/>
        </w:trPr>
        <w:tc>
          <w:tcPr>
            <w:tcW w:w="6900" w:type="dxa"/>
            <w:vAlign w:val="bottom"/>
          </w:tcPr>
          <w:p>
            <w:pPr>
              <w:spacing w:after="0"/>
              <w:rPr>
                <w:sz w:val="20"/>
                <w:szCs w:val="20"/>
                <w:color w:val="auto"/>
              </w:rPr>
            </w:pPr>
            <w:r>
              <w:rPr>
                <w:rFonts w:ascii="Arial" w:cs="Arial" w:eastAsia="Arial" w:hAnsi="Arial"/>
                <w:sz w:val="18"/>
                <w:szCs w:val="18"/>
                <w:b w:val="1"/>
                <w:bCs w:val="1"/>
                <w:color w:val="auto"/>
              </w:rPr>
              <w:t>Warrants</w:t>
            </w: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Issued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Exercise Price</w:t>
            </w:r>
          </w:p>
        </w:tc>
        <w:tc>
          <w:tcPr>
            <w:tcW w:w="100" w:type="dxa"/>
            <w:vAlign w:val="bottom"/>
          </w:tcPr>
          <w:p>
            <w:pPr>
              <w:spacing w:after="0"/>
              <w:rPr>
                <w:sz w:val="20"/>
                <w:szCs w:val="20"/>
                <w:color w:val="auto"/>
              </w:rPr>
            </w:pPr>
          </w:p>
        </w:tc>
      </w:tr>
      <w:tr>
        <w:trPr>
          <w:trHeight w:val="209"/>
        </w:trPr>
        <w:tc>
          <w:tcPr>
            <w:tcW w:w="6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r>
      <w:tr>
        <w:trPr>
          <w:trHeight w:val="215"/>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December 31, 2015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5,894,675</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r>
      <w:tr>
        <w:trPr>
          <w:trHeight w:val="215"/>
        </w:trPr>
        <w:tc>
          <w:tcPr>
            <w:tcW w:w="6900" w:type="dxa"/>
            <w:vAlign w:val="bottom"/>
          </w:tcPr>
          <w:p>
            <w:pPr>
              <w:spacing w:after="0"/>
              <w:rPr>
                <w:sz w:val="20"/>
                <w:szCs w:val="20"/>
                <w:color w:val="auto"/>
              </w:rPr>
            </w:pPr>
            <w:r>
              <w:rPr>
                <w:rFonts w:ascii="Arial" w:cs="Arial" w:eastAsia="Arial" w:hAnsi="Arial"/>
                <w:sz w:val="18"/>
                <w:szCs w:val="18"/>
                <w:color w:val="auto"/>
              </w:rPr>
              <w:t>Warrants issued during the three months ended March 31, 2016</w:t>
            </w:r>
          </w:p>
        </w:tc>
        <w:tc>
          <w:tcPr>
            <w:tcW w:w="16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Warrants expired during the three months ended March 31, 2016</w:t>
            </w:r>
          </w:p>
        </w:tc>
        <w:tc>
          <w:tcPr>
            <w:tcW w:w="16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6900" w:type="dxa"/>
            <w:vAlign w:val="bottom"/>
            <w:tcBorders>
              <w:top w:val="single" w:sz="8" w:color="CCEEFF"/>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gridSpan w:val="2"/>
          </w:tcPr>
          <w:p>
            <w:pPr>
              <w:spacing w:after="0"/>
              <w:rPr>
                <w:sz w:val="18"/>
                <w:szCs w:val="18"/>
                <w:color w:val="auto"/>
              </w:rPr>
            </w:pPr>
          </w:p>
        </w:tc>
        <w:tc>
          <w:tcPr>
            <w:tcW w:w="1460" w:type="dxa"/>
            <w:vAlign w:val="bottom"/>
            <w:tcBorders>
              <w:top w:val="single" w:sz="8" w:color="CCEEFF"/>
            </w:tcBorders>
            <w:gridSpan w:val="2"/>
          </w:tcPr>
          <w:p>
            <w:pPr>
              <w:spacing w:after="0"/>
              <w:rPr>
                <w:sz w:val="18"/>
                <w:szCs w:val="18"/>
                <w:color w:val="auto"/>
              </w:rPr>
            </w:pPr>
          </w:p>
        </w:tc>
      </w:tr>
      <w:tr>
        <w:trPr>
          <w:trHeight w:val="255"/>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at March 31, 2016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5,894,675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r>
      <w:tr>
        <w:trPr>
          <w:trHeight w:val="195"/>
        </w:trPr>
        <w:tc>
          <w:tcPr>
            <w:tcW w:w="6900" w:type="dxa"/>
            <w:vAlign w:val="bottom"/>
          </w:tcPr>
          <w:p>
            <w:pPr>
              <w:spacing w:after="0"/>
              <w:rPr>
                <w:sz w:val="16"/>
                <w:szCs w:val="16"/>
                <w:color w:val="auto"/>
              </w:rPr>
            </w:pPr>
          </w:p>
        </w:tc>
        <w:tc>
          <w:tcPr>
            <w:tcW w:w="16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5"/>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Aggregate intrinsic value of outstanding warrants at March 31, 2016</w:t>
            </w:r>
          </w:p>
        </w:tc>
        <w:tc>
          <w:tcPr>
            <w:tcW w:w="16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195"/>
        </w:trPr>
        <w:tc>
          <w:tcPr>
            <w:tcW w:w="6900" w:type="dxa"/>
            <w:vAlign w:val="bottom"/>
            <w:tcBorders>
              <w:top w:val="single" w:sz="8" w:color="CCEEFF"/>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55"/>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contractual terms at March 31, 2016 (years)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411"/>
        </w:trPr>
        <w:tc>
          <w:tcPr>
            <w:tcW w:w="6900" w:type="dxa"/>
            <w:vAlign w:val="bottom"/>
          </w:tcPr>
          <w:p>
            <w:pPr>
              <w:spacing w:after="0"/>
              <w:rPr>
                <w:sz w:val="20"/>
                <w:szCs w:val="20"/>
                <w:color w:val="auto"/>
              </w:rPr>
            </w:pPr>
            <w:r>
              <w:rPr>
                <w:rFonts w:ascii="Arial" w:cs="Arial" w:eastAsia="Arial" w:hAnsi="Arial"/>
                <w:sz w:val="18"/>
                <w:szCs w:val="18"/>
                <w:b w:val="1"/>
                <w:bCs w:val="1"/>
                <w:color w:val="auto"/>
              </w:rPr>
              <w:t>Note 15. Contingent Liabilities and Commitments</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July 2011, the Company executed a lease (the “Lease”) with Brandywine Operating Partnership, L.P. (Brandywine), a Delaware limited partnership for a 10,870 square foot premises located in Lawrenceville, New Jersey. In October 2011, the Company relocated its offices to Lawrenceville, New Jersey from Columbia, Maryland. The lease has a term of 66 months and provides for 6 months of rent free, with the first monthly rent payment of approximately $23,000 due and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will be reduced by $50,000 on each of the 19th, 31st and 43rd months from the initial term, with the remaining $100,000 amount remaining until the Lease Term has expired. In connection with three $50,000 reductions of the standby letter of credit in April 2013 and 2014 and 2015, the Company reduced the escrow deposit by $50,000 each time. This lease has a remaining term of 13 months with rent payments of approximately $24,900 per month.</w:t>
      </w:r>
    </w:p>
    <w:p>
      <w:pPr>
        <w:spacing w:after="0" w:line="163"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In connection with the EGEN Asset Purchase agreement in June 2014, the Company assumed the existing lease with another landlord for an 11,500 square foot premises located in Huntsville Alabama. This lease has a remaining term of 22 months with rent payments of approximately $23,200 per month.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Technology Development and Licensing Agreements</w:t>
      </w:r>
    </w:p>
    <w:p>
      <w:pPr>
        <w:spacing w:after="0" w:line="2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7, 2012 the Company entered into a long 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 During the first quarter of 2015, Hisun completed the successful manufacture of three registration batches of ThermoDox® and the Company accrued $685,787 for the aggregate development costs and fees associated with these batches in March 2015. This amount was paid in April 2015.</w:t>
      </w:r>
    </w:p>
    <w:p>
      <w:pPr>
        <w:spacing w:after="0" w:line="180"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On January 18, 2013, we entered into a technology development contract with Hisun, pursuant to which Hisun paid us a non-refundable research and development fee of $5 million to support our development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based on findings of the ongoing post-study analysis of the HEAT Study data.</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21" w:name="page22"/>
    <w:bookmarkEnd w:id="21"/>
    <w:p>
      <w:pPr>
        <w:jc w:val="both"/>
        <w:spacing w:after="0" w:line="258"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3" w:lineRule="exact"/>
        <w:rPr>
          <w:sz w:val="20"/>
          <w:szCs w:val="20"/>
          <w:color w:val="auto"/>
        </w:rPr>
      </w:pPr>
    </w:p>
    <w:p>
      <w:pPr>
        <w:ind w:left="720" w:right="780" w:hanging="417"/>
        <w:spacing w:after="0" w:line="275" w:lineRule="auto"/>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70" w:lineRule="exact"/>
        <w:rPr>
          <w:rFonts w:ascii="Arial" w:cs="Arial" w:eastAsia="Arial" w:hAnsi="Arial"/>
          <w:sz w:val="18"/>
          <w:szCs w:val="18"/>
          <w:b w:val="1"/>
          <w:bCs w:val="1"/>
          <w:color w:val="auto"/>
        </w:rPr>
      </w:pPr>
    </w:p>
    <w:p>
      <w:pPr>
        <w:ind w:left="720" w:right="800" w:hanging="417"/>
        <w:spacing w:after="0" w:line="275" w:lineRule="auto"/>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CHINA FDA; and</w:t>
      </w:r>
    </w:p>
    <w:p>
      <w:pPr>
        <w:spacing w:after="0" w:line="170" w:lineRule="exact"/>
        <w:rPr>
          <w:rFonts w:ascii="Arial" w:cs="Arial" w:eastAsia="Arial" w:hAnsi="Arial"/>
          <w:sz w:val="18"/>
          <w:szCs w:val="18"/>
          <w:b w:val="1"/>
          <w:bCs w:val="1"/>
          <w:color w:val="auto"/>
        </w:rPr>
      </w:pPr>
    </w:p>
    <w:p>
      <w:pPr>
        <w:ind w:left="720" w:right="780" w:hanging="417"/>
        <w:spacing w:after="0" w:line="275" w:lineRule="auto"/>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Hisun will be granted a right of first offer for a commercial license to ThermoDox® for the sale and distribution of ThermoDox® in the China territory.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22" w:name="page23"/>
    <w:bookmarkEnd w:id="22"/>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our Annual Report on Form 10-K for the fiscal year ended December 31, 2015 filed on March 30, 2016 with the Securities and Exchange Commission,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Celsion is a fully-integrated oncology drug development company focused on developing a portfolio of innovative cancer treatments, including directed chemotherapies, DNA-mediated immunotherapy and RNA based therapies. Our lead product candidate is ThermoDox</w:t>
      </w:r>
      <w:r>
        <w:rPr>
          <w:rFonts w:ascii="Arial" w:cs="Arial" w:eastAsia="Arial" w:hAnsi="Arial"/>
          <w:sz w:val="29"/>
          <w:szCs w:val="29"/>
          <w:color w:val="auto"/>
          <w:vertAlign w:val="superscript"/>
        </w:rPr>
        <w:t>®</w:t>
      </w:r>
      <w:r>
        <w:rPr>
          <w:rFonts w:ascii="Arial" w:cs="Arial" w:eastAsia="Arial" w:hAnsi="Arial"/>
          <w:sz w:val="18"/>
          <w:szCs w:val="18"/>
          <w:color w:val="auto"/>
        </w:rPr>
        <w:t>, a proprietary heat-activated liposomal encapsulation of doxorubicin, currently in a Phase III clinical trial for the treatment of primary liver cancer (the OPTIMA Study) and a Phase II clinical trial for the treatment of recurrent chest wall breast cancer (the DIGNITY Study). Second in our pipeline is GEN-1 (formerly known as EGEN-001), a DNA-mediated immunotherapy for the localized treatment of ovarian and brain cancers. We have three platform technologies providing the basis for the future development of a range of therapeutics for difficult-to-treat forms of cancer including: Lysolipid Thermally Sensitive Liposomes, a heat sensitive liposomal based dosage form that targets disease with known therapeutics in the presence of mild heat, TheraPlas, a novel nucleic acid-based treatment for local transfection of therapeutic plasmids, and TheraSilence, a systemic dosage form for lung directed anti-cancer RNA With these technologies we are working to develop and commercialize more efficient, effective and targeted oncology therapies that maximize efficacy while minimizing side-effects common to cancer treatments.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ThermoDox®</w:t>
      </w:r>
    </w:p>
    <w:p>
      <w:pPr>
        <w:spacing w:after="0" w:line="200" w:lineRule="exact"/>
        <w:rPr>
          <w:sz w:val="20"/>
          <w:szCs w:val="20"/>
          <w:color w:val="auto"/>
        </w:rPr>
      </w:pPr>
    </w:p>
    <w:p>
      <w:pPr>
        <w:jc w:val="both"/>
        <w:spacing w:after="0" w:line="223" w:lineRule="auto"/>
        <w:rPr>
          <w:sz w:val="20"/>
          <w:szCs w:val="20"/>
          <w:color w:val="auto"/>
        </w:rPr>
      </w:pPr>
      <w:r>
        <w:rPr>
          <w:rFonts w:ascii="Arial" w:cs="Arial" w:eastAsia="Arial" w:hAnsi="Arial"/>
          <w:sz w:val="16"/>
          <w:szCs w:val="16"/>
          <w:color w:val="auto"/>
        </w:rPr>
        <w:t>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being evaluated in a Phase III clinical trial for primary liver cancer (the OPTIMA Study) which was initiated in 2014 and a Phase II clinical trial for recurrent chest wall breast cancer (the DIGNITY Study).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i w:val="1"/>
          <w:iCs w:val="1"/>
          <w:color w:val="auto"/>
        </w:rPr>
        <w:t xml:space="preserve">The HEAT Study. </w:t>
      </w:r>
      <w:r>
        <w:rPr>
          <w:rFonts w:ascii="Arial" w:cs="Arial" w:eastAsia="Arial" w:hAnsi="Arial"/>
          <w:sz w:val="16"/>
          <w:szCs w:val="16"/>
          <w:color w:val="auto"/>
        </w:rPr>
        <w:t>On January 31, 2013, we announced that ThermoDox</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combination with radio frequency ablation (RFA) did not meet the primary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endpoint of progression free survival for the 701 patient clinical trial in patients with hepatocellular carcinoma (HCC), also known as primary liver cancer (the HEAT Study). We determined, after conferring with the HEAT Study’s independent Data Monitoring Committee (iDMC), that the HEAT Study did not meet the goal of demonstrating persuasive evidence of clinical effectiveness, that being a clinically meaningful improvement in progression free survival (PFS), that could form the basis for regulatory approval. In the trial,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was well-tolerated with no unexpected serious adverse events. Following the announcement of the HEAT Study results, we continue to follow patients for overall survival (OS), the secondary endpoint of the HEAT Study. We have conducted a comprehensive analysis of the data from the HEAT Study to assess the future strategic value and development strategy for ThermoDox</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23" w:name="page24"/>
    <w:bookmarkEnd w:id="23"/>
    <w:p>
      <w:pPr>
        <w:jc w:val="both"/>
        <w:spacing w:after="0" w:line="235" w:lineRule="auto"/>
        <w:rPr>
          <w:sz w:val="20"/>
          <w:szCs w:val="20"/>
          <w:color w:val="auto"/>
        </w:rPr>
      </w:pPr>
      <w:r>
        <w:rPr>
          <w:rFonts w:ascii="Arial" w:cs="Arial" w:eastAsia="Arial" w:hAnsi="Arial"/>
          <w:sz w:val="17"/>
          <w:szCs w:val="17"/>
          <w:color w:val="auto"/>
        </w:rPr>
        <w:t>Findings from the HEAT Study post-hoc data analysis suggest that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may substantially improve overall survival, when compared to the control group, in patients if their lesions undergo a 45 minute RFA procedure standardized for a lesion greater than 3 cm in diameter. Data from eight OS sweeps have been conducted since the top line PFS data from the HEAT Study were announced in January 2013, with each data set showing progressive improvement in statistical significance. The most recent post-hoc OS analysis data from the HEAT Study as of July 15, 2015 showed that in a large, well bounded, subgroup of patients (n=285, 41% of the study patients), the combination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optimized RFA provided a 58% improvement in OS compared to optimized RFA alone. The Hazard Ratio at this latest OS analysis is 0.63 (95% CI 0.43 - 0.93) with a p-value of 0.0198. Median overall survival for the ThermoDox® group has been reached in this subgroup which translates into a 25.4 month (2.1 year) survival benefit over the optimized RFA only group (79 months for the ThermoDox® plus optimized RFA group versus 53.6 months for the optimized RFA only group). These data continue to support the protocol for the Phase III OPTIMA Study, as described below.</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Findings from the HEAT Study post-hoc data analysis have shown to be well balanced and not diminished in anyway by other factors. Supplementary computational modeling and prospective preclinical animal studies have shown additional support the relationship between heating duration and clinical outcomes. These data have been presented, without objection, at multiple scientific and medical conferences in 2013, 2014 and 2015 by key HEAT Study investigators and leading liver cancer experts. The presentations include:</w:t>
      </w:r>
    </w:p>
    <w:p>
      <w:pPr>
        <w:spacing w:after="0" w:line="185" w:lineRule="exact"/>
        <w:rPr>
          <w:sz w:val="20"/>
          <w:szCs w:val="20"/>
          <w:color w:val="auto"/>
        </w:rPr>
      </w:pPr>
    </w:p>
    <w:p>
      <w:pPr>
        <w:ind w:left="1140" w:hanging="460"/>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World Conference on Interventional Oncology in May 2013;</w:t>
      </w:r>
    </w:p>
    <w:p>
      <w:pPr>
        <w:spacing w:after="0" w:line="22" w:lineRule="exact"/>
        <w:rPr>
          <w:rFonts w:ascii="Arial" w:cs="Arial" w:eastAsia="Arial" w:hAnsi="Arial"/>
          <w:sz w:val="18"/>
          <w:szCs w:val="18"/>
          <w:color w:val="auto"/>
        </w:rPr>
      </w:pPr>
    </w:p>
    <w:p>
      <w:pPr>
        <w:ind w:left="1140" w:hanging="460"/>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European Conference on Interventional Oncology in June 2013 and April 2014;</w:t>
      </w:r>
    </w:p>
    <w:p>
      <w:pPr>
        <w:spacing w:after="0" w:line="8" w:lineRule="exact"/>
        <w:rPr>
          <w:rFonts w:ascii="Arial" w:cs="Arial" w:eastAsia="Arial" w:hAnsi="Arial"/>
          <w:sz w:val="18"/>
          <w:szCs w:val="18"/>
          <w:color w:val="auto"/>
        </w:rPr>
      </w:pPr>
    </w:p>
    <w:p>
      <w:pPr>
        <w:ind w:left="1140" w:hanging="460"/>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Liver Cancer Association Annual Conference in September 2013, 2014 and 2015;</w:t>
      </w:r>
    </w:p>
    <w:p>
      <w:pPr>
        <w:spacing w:after="0" w:line="8" w:lineRule="exact"/>
        <w:rPr>
          <w:rFonts w:ascii="Arial" w:cs="Arial" w:eastAsia="Arial" w:hAnsi="Arial"/>
          <w:sz w:val="18"/>
          <w:szCs w:val="18"/>
          <w:color w:val="auto"/>
        </w:rPr>
      </w:pPr>
    </w:p>
    <w:p>
      <w:pPr>
        <w:ind w:left="1140" w:hanging="460"/>
        <w:spacing w:after="0" w:line="180" w:lineRule="auto"/>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American Society of Clinical Oncology 50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Annual Meeting in June 2014; and</w:t>
      </w:r>
    </w:p>
    <w:p>
      <w:pPr>
        <w:ind w:left="1140" w:hanging="460"/>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Asian Conference on Tumor Ablation in October 2015</w:t>
      </w:r>
    </w:p>
    <w:p>
      <w:pPr>
        <w:spacing w:after="0" w:line="207" w:lineRule="exact"/>
        <w:rPr>
          <w:sz w:val="20"/>
          <w:szCs w:val="20"/>
          <w:color w:val="auto"/>
        </w:rPr>
      </w:pPr>
    </w:p>
    <w:p>
      <w:pPr>
        <w:jc w:val="both"/>
        <w:spacing w:after="0" w:line="225" w:lineRule="auto"/>
        <w:rPr>
          <w:sz w:val="20"/>
          <w:szCs w:val="20"/>
          <w:color w:val="auto"/>
        </w:rPr>
      </w:pPr>
      <w:r>
        <w:rPr>
          <w:rFonts w:ascii="Arial" w:cs="Arial" w:eastAsia="Arial" w:hAnsi="Arial"/>
          <w:sz w:val="17"/>
          <w:szCs w:val="17"/>
          <w:b w:val="1"/>
          <w:bCs w:val="1"/>
          <w:i w:val="1"/>
          <w:iCs w:val="1"/>
          <w:color w:val="auto"/>
        </w:rPr>
        <w:t xml:space="preserve">The OPTIMA Study. </w:t>
      </w:r>
      <w:r>
        <w:rPr>
          <w:rFonts w:ascii="Arial" w:cs="Arial" w:eastAsia="Arial" w:hAnsi="Arial"/>
          <w:sz w:val="17"/>
          <w:szCs w:val="17"/>
          <w:color w:val="auto"/>
        </w:rPr>
        <w:t>On February 24, 2014, we announced that the U.S. Food and Drug Administration (FDA), after its customary 30 day review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accepted our IND without comment, subject to compliance with regulatory standards, for our pivotal, double-blind, placebo-controlled Phase III trial of ThermoDox</w:t>
      </w:r>
      <w:r>
        <w:rPr>
          <w:rFonts w:ascii="Arial" w:cs="Arial" w:eastAsia="Arial" w:hAnsi="Arial"/>
          <w:sz w:val="28"/>
          <w:szCs w:val="28"/>
          <w:color w:val="auto"/>
          <w:vertAlign w:val="superscript"/>
        </w:rPr>
        <w:t>®</w:t>
      </w:r>
      <w:r>
        <w:rPr>
          <w:rFonts w:ascii="Arial" w:cs="Arial" w:eastAsia="Arial" w:hAnsi="Arial"/>
          <w:sz w:val="17"/>
          <w:szCs w:val="17"/>
          <w:color w:val="auto"/>
        </w:rPr>
        <w:t>, our proprietary heat-activated liposomal encapsulation of doxorubicin in combination with RFA in primary liver cancer, also known as HCC (the OPTIMA Study). The OPTIMA Study trial design is based on the comprehensive analysis of data from the HEAT Study, which, as described previously, demonstrated that treatment with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resulted in a 58% improvement in overall survival in a large number of HCC patients that received an optimized RFA treatment for longer than 45 minutes. Designed with extensive input from globally recognized HCC researchers and clinicians and, after formal written consultation with the FDA, the OPTIMA Study was launched in the first half of 2014. The OPTIMA Study is expected to enroll up to 550 patients globally at up to 75 sites in the United States, Canada, Europe, China and elsewhere in the Asia Pacific region, and will evaluate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combination with standardized RFA, which will require a minimum of 45 minutes across all investigators and clinical sites for treating lesions 3 to 7 centimeters, versus standardized RFA alone. The primary endpoint for the trial is Overall Survival, and the secondary endpoints for the trial are PFS and safety. The statistical plan calls for two interim efficacy analyses by an independent DMC.</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16, 2015, we announced that we had received the clinical trial application approval from the CFDA to conduct the OPTIMA Study in China. This clinical trial application approval will now allow Celsion to enroll patients at up to 20 additional clinical sites in China. With the addition of these Chinese clinical sites, the Company expects to complete enrollment in the OPTIMA Study during the first quarter of 2018. On April 26, 2016, we announced that the first patient in China has been enrolled in the OPTIMA Study. Results from the OPTIMA Study, if successful, will provide the basis for a global registration filing and marketing approval.</w:t>
      </w:r>
    </w:p>
    <w:p>
      <w:pPr>
        <w:spacing w:after="0" w:line="16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b w:val="1"/>
          <w:bCs w:val="1"/>
          <w:i w:val="1"/>
          <w:iCs w:val="1"/>
          <w:color w:val="auto"/>
        </w:rPr>
        <w:t xml:space="preserve">The DIGNITY Study. </w:t>
      </w:r>
      <w:r>
        <w:rPr>
          <w:rFonts w:ascii="Arial" w:cs="Arial" w:eastAsia="Arial" w:hAnsi="Arial"/>
          <w:sz w:val="18"/>
          <w:szCs w:val="18"/>
          <w:color w:val="auto"/>
        </w:rPr>
        <w:t>On December 14, 2015, we announced final data from the Phase I/II study of ThermoDox</w:t>
      </w:r>
      <w:r>
        <w:rPr>
          <w:rFonts w:ascii="Arial" w:cs="Arial" w:eastAsia="Arial" w:hAnsi="Arial"/>
          <w:sz w:val="29"/>
          <w:szCs w:val="29"/>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recurrent chest wall (RCW) breast cancer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DIGNITY Study) at the San Antonio Breast Cancer Symposium. The DIGNITY Study is designed to establish a safe therapeutic dose in Phase I, and in Phase II to demonstrate local control, including complete and partial responses, and stable disease as its primary endpoint. The DIGNITY Study is also planned to evaluate kinetics in ThermoDox® produced from more than one manufacturing site. Of the 28 patients enrolled and treated, 21 patients were eligible for evaluation of efficacy. Approximately 62% of evaluable patients experienced a local response, including six complete responses and seven partial responses.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data are consistent with the combined clinical data from two Phase I trials, our Phase I DIGNITY Study and the Duke University sponsored Phase I trial of ThermoDox® plus hyperthermia in RCW breast cancer in December 2013. The two similarly designed Phase I studies enrolled patients with highly resistant tumors found on the chest wall and who had progressed on previous therapy including chemotherapy, radiation therapy and hormone therapy. There were 29 patients treated in the two trials, including 11 patients in the DIGNITY Study and 18 patients in the Duke study. Of the 29 patients treated, 23 were eligible for evaluation of efficacy. A local response rate of over 60 percent was reported in 14 of the 23 evaluable patients with five complete responses and nine partial responses.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24" w:name="page25"/>
    <w:bookmarkEnd w:id="24"/>
    <w:p>
      <w:pPr>
        <w:jc w:val="both"/>
        <w:spacing w:after="0" w:line="225" w:lineRule="auto"/>
        <w:rPr>
          <w:sz w:val="20"/>
          <w:szCs w:val="20"/>
          <w:color w:val="auto"/>
        </w:rPr>
      </w:pPr>
      <w:r>
        <w:rPr>
          <w:rFonts w:ascii="Arial" w:cs="Arial" w:eastAsia="Arial" w:hAnsi="Arial"/>
          <w:sz w:val="18"/>
          <w:szCs w:val="18"/>
          <w:b w:val="1"/>
          <w:bCs w:val="1"/>
          <w:i w:val="1"/>
          <w:iCs w:val="1"/>
          <w:color w:val="auto"/>
        </w:rPr>
        <w:t xml:space="preserve">The Euro-DIGNITY Study. </w:t>
      </w:r>
      <w:r>
        <w:rPr>
          <w:rFonts w:ascii="Arial" w:cs="Arial" w:eastAsia="Arial" w:hAnsi="Arial"/>
          <w:sz w:val="18"/>
          <w:szCs w:val="18"/>
          <w:color w:val="auto"/>
        </w:rPr>
        <w:t>The Company anticipates a that Phase II study of Radiation Therapy, Hyperthermia and ThermoDox</w:t>
      </w:r>
      <w:r>
        <w:rPr>
          <w:rFonts w:ascii="Arial" w:cs="Arial" w:eastAsia="Arial" w:hAnsi="Arial"/>
          <w:sz w:val="29"/>
          <w:szCs w:val="29"/>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treat patients with local-regional recurrent chest wall breast cancer will be initiated by five clinical sites located in Italy, Israel, Poland and the Czech Republic (the Euro-DIGNITY Study). The Euro-DIGNITY Study will be Phase II study enrolling up to 70 patients affected by recurrent breast adenocarcinoma on the chest wall with/without nodes over a period of two years.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primary objectives of the Euro-DIGNITY Study will be (i) to evaluate efficacy in patients after treatment with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plus Hyperthermia</w:t>
      </w:r>
    </w:p>
    <w:p>
      <w:pPr>
        <w:spacing w:after="0"/>
        <w:rPr>
          <w:sz w:val="20"/>
          <w:szCs w:val="20"/>
          <w:color w:val="auto"/>
        </w:rPr>
      </w:pPr>
      <w:r>
        <w:rPr>
          <w:rFonts w:ascii="Arial" w:cs="Arial" w:eastAsia="Arial" w:hAnsi="Arial"/>
          <w:sz w:val="18"/>
          <w:szCs w:val="18"/>
          <w:color w:val="auto"/>
        </w:rPr>
        <w:t>measuring tumor diameter as a response to therapy and (ii) to evaluate loco-regional breast tumor control in patients who undergo</w:t>
      </w:r>
    </w:p>
    <w:p>
      <w:pPr>
        <w:spacing w:after="0" w:line="186" w:lineRule="auto"/>
        <w:rPr>
          <w:sz w:val="20"/>
          <w:szCs w:val="20"/>
          <w:color w:val="auto"/>
        </w:rPr>
      </w:pPr>
      <w:r>
        <w:rPr>
          <w:rFonts w:ascii="Arial" w:cs="Arial" w:eastAsia="Arial" w:hAnsi="Arial"/>
          <w:sz w:val="16"/>
          <w:szCs w:val="16"/>
          <w:color w:val="auto"/>
        </w:rPr>
        <w:t>ThermoDox</w:t>
      </w:r>
      <w:r>
        <w:rPr>
          <w:rFonts w:ascii="Arial" w:cs="Arial" w:eastAsia="Arial" w:hAnsi="Arial"/>
          <w:sz w:val="25"/>
          <w:szCs w:val="25"/>
          <w:color w:val="auto"/>
          <w:vertAlign w:val="superscript"/>
        </w:rPr>
        <w:t>®</w:t>
      </w:r>
      <w:r>
        <w:rPr>
          <w:rFonts w:ascii="Arial" w:cs="Arial" w:eastAsia="Arial" w:hAnsi="Arial"/>
          <w:sz w:val="16"/>
          <w:szCs w:val="16"/>
          <w:color w:val="auto"/>
        </w:rPr>
        <w:t>/hyperthermia/radiation therapy as measured by target lesion clinical response rate combining a RECIST criteria with digital photography to</w:t>
      </w:r>
    </w:p>
    <w:p>
      <w:pPr>
        <w:spacing w:after="0"/>
        <w:rPr>
          <w:sz w:val="20"/>
          <w:szCs w:val="20"/>
          <w:color w:val="auto"/>
        </w:rPr>
      </w:pPr>
      <w:r>
        <w:rPr>
          <w:rFonts w:ascii="Arial" w:cs="Arial" w:eastAsia="Arial" w:hAnsi="Arial"/>
          <w:sz w:val="18"/>
          <w:szCs w:val="18"/>
          <w:color w:val="auto"/>
        </w:rPr>
        <w:t>gauge response.</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Secondary objectives of the Euro-DIGNITY Study will be (i) to evaluate the safety of the combination of ThermoDox/ Hyperthermia/Radiation Therapy among patients with local-regional recurrence (LRR) breast cancer, (ii) to evaluate the duration of local control complete response, partial response and stable disease following treatment with ThermoDox/ Hyperthermia/ Radiation Therapy up to 24 months among patients with LRR breast cancer and (iii) to assess Patient Reported Quality of Life using the FACT-B and Brief Pain Inventory following treatment with ThermoDox/Hyperthermia/ Radiation Therapy among patients with LRR breast cancer.</w:t>
      </w:r>
    </w:p>
    <w:p>
      <w:pPr>
        <w:spacing w:after="0" w:line="187" w:lineRule="exact"/>
        <w:rPr>
          <w:sz w:val="20"/>
          <w:szCs w:val="20"/>
          <w:color w:val="auto"/>
        </w:rPr>
      </w:pPr>
    </w:p>
    <w:p>
      <w:pPr>
        <w:jc w:val="both"/>
        <w:spacing w:after="0" w:line="221" w:lineRule="auto"/>
        <w:rPr>
          <w:sz w:val="20"/>
          <w:szCs w:val="20"/>
          <w:color w:val="auto"/>
        </w:rPr>
      </w:pPr>
      <w:r>
        <w:rPr>
          <w:rFonts w:ascii="Arial" w:cs="Arial" w:eastAsia="Arial" w:hAnsi="Arial"/>
          <w:sz w:val="16"/>
          <w:szCs w:val="16"/>
          <w:b w:val="1"/>
          <w:bCs w:val="1"/>
          <w:color w:val="auto"/>
        </w:rPr>
        <w:t xml:space="preserve">Early Access Program for ThermoDox for the Treatment of Patients with RCW Breast Cancer. </w:t>
      </w:r>
      <w:r>
        <w:rPr>
          <w:rFonts w:ascii="Arial" w:cs="Arial" w:eastAsia="Arial" w:hAnsi="Arial"/>
          <w:sz w:val="16"/>
          <w:szCs w:val="16"/>
          <w:color w:val="auto"/>
        </w:rPr>
        <w:t>On January 13, 2015, we entered into an Early Access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with Impatients N.V., a Netherlands company (Impatients), pursuant to which Impatients will develop and execute through its brand myTomorrows an early access program for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all countries of the European Union territory, Iceland, Liechtenstein, Norway and Switzerland for the treatment of patients with RCW breast cancer. Under the early access program, Impatients will engage in activities to secure authorization, exemption or waiver from regulatory authorities for patient use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that may otherwise be subject to approvals from such regulatory authorities before the sale and distribution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relevant territories. We will be responsible for the manufacture and supply of quantities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 Impatients for use in the Early Access Program and Impatients will distribute and sell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pursuant to such authorization, exemptions or waivers. On August 10, 2015, we expanded the Early Access Program with myTomorrows to include patients with primary liver cancer, also known as hepatocellular carcinoma, and liver cancer metastases, in all of the European Union territory, Switzerland, Turkey and Israel.</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consideration for Impatients’ services to implement the early access program and in the event we receive regulatory authorization to sell, distribute or market ThermoDox® in the Territory, we will be obligated to pay Impatients, subject to a maximum cap, a low single-digit royalty of net sales of ThermoDox® in the countries where such regulatory authorization has been obtained. The Early Access Agreement has a term of five years, with automatic renewals for consecutive two-year periods, unless earlier terminated by either party with notice or in the event of material breach, bankruptcy, or insolvency without notice.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EGEN</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June 20, 2014, we completed the acquisition of substantially all of the assets of EGEN, Inc., an Alabama corporation (EGEN), pursuant to an Asset Purchase Agreement. CLSN Laboratories, Inc., a Delaware corporation and a wholly-owned subsidiary of ours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consideration of the acquisition includes an initial payment of approximately $3.0 million in cash plus 2.7 million shares of Celsion’s common stock. Additional consideration included contingent value rights totaling $30.4 million, payable in cash, shares of Celsion common stock or a combination thereof, at Celsion’s option, upon achievement of three major milestone events as follows:</w:t>
      </w:r>
    </w:p>
    <w:p>
      <w:pPr>
        <w:spacing w:after="0" w:line="163" w:lineRule="exact"/>
        <w:rPr>
          <w:sz w:val="20"/>
          <w:szCs w:val="20"/>
          <w:color w:val="auto"/>
        </w:rPr>
      </w:pPr>
    </w:p>
    <w:p>
      <w:pPr>
        <w:ind w:left="780" w:right="900" w:hanging="383"/>
        <w:spacing w:after="0" w:line="275"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to be conducted by the Company or its subsidiary;</w:t>
      </w:r>
    </w:p>
    <w:p>
      <w:pPr>
        <w:spacing w:after="0" w:line="170" w:lineRule="exact"/>
        <w:rPr>
          <w:rFonts w:ascii="Arial" w:cs="Arial" w:eastAsia="Arial" w:hAnsi="Arial"/>
          <w:sz w:val="18"/>
          <w:szCs w:val="18"/>
          <w:color w:val="auto"/>
        </w:rPr>
      </w:pPr>
    </w:p>
    <w:p>
      <w:pPr>
        <w:ind w:left="780" w:right="900" w:hanging="383"/>
        <w:spacing w:after="0" w:line="275"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glioblastoma multiforme brain cancer study of GEN-1 to be conducted by the Company or its subsidiary; and</w:t>
      </w:r>
    </w:p>
    <w:p>
      <w:pPr>
        <w:spacing w:after="0" w:line="170" w:lineRule="exact"/>
        <w:rPr>
          <w:rFonts w:ascii="Arial" w:cs="Arial" w:eastAsia="Arial" w:hAnsi="Arial"/>
          <w:sz w:val="18"/>
          <w:szCs w:val="18"/>
          <w:color w:val="auto"/>
        </w:rPr>
      </w:pPr>
    </w:p>
    <w:p>
      <w:pPr>
        <w:ind w:left="780" w:hanging="383"/>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milestones relating to the TheraSilence™ technology.</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Our obligations to make the Earn-Out Payments will terminate on the seventh anniversary of the closing date.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9, 2014, we borrowed an additional $5.0 million pursuant to a certain Loan and Security Agreement dated as of November 25, 2013, by and between Hercules Technology Growth Capital, Inc. and us. We used the loan proceeds to pay the upfront cash payment to EGEN at closing and certain transaction costs incurred in connection with the acquisition.</w:t>
      </w:r>
    </w:p>
    <w:p>
      <w:pPr>
        <w:spacing w:after="0" w:line="182" w:lineRule="exact"/>
        <w:rPr>
          <w:sz w:val="20"/>
          <w:szCs w:val="20"/>
          <w:color w:val="auto"/>
        </w:rPr>
      </w:pPr>
    </w:p>
    <w:p>
      <w:pPr>
        <w:ind w:right="40"/>
        <w:spacing w:after="0" w:line="340" w:lineRule="auto"/>
        <w:rPr>
          <w:sz w:val="20"/>
          <w:szCs w:val="20"/>
          <w:color w:val="auto"/>
        </w:rPr>
      </w:pPr>
      <w:r>
        <w:rPr>
          <w:rFonts w:ascii="Arial" w:cs="Arial" w:eastAsia="Arial" w:hAnsi="Arial"/>
          <w:sz w:val="16"/>
          <w:szCs w:val="16"/>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Under the acquisition method of accounting, the total purchase price is allocated to EGEN’s net tangible and intangible assets and liabilities based on their estimated fair values as of the acquisition date. The table below summarizes the preliminary estimated fair values of EGEN’s net tangible and intangible assets and liabilities on the acquisition date. The purchase price allocations are preliminary and subject to change as more detailed analyses are completed and additional information with respect to the fair values of the assets and liabilities acquired becomes available.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5"/>
        </w:trPr>
        <w:tc>
          <w:tcPr>
            <w:tcW w:w="91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25,802,000</w:t>
            </w:r>
          </w:p>
        </w:tc>
        <w:tc>
          <w:tcPr>
            <w:tcW w:w="100" w:type="dxa"/>
            <w:vAlign w:val="bottom"/>
          </w:tcPr>
          <w:p>
            <w:pPr>
              <w:spacing w:after="0"/>
              <w:rPr>
                <w:sz w:val="18"/>
                <w:szCs w:val="18"/>
                <w:color w:val="auto"/>
              </w:rPr>
            </w:pPr>
          </w:p>
        </w:tc>
      </w:tr>
      <w:tr>
        <w:trPr>
          <w:trHeight w:val="215"/>
        </w:trPr>
        <w:tc>
          <w:tcPr>
            <w:tcW w:w="9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120" w:type="dxa"/>
            <w:vAlign w:val="bottom"/>
          </w:tcPr>
          <w:p>
            <w:pPr>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27,813,000</w:t>
            </w:r>
          </w:p>
        </w:tc>
        <w:tc>
          <w:tcPr>
            <w:tcW w:w="100" w:type="dxa"/>
            <w:vAlign w:val="bottom"/>
          </w:tcPr>
          <w:p>
            <w:pPr>
              <w:spacing w:after="0"/>
              <w:rPr>
                <w:sz w:val="18"/>
                <w:szCs w:val="18"/>
                <w:color w:val="auto"/>
              </w:rPr>
            </w:pPr>
          </w:p>
        </w:tc>
      </w:tr>
      <w:tr>
        <w:trPr>
          <w:trHeight w:val="215"/>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(235,000)</w:t>
            </w:r>
          </w:p>
        </w:tc>
      </w:tr>
      <w:tr>
        <w:trPr>
          <w:trHeight w:val="209"/>
        </w:trPr>
        <w:tc>
          <w:tcPr>
            <w:tcW w:w="9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assets acquired</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top w:val="single" w:sz="8" w:color="CCEEFF"/>
            </w:tcBorders>
          </w:tcPr>
          <w:p>
            <w:pPr>
              <w:spacing w:after="0"/>
              <w:rPr>
                <w:sz w:val="18"/>
                <w:szCs w:val="18"/>
                <w:color w:val="auto"/>
              </w:rPr>
            </w:pPr>
          </w:p>
        </w:tc>
      </w:tr>
      <w:tr>
        <w:trPr>
          <w:trHeight w:val="20"/>
        </w:trPr>
        <w:tc>
          <w:tcPr>
            <w:tcW w:w="9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exceeds the estimated fair value of the net assets acquired by approximately $2.0 million which was recorded as goodwill.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(IPR&amp;D)</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With the acquisition, we obtained GEN-1, a DNA-based immunotherapy for the localized treatment of ovarian and brain cancers, and three platform technologies for the development of treatments for those suffering with difficult-to-treat forms of cancer, novel nucleic acid-based immunotherapies and other anti-cancer DNA or RNA therapies, including TheraPlas™ and TheraSilence™.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Acquired IPR&amp;D consists of EGEN's drug technology platforms: GEN-1, TheraPlas™ and TheraSilence™. The fair value of the IPR&amp;D drug technology platforms was estimated to be $25.8 million as of the acquisition date using the Multi-Period Excess Earnings Method (MPEEM) which is a form of the income approach. Under the MPEEM, the fair value of an intangible asset is equal to the present value of the asset’s incremental after-tax cash flows (excess earnings) remaining after deducting the market rates of return on the estimated value of contributory assets (contributory charge) over its remaining useful life.</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To calculate fair value of </w:t>
      </w:r>
      <w:r>
        <w:rPr>
          <w:rFonts w:ascii="Arial" w:cs="Arial" w:eastAsia="Arial" w:hAnsi="Arial"/>
          <w:sz w:val="16"/>
          <w:szCs w:val="16"/>
          <w:i w:val="1"/>
          <w:iCs w:val="1"/>
          <w:color w:val="auto"/>
        </w:rPr>
        <w:t>the IPR&amp;D</w:t>
      </w:r>
      <w:r>
        <w:rPr>
          <w:rFonts w:ascii="Arial" w:cs="Arial" w:eastAsia="Arial" w:hAnsi="Arial"/>
          <w:sz w:val="16"/>
          <w:szCs w:val="16"/>
          <w:color w:val="auto"/>
        </w:rPr>
        <w:t xml:space="preserve"> programs under the MPEEM, we used projected cash flows discounted at a rate considered appropriate given the significant inherent risks associated with drug development by development-stage companies. Cash flows were calculated based on estimated projections of revenues and expenses related to the IPR&amp;D programs and then reduced by a contributory charge on requisite assets employed. Contributory assets included debt-free working capital, net fixed assets and assembled workforce. Rates of return on the contributory assets were based on rates used for comparable market participants. Cash flows were assumed to extend through a seven-year market exclusivity period. The resultant cash flows were then discounted to present value using a weighted-average cost of equity capital for companies with profiles substantially similar to that of Celsion, which we believe represents the rate that market participants would use to value the assets. The projected cash flows were based on significant assumptions, including the indication in which we will pursue development of IPR&amp;D programs, the time and resources needed to complete the development and regulatory approval of IPR&amp;D programs, estimates of revenue and operating profit related to the program considering its stage of development, the life of the potential commercialized product, market penetration and competition, and risks associated with achieving commercialization, including delay or failure to obtain regulatory approvals to conduct clinical studies, failure of clinical studies, delay or failure to obtain required market clearances, and intellectual property litigation.</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the closing of the acquisition, the IPR&amp;D is considered indefinite lived intangible assets and will not be amortized. IPR&amp;D will be reviewed for possible impairment on an annual basis or more frequently if there appears to be an indication of impairment.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26" w:name="page27"/>
    <w:bookmarkEnd w:id="26"/>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GEN-1 OVATION Study. </w:t>
      </w:r>
      <w:r>
        <w:rPr>
          <w:rFonts w:ascii="Arial" w:cs="Arial" w:eastAsia="Arial" w:hAnsi="Arial"/>
          <w:sz w:val="18"/>
          <w:szCs w:val="18"/>
          <w:color w:val="auto"/>
        </w:rPr>
        <w:t>In February 2015, we announced that the FDA accepted, without objection, the Phase I dose-escalation clinical trial of GEN-1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with the standard of care in neo-adjuvant ovarian cancer (the OVATION Study). On September 30, 2015, we announced enrollment of the first patient in the OVATION Study. The OVATION Study will seek to identify a safe, tolerable and potentially therapeutically active dose of GEN-1 by recruiting and maximizing an immune response and is designed to enroll three to six patients per dose level and will evaluate safety and efficacy and attempt to define an optimal dose for a follow-on Phase I/II study combining GEN-1 with Avastin® and Doxil®. In addition, the OVATION Study establishes a unique opportunity to assess how cytokine-based compounds such as GEN-1, directly affect ovarian cancer cells and the tumor microenvironment in newly diagnosed patients. The study is designed to characterize the nature of the immune response triggered by GEN-1 at various levels of the patients' immune system, including:</w:t>
      </w:r>
    </w:p>
    <w:p>
      <w:pPr>
        <w:spacing w:after="0" w:line="190" w:lineRule="exact"/>
        <w:rPr>
          <w:sz w:val="20"/>
          <w:szCs w:val="20"/>
          <w:color w:val="auto"/>
        </w:rPr>
      </w:pPr>
    </w:p>
    <w:p>
      <w:pPr>
        <w:ind w:left="660" w:right="1060" w:hanging="396"/>
        <w:spacing w:after="0" w:line="27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60" w:right="1120" w:hanging="396"/>
        <w:spacing w:after="0" w:line="27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660" w:hanging="39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initiated the study at four clinical sites at the University of Alabama at Birmingham, Oklahoma University Medical Center, Washington University in St. Louis and the Medical College of Wisconsin. In February 2016, we announced the completion of enrollment of the first cohort of patients in the OVATION Study. The OVATION Study will continue into 2016 at higher doses of GEN-1 with the goal to identify a safe, tolerable and therapeutically active dose of GEN-1 by recruiting and maximizing an immune response.</w:t>
      </w:r>
    </w:p>
    <w:p>
      <w:pPr>
        <w:spacing w:after="0" w:line="185"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On May 2, 2016, we announced data from the first cohort of patients in the OVATION Study. In the first three patients dosed, GEN-1 plus standard chemotherapy produced positive results, with no dose limiting toxicities and promising efficacy signals leading to successful surgical outcomes as summarized below:</w:t>
      </w:r>
    </w:p>
    <w:p>
      <w:pPr>
        <w:spacing w:after="0" w:line="182" w:lineRule="exact"/>
        <w:rPr>
          <w:sz w:val="20"/>
          <w:szCs w:val="20"/>
          <w:color w:val="auto"/>
        </w:rPr>
      </w:pPr>
    </w:p>
    <w:p>
      <w:pPr>
        <w:ind w:left="660" w:right="1120" w:hanging="396"/>
        <w:spacing w:after="0" w:line="27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 the three patients treated in the first cohort, two patients demonstrated stable disease (SD) and one patient demonstrated a complete response (CR), as measured by RECIST criteria.</w:t>
      </w:r>
    </w:p>
    <w:p>
      <w:pPr>
        <w:spacing w:after="0" w:line="170" w:lineRule="exact"/>
        <w:rPr>
          <w:rFonts w:ascii="Arial" w:cs="Arial" w:eastAsia="Arial" w:hAnsi="Arial"/>
          <w:sz w:val="18"/>
          <w:szCs w:val="18"/>
          <w:color w:val="auto"/>
        </w:rPr>
      </w:pPr>
    </w:p>
    <w:p>
      <w:pPr>
        <w:ind w:left="660" w:right="820" w:hanging="396"/>
        <w:spacing w:after="0" w:line="340"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patients had successful resections of their tumors, with two patients having an R0 resection, which indicates a microscopically margin-negative resection in which no gross or microscopic tumor remains in the tumor bed, and one patient with an optimal R1 resection.</w:t>
      </w:r>
    </w:p>
    <w:p>
      <w:pPr>
        <w:spacing w:after="0" w:line="123" w:lineRule="exact"/>
        <w:rPr>
          <w:rFonts w:ascii="Arial" w:cs="Arial" w:eastAsia="Arial" w:hAnsi="Arial"/>
          <w:sz w:val="16"/>
          <w:szCs w:val="16"/>
          <w:color w:val="auto"/>
        </w:rPr>
      </w:pPr>
    </w:p>
    <w:p>
      <w:pPr>
        <w:ind w:left="660" w:right="1060" w:hanging="396"/>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 patient demonstrated a pathological complete response (pCR). pCRs are typically seen in less than 7% of patients receiving neoadjuvant chemotherapy followed by surgical resection, and have been associated with a median overall survival (OS) of 72 months, which is more than three years longer than those who do not experience a pCR¹.</w:t>
      </w:r>
    </w:p>
    <w:p>
      <w:pPr>
        <w:spacing w:after="0" w:line="182" w:lineRule="exact"/>
        <w:rPr>
          <w:rFonts w:ascii="Arial" w:cs="Arial" w:eastAsia="Arial" w:hAnsi="Arial"/>
          <w:sz w:val="18"/>
          <w:szCs w:val="18"/>
          <w:color w:val="auto"/>
        </w:rPr>
      </w:pPr>
    </w:p>
    <w:p>
      <w:pPr>
        <w:ind w:left="660" w:right="940" w:hanging="396"/>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patients experienced a dramatic &gt; 96% drop in their CA-125 protein levels as of their most recent study visit. CA-125 is used to monitor certain cancers during and after treatment. CA-125 is present in greater concentrations in ovarian cancer cells than in other cells. A 50% reduction in CA-125 levels is considered meaningful. All patients' CA-125 levels were below the standard cutoff level of 35 U/mL.</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i w:val="1"/>
          <w:iCs w:val="1"/>
          <w:color w:val="auto"/>
        </w:rPr>
        <w:t>GEN-1 Plus Doxil</w:t>
      </w:r>
      <w:r>
        <w:rPr>
          <w:rFonts w:ascii="Arial" w:cs="Arial" w:eastAsia="Arial" w:hAnsi="Arial"/>
          <w:sz w:val="28"/>
          <w:szCs w:val="28"/>
          <w:b w:val="1"/>
          <w:bCs w:val="1"/>
          <w:i w:val="1"/>
          <w:iCs w:val="1"/>
          <w:color w:val="auto"/>
          <w:vertAlign w:val="superscript"/>
        </w:rPr>
        <w:t>®</w:t>
      </w:r>
      <w:r>
        <w:rPr>
          <w:rFonts w:ascii="Arial" w:cs="Arial" w:eastAsia="Arial" w:hAnsi="Arial"/>
          <w:sz w:val="17"/>
          <w:szCs w:val="17"/>
          <w:b w:val="1"/>
          <w:bCs w:val="1"/>
          <w:i w:val="1"/>
          <w:iCs w:val="1"/>
          <w:color w:val="auto"/>
        </w:rPr>
        <w:t xml:space="preserve"> and Avastin</w:t>
      </w:r>
      <w:r>
        <w:rPr>
          <w:rFonts w:ascii="Arial" w:cs="Arial" w:eastAsia="Arial" w:hAnsi="Arial"/>
          <w:sz w:val="28"/>
          <w:szCs w:val="28"/>
          <w:b w:val="1"/>
          <w:bCs w:val="1"/>
          <w:i w:val="1"/>
          <w:iCs w:val="1"/>
          <w:color w:val="auto"/>
          <w:vertAlign w:val="superscript"/>
        </w:rPr>
        <w:t>®</w:t>
      </w:r>
      <w:r>
        <w:rPr>
          <w:rFonts w:ascii="Arial" w:cs="Arial" w:eastAsia="Arial" w:hAnsi="Arial"/>
          <w:sz w:val="17"/>
          <w:szCs w:val="17"/>
          <w:b w:val="1"/>
          <w:bCs w:val="1"/>
          <w:i w:val="1"/>
          <w:iCs w:val="1"/>
          <w:color w:val="auto"/>
        </w:rPr>
        <w:t xml:space="preserve"> Trial. </w:t>
      </w:r>
      <w:r>
        <w:rPr>
          <w:rFonts w:ascii="Arial" w:cs="Arial" w:eastAsia="Arial" w:hAnsi="Arial"/>
          <w:sz w:val="17"/>
          <w:szCs w:val="17"/>
          <w:color w:val="auto"/>
        </w:rPr>
        <w:t>On April 29, 2015, we announced the expansion of our ovarian cancer development program to include a Phase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dose escalating trial to evaluate GEN-1 in combination with Avastin® and Doxil® in platinum-resistant ovarian cancer patients. We expect to enroll patients beginning in the second half of 2016. This new combination study in platinum-resistant ovarian cancer is supported by three preclinical studies indicating that the combination of GEN-1 with Avastin® may result in significant clinical benefit with a favorable safety profile. Specifically:</w:t>
      </w:r>
    </w:p>
    <w:p>
      <w:pPr>
        <w:spacing w:after="0" w:line="202" w:lineRule="exact"/>
        <w:rPr>
          <w:sz w:val="20"/>
          <w:szCs w:val="20"/>
          <w:color w:val="auto"/>
        </w:rPr>
      </w:pPr>
    </w:p>
    <w:p>
      <w:pPr>
        <w:jc w:val="both"/>
        <w:ind w:left="500" w:right="260" w:hanging="371"/>
        <w:spacing w:after="0" w:line="258"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two preclinical studies using an animal model of disseminated ovarian cancer, GEN-1 in combination with Avastin® led to a significant reduction in tumor burden and disease progression. The effectiveness of the combined treatment was seen when GEN-1 was combined with various dose levels of Avastin® (low-medium-high). Additionally, it was shown that GEN-1 treatment alone resulted in anti-tumor activity that was as good as or better than Avastin® treatment alone.</w:t>
      </w:r>
    </w:p>
    <w:p>
      <w:pPr>
        <w:spacing w:after="0" w:line="185" w:lineRule="exact"/>
        <w:rPr>
          <w:rFonts w:ascii="Arial" w:cs="Arial" w:eastAsia="Arial" w:hAnsi="Arial"/>
          <w:sz w:val="18"/>
          <w:szCs w:val="18"/>
          <w:color w:val="auto"/>
        </w:rPr>
      </w:pPr>
    </w:p>
    <w:p>
      <w:pPr>
        <w:jc w:val="both"/>
        <w:ind w:left="460" w:right="140" w:hanging="331"/>
        <w:spacing w:after="0" w:line="262"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preclinical studies indicated that no obvious overt toxicities were associated with the combined treatments. The preclinical data are also consistent with the mechanism of action for GEN-1, which exhibits certain anti-angiogenic properties and suggests that combining GEN-1 with lower doses of Avastin® may enhance efficacy and help reduce the known toxicities associated with this anti-VEGF drug.</w:t>
      </w:r>
    </w:p>
    <w:p>
      <w:pPr>
        <w:spacing w:after="0" w:line="182" w:lineRule="exact"/>
        <w:rPr>
          <w:rFonts w:ascii="Arial" w:cs="Arial" w:eastAsia="Arial" w:hAnsi="Arial"/>
          <w:sz w:val="18"/>
          <w:szCs w:val="18"/>
          <w:color w:val="auto"/>
        </w:rPr>
      </w:pPr>
    </w:p>
    <w:p>
      <w:pPr>
        <w:jc w:val="both"/>
        <w:ind w:left="500" w:right="260" w:hanging="371"/>
        <w:spacing w:after="0" w:line="258"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distinct biological activities of GEN-1 (immune stimulation) and Avastin® (inhibition of tumor blood vessel formation) makes a sound scientific rationale for this combination approach. Additionally, the anti-angiogenic activity of GEN-1 mediated through up regulation of the interferon gamma (IFN-g) pathway may help to explain the remarkable synergy between GEN-1 and Avastin® and potentially addresses the VEGF escape mechanisms associated with resistance to Avastin® therapy.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and Debt Financings</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During 2015 and 2014 and thus far in 2016, we issued a total of 6.9 million shares of common stock; in the following equity transactions for an aggregate $23.6 million in gross proceeds.</w:t>
      </w:r>
    </w:p>
    <w:p>
      <w:pPr>
        <w:spacing w:after="0" w:line="171" w:lineRule="exact"/>
        <w:rPr>
          <w:sz w:val="20"/>
          <w:szCs w:val="20"/>
          <w:color w:val="auto"/>
        </w:rPr>
      </w:pPr>
    </w:p>
    <w:p>
      <w:pPr>
        <w:jc w:val="both"/>
        <w:ind w:left="440" w:right="800" w:hanging="217"/>
        <w:spacing w:after="0" w:line="262"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January 15, 2014, we entered into a Securities Purchase Agreement with certain institutional investors, pursuant to which the Company sold, in a registered offering, an aggregate of 3,603,604 shares of its common stock and warrants to purchase up to 1,801,802 shares of common stock, for an aggregate purchase price of approximately $15 million.</w:t>
      </w:r>
    </w:p>
    <w:p>
      <w:pPr>
        <w:spacing w:after="0" w:line="182" w:lineRule="exact"/>
        <w:rPr>
          <w:rFonts w:ascii="Arial" w:cs="Arial" w:eastAsia="Arial" w:hAnsi="Arial"/>
          <w:sz w:val="18"/>
          <w:szCs w:val="18"/>
          <w:color w:val="auto"/>
        </w:rPr>
      </w:pPr>
    </w:p>
    <w:p>
      <w:pPr>
        <w:jc w:val="both"/>
        <w:ind w:left="440" w:right="800" w:hanging="217"/>
        <w:spacing w:after="0" w:line="258"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May 27, 2015, the Company entered into a Securities Purchase Agreement with certain institutional investors, pursuant to which the Company sold, in a registered direct offering, an aggregate of 3,000,000 shares of common stock, for an aggregate purchase price of approximately $8.0 million. In a concurrent private placement, the Company issued to the same investors warrants to purchase up to 1,950,000 shares of common stock.</w:t>
      </w:r>
    </w:p>
    <w:p>
      <w:pPr>
        <w:spacing w:after="0" w:line="162" w:lineRule="exact"/>
        <w:rPr>
          <w:rFonts w:ascii="Arial" w:cs="Arial" w:eastAsia="Arial" w:hAnsi="Arial"/>
          <w:sz w:val="18"/>
          <w:szCs w:val="18"/>
          <w:color w:val="auto"/>
        </w:rPr>
      </w:pPr>
    </w:p>
    <w:p>
      <w:pPr>
        <w:ind w:left="440" w:right="800" w:hanging="217"/>
        <w:spacing w:after="0" w:line="248"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a party 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(ATM) dated as of February 1, 2013 with Cantor Fitzgerald &amp; Co., pursuant to which we may sell additional shares of our common stock having an aggregate offering price of up to $25 million through “at-the-market” equity offerings from time to time. From February 1, 2013 through February 25, 2013, the Company sold and issued an aggregate of 1,195,927 shares of common stock under the ATM, receiving approximately $6.8 million in net proceeds. The Company did not have any sales under the ATM from February 25, 2013 through September 30, 2015. On October 2, 2015, the Company filed a prospectus supplement whereby it registered $7.5 million of the remaining availability under the ATM. During the fourth quarter of 2015, the Company sold an aggregate of 283,608 shares for gross proceeds of $0.6 million.</w:t>
      </w:r>
    </w:p>
    <w:p>
      <w:pPr>
        <w:spacing w:after="0" w:line="19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On June 20, 2014, we completed the acquisition of substantially all of the assets of EGEN, Inc. At the closing, we paid approximately $3.0 million in cash and issued 2,712,188 shares of its common stock to EGEN. In addition, 670,070 shares of common stock are issuable to EGEN on or after August 2, 2016 pending satisfactory resolution of any post-closing adjustments of expenses and EGEN’s indemnification obligations under the EGEN Purchase Agreement</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we entered into a loan agreement on November 25, 2013 with Hercules Technology Growth Capital, Inc. (Hercules), pursuant to which we may borrow a secured term loan of up to $20 million in multiple tranches (the Hercules Credit Agreement). The loan bears interest at a floating per annum rate equal to the greater of (i) 11.25 percent and (ii) the sum of 11.25 percent plus the prime rate minus 3.25 percent. Payments under the loan agreement are interest only for the first twelve months after loan closing, followed by a 30-month amortization period of principal and interest through the scheduled maturity date. We drew the first tranche of $5 million on November 25, 2013 and may request, subject to Hercules’ consent in its sole discretion, an additional $15 million in up to three advances with each advance in a minimum amount of $5 million before June 30, 2014 unless extended upon Hercules’ consent. We used approximately $4 million of the first tranche to repay the outstanding obligations under a loan agreement with Oxford Finance LLC and Horizon Technology Finance Corporation. On June 9, 2014, we borrowed an additional $5 million and used the loan proceeds to pay the upfront cash payment to EGEN at closing and certain transaction costs incurred in connection with the acquisition.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that our cash and cash equivalents of $14.3 million on hand at March 31, 2016, coupled with our access to the ATM, are sufficient to fund operations through the first quarter of 2017.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To complete the development and commercialization of our products, we will need to raise substantial amounts of additional capital to fund our operations. We do not have any committed sources of financing and cannot give assurance that alternate funding will be available in a timely manner, on acceptable terms or at all. We may need to pursue dilutive equity financings, such as the issuance of shares of common stock, preferred stock, convertible debt or other convertible or exercisable securities, which financings could dilute the percentage ownership of our current common stockholders and could significantly lower the market value of our common stock.</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Please refer to Item IA, Risk Factors, including, but not limited to, “</w:t>
      </w:r>
      <w:r>
        <w:rPr>
          <w:rFonts w:ascii="Arial" w:cs="Arial" w:eastAsia="Arial" w:hAnsi="Arial"/>
          <w:sz w:val="18"/>
          <w:szCs w:val="18"/>
          <w:b w:val="1"/>
          <w:bCs w:val="1"/>
          <w:i w:val="1"/>
          <w:iCs w:val="1"/>
          <w:color w:val="auto"/>
        </w:rPr>
        <w:t>We will need to raise substantial additional capital to fund our planned future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operations, and we may be unable to secure such capital without dilutive financing transactions. If we are not able to raise additional capital, we may not be able to complete the development, testing and commercialization of our product candidates</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28" w:name="page29"/>
    <w:bookmarkEnd w:id="28"/>
    <w:p>
      <w:pPr>
        <w:jc w:val="both"/>
        <w:spacing w:after="0" w:line="262"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FOR THE THREE MONTHS ENDED MARCH 31, 2016 AND 2015</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For the three months ended March 31, 2016, our net loss was $5.7 million compared to a net loss of $7.0 million for the same period of 2015. As of March 31, 2016, we had $14.3 million in cash and cash equivalents.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9"/>
          </w:tcPr>
          <w:p>
            <w:pPr>
              <w:jc w:val="right"/>
              <w:ind w:right="1030"/>
              <w:spacing w:after="0"/>
              <w:rPr>
                <w:sz w:val="20"/>
                <w:szCs w:val="20"/>
                <w:color w:val="auto"/>
              </w:rPr>
            </w:pPr>
            <w:r>
              <w:rPr>
                <w:rFonts w:ascii="Arial" w:cs="Arial" w:eastAsia="Arial" w:hAnsi="Arial"/>
                <w:sz w:val="18"/>
                <w:szCs w:val="18"/>
                <w:b w:val="1"/>
                <w:bCs w:val="1"/>
                <w:color w:val="auto"/>
              </w:rPr>
              <w:t>Three Months Ended March 31,</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jc w:val="center"/>
              <w:spacing w:after="0" w:line="190" w:lineRule="exact"/>
              <w:rPr>
                <w:sz w:val="20"/>
                <w:szCs w:val="20"/>
                <w:color w:val="auto"/>
              </w:rPr>
            </w:pPr>
            <w:r>
              <w:rPr>
                <w:rFonts w:ascii="Arial" w:cs="Arial" w:eastAsia="Arial" w:hAnsi="Arial"/>
                <w:sz w:val="18"/>
                <w:szCs w:val="18"/>
                <w:b w:val="1"/>
                <w:bCs w:val="1"/>
                <w:color w:val="auto"/>
                <w:w w:val="87"/>
              </w:rPr>
              <w:t>Change</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Increase (Decrease)</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3"/>
          </w:tcPr>
          <w:p>
            <w:pPr>
              <w:spacing w:after="0"/>
              <w:rPr>
                <w:sz w:val="18"/>
                <w:szCs w:val="18"/>
                <w:color w:val="auto"/>
              </w:rPr>
            </w:pPr>
          </w:p>
        </w:tc>
        <w:tc>
          <w:tcPr>
            <w:tcW w:w="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760" w:type="dxa"/>
            <w:vAlign w:val="bottom"/>
            <w:gridSpan w:val="3"/>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6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2,809</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3,299</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(490)</w:t>
            </w:r>
          </w:p>
        </w:tc>
        <w:tc>
          <w:tcPr>
            <w:tcW w:w="6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5"/>
        </w:trPr>
        <w:tc>
          <w:tcPr>
            <w:tcW w:w="4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Chemistry, Manufacturing and Controls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w:t>
            </w:r>
          </w:p>
        </w:tc>
        <w:tc>
          <w:tcPr>
            <w:tcW w:w="6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
        </w:trPr>
        <w:tc>
          <w:tcPr>
            <w:tcW w:w="49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4,506</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(1,065)</w:t>
            </w:r>
          </w:p>
        </w:tc>
        <w:tc>
          <w:tcPr>
            <w:tcW w:w="6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5"/>
        </w:trPr>
        <w:tc>
          <w:tcPr>
            <w:tcW w:w="4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w:t>
            </w:r>
          </w:p>
        </w:tc>
        <w:tc>
          <w:tcPr>
            <w:tcW w:w="6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9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6,538</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(1,234)</w:t>
            </w:r>
          </w:p>
        </w:tc>
        <w:tc>
          <w:tcPr>
            <w:tcW w:w="6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9"/>
        </w:trPr>
        <w:tc>
          <w:tcPr>
            <w:tcW w:w="496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(5,179)</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(6,413)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1,234</w:t>
            </w:r>
          </w:p>
        </w:tc>
        <w:tc>
          <w:tcPr>
            <w:tcW w:w="660" w:type="dxa"/>
            <w:vAlign w:val="bottom"/>
          </w:tcPr>
          <w:p>
            <w:pPr>
              <w:spacing w:after="0"/>
              <w:rPr>
                <w:sz w:val="18"/>
                <w:szCs w:val="18"/>
                <w:color w:val="auto"/>
              </w:rPr>
            </w:pPr>
          </w:p>
        </w:tc>
        <w:tc>
          <w:tcPr>
            <w:tcW w:w="680" w:type="dxa"/>
            <w:vAlign w:val="bottom"/>
            <w:gridSpan w:val="2"/>
          </w:tcPr>
          <w:p>
            <w:pPr>
              <w:jc w:val="right"/>
              <w:ind w:right="60"/>
              <w:spacing w:after="0" w:line="216" w:lineRule="exact"/>
              <w:rPr>
                <w:sz w:val="20"/>
                <w:szCs w:val="20"/>
                <w:color w:val="auto"/>
              </w:rPr>
            </w:pPr>
            <w:r>
              <w:rPr>
                <w:rFonts w:ascii="Arial" w:cs="Arial" w:eastAsia="Arial" w:hAnsi="Arial"/>
                <w:sz w:val="14"/>
                <w:szCs w:val="14"/>
                <w:color w:val="auto"/>
              </w:rPr>
              <w:t>19.2</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88"/>
              </w:rPr>
              <w:t>Comparison of the Three Months ended March 31, 2016 and 2015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 year term of the agreement; therefore we recorded deferred revenue of $125,000 in each of the first quarters of 2016 and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(R&amp;D) expenses decreased by $1.1 million to $3.4 million in the first quarter of 2016 from $4.5 million in the same period of 2015. Costs associated with the OPTIMA Study were $1.0 million in the first quarter of 2016 compared to $1.1 million in the same period of 2015. Study costs associated with the HEAT Study were relatively insignificant in the first quarter of 2016 compared to $0.2 million in the same period of 2015. The costs associated with the HEAT Study are expected to be minimal as we continue to follow patients for overall survival only. Costs associated with our recurrent chest wall breast cancer clinical trial were relatively insignificant in the first quarter of 2016 compared to $0.1 million in the same period of 2015. Other clinical costs were $0.9 million and $0.4 million in the first quarters of 2016 and 2015, respectively. Other R&amp;D costs were $0.1 million and $0.4 million in the first quarters of 2016 and 2015, respectively. Costs associated with the production of ThermoDox® to support the OPTIMA Study decreased to $0.6 million in the first quarter of 2016 compared to $1.2 million the same period of 2015. Costs associated with the research and development of GEN-1 was $0.8 million in the first quarter of 2016 compared to $1.1 million the same period of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General and administrative (G&amp;A) expenses remained comparable at $1.9 million in the first quarter of 2016 and $2.0 million the same period of 2015. We continue to take those steps necessary to reduce our overall expenses.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 As of March 31, 2016, the Company fair valued these milestones at $14.2 million and recognized a non-cash charge of $0.3 million as a result of the change in the fair value of these milestones from $13.9 million at December 31, 2015. The Company recognized a non-cash charge of $0.2 million in the first quarter of 2015 as a result of the change in the fair value of these milestones at $13.8 million at March 31, 2015 from $13.6 million at December 31, 2014.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In connection with its debt facilities the Company incurred $0.2 million and $0.4 million in interest expense in the three month periods ended March 31, 2016 and 2015,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Warrant Liability and Other (expense) income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Change in warrant liability and other (expense) income for the first quarters of 2016 and 2015 was not significant.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 development agreement with Hisun. The process of developing and commercializing ThermoDox®,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$224 million at March 31, 2016.</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March 31, 2016, we had total current assets of $14.7 million (including cash and cash equivalents of $14.3 million) and current liabilities of $9.6 million, resulting in net working capital of $5.1 million. At December 31, 2015 we had total current assets of $20.3 million (including cash, cash equivalents and short term investments and related interest receivable on short term investments of $20.1 million) and current liabilities of $9.3 million, resulting in net working capital of $11.0 million.</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used in operating activities for the three month period of 2016 was $4.7 million. Our 2016 net loss for the three month period ended March 31, 2016 included $0.6 million in non-cash stock-based compensation expense and $0.3 million in a non-cash charge based on the change in the earn-out milestone liability.</w:t>
      </w:r>
    </w:p>
    <w:p>
      <w:pPr>
        <w:spacing w:after="0" w:line="18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$4.7 million net cash used in operating activities was mostly funded from cash and short term investments. At March 31, 2016, we had cash and cash equivalents of $14.3 million.</w:t>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Net cash used in financing activities was $1.0 million during the three month period ended March 31, 2016 which was $1.0 million in debt service payments under the Hercules Credit Agreement.</w:t>
      </w:r>
    </w:p>
    <w:p>
      <w:pPr>
        <w:spacing w:after="0" w:line="14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 February 2013, we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(ATM) with Cantor Fitzgerald &amp; Co., as sales agent (Cantor), pursuant to which we may offer and sell, from time to time, through Cantor, shares of our common stock having an aggregate offering price of up to $25.0 million (the ATM Shares) pursuant to our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We will pay Cantor a commission of three percent of the aggregate gross proceeds from each sale of ATM Shares. We have sold and issued an aggregate of 1,479,535 shares under the ATM Agreement so far, receiving approximately $7.4 million in net proceeds.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cash and investment resources of $14.3 million on hand at March 31, 2016, coupled with the remaining availability of $17.4 million under the ATM, are sufficient to fund operations through the first quarter of 2017.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30" w:name="page31"/>
    <w:bookmarkEnd w:id="30"/>
    <w:p>
      <w:pPr>
        <w:jc w:val="both"/>
        <w:spacing w:after="0" w:line="287" w:lineRule="auto"/>
        <w:rPr>
          <w:sz w:val="20"/>
          <w:szCs w:val="20"/>
          <w:color w:val="auto"/>
        </w:rPr>
      </w:pPr>
      <w:r>
        <w:rPr>
          <w:rFonts w:ascii="Arial" w:cs="Arial" w:eastAsia="Arial" w:hAnsi="Arial"/>
          <w:sz w:val="16"/>
          <w:szCs w:val="16"/>
          <w:color w:val="auto"/>
        </w:rPr>
        <w:t>We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no off-balance sheet financing arrangements. There were no material changes during the three months ended March 31, 2016 to our operating leases, which are disclosed in the contractual commitments table in our Annual Report on Form 10-K and on Form 10K/A for the fiscal year ended December 31, 2015 filed on March 30, 2016 and April 29, 2016, respectively, with the Securities and Exchange Commission.</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 ABOUT MARKET RISK</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balance sheet at fair value with unrealized gains or losses reported as a component of accumulated other comprehensive loss included in stockholders’ equity.</w:t>
      </w:r>
    </w:p>
    <w:p>
      <w:pPr>
        <w:spacing w:after="0" w:line="1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March 31, 2016, which is the end of the period covered by this report, our disclosure controls and procedures are effective at the reasonable assurance level in alerting them in a timely manner to material information required to be included in our periodic reports with the Securities and Exchange Commission.</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paragraph (d) of Rule 13a-15 of the Securities Exchange Act of 1934, as amended, that occurred during the three months ended March 31, 2016 that have materially affected, or are reasonably likely to materially affect, our internal controls over financial reporting.</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following is a summary of the risk factors, uncertainties and assumptions that we believe are most relevant to our business. These are factors that, individually or in the aggregate, we think could cause our actual results to differ significantly from anticipated or historical results and our forward-looking statements.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2015 filed on March 30, 2016 with the Securities and Exchange Commission (SEC) and on Form 10-K/A for the fiscal year ended December 31, 2015 filed on April 29, 2016 with the SEC. In assessing these risks, investors should also refer to the other information contained or incorporated by reference in this Quarterly Report and our other filings made from time to time with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Since our inception, our expenses have substantially exceeded our revenue, resulting in continuing losses and an accumulated deficit of $224 million at March 31, 2016. For the years ended December 31, 2013, 2014 and 2015 and the three months ended March 31, 2016, we incurred a net loss of $8.3 million, $25.5 million, $22.5 million and $5.7 million, respectively. We currently have no product revenue and do not expect to generate any product revenue for the foreseeable future other than through the sale of our proprietary reagent products for life science research, which products are based on our newly acquired proprietary delivery platform technologies, TheraPlas™ and TheraSilence™.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U.S.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 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meets its primary endpoint in the Phase III HEAT Study.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 In addition, we have initiated a Phase I dose-escalation clinical trial of GEN-1 in combination with the standard of care in neo-adjuvant ovarian cancer, known as the OVATION Study, and plan to expand our ovarian cancer development program to include a Phase I dose escalating trial evaluating GEN-1 in combination with Avastin® and Doxil® in platinum-resistant ovarian cancer patients.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5"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requires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 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the first half of 2014. ThermoDox® is currently also being evaluated in a Phase II clinical trial for the treatment of recurrent chest wall breast cancer, known as the DIGNITY Study, and other preclinical studies. GEN-1 is currently in an early stage of clinical development for the treatment of ovarian cancer. We initiated a Phase I dose-escalation clinical trial of GEN-1 in combination with the standard of care in neo-adjuvant ovarian cancer in the second half of 2015 and plan to expand our ovarian cancer development program to include a Phase I dose escalating trial evaluating GEN-1 in combination with Avastin® and Doxil® in platinum-resistant ovarian cancer patients. The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33" w:name="page34"/>
    <w:bookmarkEnd w:id="33"/>
    <w:p>
      <w:pPr>
        <w:jc w:val="both"/>
        <w:spacing w:after="0" w:line="264" w:lineRule="auto"/>
        <w:rPr>
          <w:sz w:val="20"/>
          <w:szCs w:val="20"/>
          <w:color w:val="auto"/>
        </w:rPr>
      </w:pPr>
      <w:r>
        <w:rPr>
          <w:rFonts w:ascii="Arial" w:cs="Arial" w:eastAsia="Arial" w:hAnsi="Arial"/>
          <w:sz w:val="18"/>
          <w:szCs w:val="18"/>
          <w:b w:val="1"/>
          <w:bCs w:val="1"/>
          <w:color w:val="auto"/>
        </w:rPr>
        <w:t>We will 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March 31, 2016, we had approximately $14.3 million in cash and cash equivalents. We have substantial future capital requirements to continue our research and development activities and advance our drug candidates through various development stages, including the product candidates and technology platforms that we purchased from EGEN in June 2014. For example, ThermoDox® is being evaluated in a Phase III clinical trial in combination with RFA for the treatment of primary liver cancer, a Phase II clinical trial for the treatment of recurrent chest wall breast cancer and other preclinical studies. We initiated a Phase I dose-escalation clinical trial of GEN-1 in combination with the standard of care in neo-adjuvant ovarian cancer in the second half of 2015 and plan to expand our ovarian cancer development program to include a Phase I dose escalating trial evaluating GEN-1 in combination with Avastin® and Doxil® in platinum-resistant ovarian cancer patients. We will continue to conduct additional analyses of the data from the HEAT Study to assess the future strategic value of ThermoDox® and are performing sub-group analysis of the Chinese cohort of patients in the HEAT Study and other activities for further development of ThermoDox® for mainland China, Hong Kong and Macau. 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8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58" w:lineRule="exact"/>
        <w:rPr>
          <w:sz w:val="20"/>
          <w:szCs w:val="20"/>
          <w:color w:val="auto"/>
        </w:rPr>
      </w:pPr>
    </w:p>
    <w:p>
      <w:pPr>
        <w:jc w:val="both"/>
        <w:ind w:right="20"/>
        <w:spacing w:after="0" w:line="310" w:lineRule="auto"/>
        <w:rPr>
          <w:sz w:val="20"/>
          <w:szCs w:val="20"/>
          <w:color w:val="auto"/>
        </w:rPr>
      </w:pPr>
      <w:r>
        <w:rPr>
          <w:rFonts w:ascii="Arial" w:cs="Arial" w:eastAsia="Arial" w:hAnsi="Arial"/>
          <w:sz w:val="17"/>
          <w:szCs w:val="17"/>
          <w:b w:val="1"/>
          <w:bCs w:val="1"/>
          <w:color w:val="auto"/>
        </w:rPr>
        <w:t>Failure to successfully integrate the assets we acquired from EGEN in June 2014 into our operations could adversely affect our ability to develop and commercialize product candidates or negatively impact our business, results of operations and financial conditions.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20, 2014, we completed the acquisition of substantially all of the assets of EGEN, a privately-held biopharmaceutical company focused on the development of nucleic acid-based therapeutics for the treatment of cancer and other difficult to treat diseases. The acquisition included EGEN’s Phase Ib DNA-based immunotherapy product candidate GEN-1 (formerly known as EGEN-001) and its therapeutic platform technologies, TheraPlas™ for delivery of DNA and mRNA, and TheraSilence™ for delivery of RNA. The success of the EGEN acquisition, including the realization of anticipated benefits and cost savings, will depend, in part, on our ability to combine successfully the business we acquired from EGEN with the business of Celsion. Our integration of the acquired operations and product candidates requires significant efforts, including the coordination of research and development, manufacturing, finance, information technologies and management and administration. These integration efforts will result in additional expenses and require significant time and dedication from management, and may divert management attention and resources. The integration may be more difficult, costly or time consuming than expected. It is possible that the integration process could result in the loss of key employees or the disruption of our ongoing business or that the alignment of standards, controls, procedures and policies may adversely affect the combined company’s ability to maintain relationships with suppliers, manufacturers, other vendors or employees or to fully achieve the anticipated benefits and cost savings of the transaction.</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the EGEN acquisition may result in our assumption of material unknown or unexpected liabilities. If we experience difficulties with the integration process, the anticipated benefits of the transaction may not be realized fully or at all, or may take longer to realize than expected to materialize. Factors that will affect the success of the acquisition include our ability to execute our business strategy, results of clinical trials and regulatory approvals related to the acquired product candidates and platform technologies, our ability to adequately fund acquired in-process research and development projects and retain key employees, as well as our ability to achieve financial and operational synergies with the acquired business, such as by achieving cost savings and effectively developing product candidates. Our failure to successfully manage and coordinate the growth of our newly acquired business could have a material adverse impact on our business, results of operations and financial condition. In addition, we cannot be certain that the product candidates we acquired will be approved for marketing and commercialization, become profitable or remain so or that we will realize operational cost savings or other expected synergies of the acquisition. If the acquisition and integration are not successful, we may record related asset impairment charges in the future.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34" w:name="page35"/>
    <w:bookmarkEnd w:id="34"/>
    <w:p>
      <w:pPr>
        <w:jc w:val="both"/>
        <w:spacing w:after="0" w:line="310"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4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Strategic transactions, such as acquisitions, partnerships and collaborations, including the EGEN acquisition, involve numerous risks, including:</w:t>
      </w:r>
    </w:p>
    <w:p>
      <w:pPr>
        <w:spacing w:after="0" w:line="223" w:lineRule="exact"/>
        <w:rPr>
          <w:sz w:val="20"/>
          <w:szCs w:val="20"/>
          <w:color w:val="auto"/>
        </w:rPr>
      </w:pPr>
    </w:p>
    <w:p>
      <w:pPr>
        <w:ind w:left="240" w:hanging="188"/>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23" w:lineRule="exact"/>
        <w:rPr>
          <w:rFonts w:ascii="Arial" w:cs="Arial" w:eastAsia="Arial" w:hAnsi="Arial"/>
          <w:sz w:val="18"/>
          <w:szCs w:val="18"/>
          <w:color w:val="auto"/>
        </w:rPr>
      </w:pPr>
    </w:p>
    <w:p>
      <w:pPr>
        <w:ind w:left="240" w:hanging="188"/>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23" w:lineRule="exact"/>
        <w:rPr>
          <w:rFonts w:ascii="Arial" w:cs="Arial" w:eastAsia="Arial" w:hAnsi="Arial"/>
          <w:sz w:val="18"/>
          <w:szCs w:val="18"/>
          <w:color w:val="auto"/>
        </w:rPr>
      </w:pPr>
    </w:p>
    <w:p>
      <w:pPr>
        <w:ind w:left="240" w:hanging="188"/>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223" w:lineRule="exact"/>
        <w:rPr>
          <w:rFonts w:ascii="Arial" w:cs="Arial" w:eastAsia="Arial" w:hAnsi="Arial"/>
          <w:sz w:val="18"/>
          <w:szCs w:val="18"/>
          <w:color w:val="auto"/>
        </w:rPr>
      </w:pPr>
    </w:p>
    <w:p>
      <w:pPr>
        <w:ind w:left="240" w:right="140" w:hanging="188"/>
        <w:spacing w:after="0" w:line="275" w:lineRule="auto"/>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70" w:lineRule="exact"/>
        <w:rPr>
          <w:rFonts w:ascii="Arial" w:cs="Arial" w:eastAsia="Arial" w:hAnsi="Arial"/>
          <w:sz w:val="18"/>
          <w:szCs w:val="18"/>
          <w:color w:val="auto"/>
        </w:rPr>
      </w:pPr>
    </w:p>
    <w:p>
      <w:pPr>
        <w:ind w:left="240" w:hanging="188"/>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23" w:lineRule="exact"/>
        <w:rPr>
          <w:rFonts w:ascii="Arial" w:cs="Arial" w:eastAsia="Arial" w:hAnsi="Arial"/>
          <w:sz w:val="18"/>
          <w:szCs w:val="18"/>
          <w:color w:val="auto"/>
        </w:rPr>
      </w:pPr>
    </w:p>
    <w:p>
      <w:pPr>
        <w:ind w:left="240" w:right="140" w:hanging="188"/>
        <w:spacing w:after="0" w:line="275" w:lineRule="auto"/>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70" w:lineRule="exact"/>
        <w:rPr>
          <w:rFonts w:ascii="Arial" w:cs="Arial" w:eastAsia="Arial" w:hAnsi="Arial"/>
          <w:sz w:val="18"/>
          <w:szCs w:val="18"/>
          <w:color w:val="auto"/>
        </w:rPr>
      </w:pPr>
    </w:p>
    <w:p>
      <w:pPr>
        <w:ind w:left="240" w:right="140" w:hanging="188"/>
        <w:spacing w:after="0" w:line="275" w:lineRule="auto"/>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70" w:lineRule="exact"/>
        <w:rPr>
          <w:rFonts w:ascii="Arial" w:cs="Arial" w:eastAsia="Arial" w:hAnsi="Arial"/>
          <w:sz w:val="18"/>
          <w:szCs w:val="18"/>
          <w:color w:val="auto"/>
        </w:rPr>
      </w:pPr>
    </w:p>
    <w:p>
      <w:pPr>
        <w:ind w:left="240" w:hanging="188"/>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3" w:lineRule="exact"/>
        <w:rPr>
          <w:rFonts w:ascii="Arial" w:cs="Arial" w:eastAsia="Arial" w:hAnsi="Arial"/>
          <w:sz w:val="18"/>
          <w:szCs w:val="18"/>
          <w:color w:val="auto"/>
        </w:rPr>
      </w:pPr>
    </w:p>
    <w:p>
      <w:pPr>
        <w:ind w:left="240" w:hanging="188"/>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23" w:lineRule="exact"/>
        <w:rPr>
          <w:rFonts w:ascii="Arial" w:cs="Arial" w:eastAsia="Arial" w:hAnsi="Arial"/>
          <w:sz w:val="18"/>
          <w:szCs w:val="18"/>
          <w:color w:val="auto"/>
        </w:rPr>
      </w:pPr>
    </w:p>
    <w:p>
      <w:pPr>
        <w:ind w:left="240" w:hanging="188"/>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223" w:lineRule="exact"/>
        <w:rPr>
          <w:rFonts w:ascii="Arial" w:cs="Arial" w:eastAsia="Arial" w:hAnsi="Arial"/>
          <w:sz w:val="18"/>
          <w:szCs w:val="18"/>
          <w:color w:val="auto"/>
        </w:rPr>
      </w:pPr>
    </w:p>
    <w:p>
      <w:pPr>
        <w:ind w:left="240" w:right="140" w:hanging="188"/>
        <w:spacing w:after="0" w:line="275" w:lineRule="auto"/>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70" w:lineRule="exact"/>
        <w:rPr>
          <w:rFonts w:ascii="Arial" w:cs="Arial" w:eastAsia="Arial" w:hAnsi="Arial"/>
          <w:sz w:val="18"/>
          <w:szCs w:val="18"/>
          <w:color w:val="auto"/>
        </w:rPr>
      </w:pPr>
    </w:p>
    <w:p>
      <w:pPr>
        <w:ind w:left="240" w:hanging="188"/>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23" w:lineRule="exact"/>
        <w:rPr>
          <w:rFonts w:ascii="Arial" w:cs="Arial" w:eastAsia="Arial" w:hAnsi="Arial"/>
          <w:sz w:val="18"/>
          <w:szCs w:val="18"/>
          <w:color w:val="auto"/>
        </w:rPr>
      </w:pPr>
    </w:p>
    <w:p>
      <w:pPr>
        <w:ind w:left="240" w:hanging="188"/>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15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78" w:right="239" w:bottom="1047" w:gutter="0" w:footer="0" w:header="0"/>
        </w:sectPr>
      </w:pPr>
    </w:p>
    <w:bookmarkStart w:id="35" w:name="page36"/>
    <w:bookmarkEnd w:id="35"/>
    <w:p>
      <w:pPr>
        <w:jc w:val="both"/>
        <w:spacing w:after="0" w:line="271"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172" w:lineRule="exact"/>
        <w:rPr>
          <w:sz w:val="20"/>
          <w:szCs w:val="20"/>
          <w:color w:val="auto"/>
        </w:rPr>
      </w:pPr>
    </w:p>
    <w:p>
      <w:pPr>
        <w:ind w:right="280"/>
        <w:spacing w:after="0" w:line="280"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7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36" w:name="page37"/>
    <w:bookmarkEnd w:id="36"/>
    <w:p>
      <w:pPr>
        <w:jc w:val="both"/>
        <w:spacing w:after="0" w:line="254"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6"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7"/>
          <w:szCs w:val="17"/>
          <w:b w:val="1"/>
          <w:bCs w:val="1"/>
          <w:i w:val="1"/>
          <w:iCs w:val="1"/>
          <w:u w:val="single" w:color="auto"/>
          <w:color w:val="auto"/>
        </w:rPr>
        <w:t>ClinicalTrials.gov</w:t>
      </w:r>
      <w:r>
        <w:rPr>
          <w:rFonts w:ascii="Arial" w:cs="Arial" w:eastAsia="Arial" w:hAnsi="Arial"/>
          <w:sz w:val="17"/>
          <w:szCs w:val="17"/>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7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37" w:name="page38"/>
    <w:bookmarkEnd w:id="37"/>
    <w:p>
      <w:pPr>
        <w:jc w:val="both"/>
        <w:spacing w:after="0" w:line="280"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6" w:lineRule="exact"/>
        <w:rPr>
          <w:sz w:val="20"/>
          <w:szCs w:val="20"/>
          <w:color w:val="auto"/>
        </w:rPr>
      </w:pPr>
    </w:p>
    <w:p>
      <w:pPr>
        <w:ind w:right="140"/>
        <w:spacing w:after="0" w:line="280" w:lineRule="auto"/>
        <w:rPr>
          <w:sz w:val="20"/>
          <w:szCs w:val="20"/>
          <w:color w:val="auto"/>
        </w:rPr>
      </w:pPr>
      <w:r>
        <w:rPr>
          <w:rFonts w:ascii="Arial" w:cs="Arial" w:eastAsia="Arial" w:hAnsi="Arial"/>
          <w:sz w:val="18"/>
          <w:szCs w:val="18"/>
          <w:b w:val="1"/>
          <w:b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In addition, uncertainty remains regarding proposed significant reforms to the U.S. health care system.</w:t>
      </w:r>
    </w:p>
    <w:p>
      <w:pPr>
        <w:spacing w:after="0" w:line="17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or our drug candidates may prove not to be effective in practice. Our testing and clinical practice may not confirm the safety and efficacy of our product candidates or even if further testing and clinical practice produce positive results, the medical community may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39" w:name="page40"/>
    <w:bookmarkEnd w:id="39"/>
    <w:p>
      <w:pPr>
        <w:jc w:val="both"/>
        <w:spacing w:after="0" w:line="345"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75"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acquisition.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United States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Plaintiffs’ securities litigation firms have publicly announced that they are investigating potential securities fraud claims that they may wish to make against us.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$3.15 and a low price of $1.65 in the 52-week period ended December 31, 2015 and a high price of $1.93 and a low price of $1.08 from January 2, 2016 through May 13, 2016. Among the factors that may cause the market price of our common stock to fluctuate are the risks described in this “Risk Factors” section and other factors, including:</w:t>
      </w:r>
    </w:p>
    <w:p>
      <w:pPr>
        <w:spacing w:after="0" w:line="180" w:lineRule="exact"/>
        <w:rPr>
          <w:sz w:val="20"/>
          <w:szCs w:val="20"/>
          <w:color w:val="auto"/>
        </w:rPr>
      </w:pPr>
    </w:p>
    <w:p>
      <w:pPr>
        <w:ind w:left="500" w:hanging="29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23" w:lineRule="exact"/>
        <w:rPr>
          <w:rFonts w:ascii="Arial" w:cs="Arial" w:eastAsia="Arial" w:hAnsi="Arial"/>
          <w:sz w:val="18"/>
          <w:szCs w:val="18"/>
          <w:color w:val="auto"/>
        </w:rPr>
      </w:pPr>
    </w:p>
    <w:p>
      <w:pPr>
        <w:ind w:left="500" w:right="540" w:hanging="298"/>
        <w:spacing w:after="0" w:line="275"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 especially changes in laws and regulations applicable to our product candidates;</w:t>
      </w:r>
    </w:p>
    <w:p>
      <w:pPr>
        <w:spacing w:after="0" w:line="170" w:lineRule="exact"/>
        <w:rPr>
          <w:rFonts w:ascii="Arial" w:cs="Arial" w:eastAsia="Arial" w:hAnsi="Arial"/>
          <w:sz w:val="18"/>
          <w:szCs w:val="18"/>
          <w:color w:val="auto"/>
        </w:rPr>
      </w:pPr>
    </w:p>
    <w:p>
      <w:pPr>
        <w:ind w:left="500" w:right="540" w:hanging="298"/>
        <w:spacing w:after="0" w:line="275"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 candidates, clinical studies, manufacturing process or sales and marketing terms;</w:t>
      </w:r>
    </w:p>
    <w:p>
      <w:pPr>
        <w:spacing w:after="0" w:line="170" w:lineRule="exact"/>
        <w:rPr>
          <w:rFonts w:ascii="Arial" w:cs="Arial" w:eastAsia="Arial" w:hAnsi="Arial"/>
          <w:sz w:val="18"/>
          <w:szCs w:val="18"/>
          <w:color w:val="auto"/>
        </w:rPr>
      </w:pPr>
    </w:p>
    <w:p>
      <w:pPr>
        <w:ind w:left="500" w:hanging="29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or our competitors, and the timing of these introductions or announcements;</w:t>
      </w:r>
    </w:p>
    <w:p>
      <w:pPr>
        <w:spacing w:after="0" w:line="223" w:lineRule="exact"/>
        <w:rPr>
          <w:rFonts w:ascii="Arial" w:cs="Arial" w:eastAsia="Arial" w:hAnsi="Arial"/>
          <w:sz w:val="18"/>
          <w:szCs w:val="18"/>
          <w:color w:val="auto"/>
        </w:rPr>
      </w:pPr>
    </w:p>
    <w:p>
      <w:pPr>
        <w:ind w:left="500" w:hanging="29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3" w:lineRule="exact"/>
        <w:rPr>
          <w:rFonts w:ascii="Arial" w:cs="Arial" w:eastAsia="Arial" w:hAnsi="Arial"/>
          <w:sz w:val="18"/>
          <w:szCs w:val="18"/>
          <w:color w:val="auto"/>
        </w:rPr>
      </w:pPr>
    </w:p>
    <w:p>
      <w:pPr>
        <w:ind w:left="500" w:hanging="29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3" w:lineRule="exact"/>
        <w:rPr>
          <w:rFonts w:ascii="Arial" w:cs="Arial" w:eastAsia="Arial" w:hAnsi="Arial"/>
          <w:sz w:val="18"/>
          <w:szCs w:val="18"/>
          <w:color w:val="auto"/>
        </w:rPr>
      </w:pPr>
    </w:p>
    <w:p>
      <w:pPr>
        <w:ind w:left="500" w:hanging="29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3" w:lineRule="exact"/>
        <w:rPr>
          <w:rFonts w:ascii="Arial" w:cs="Arial" w:eastAsia="Arial" w:hAnsi="Arial"/>
          <w:sz w:val="18"/>
          <w:szCs w:val="18"/>
          <w:color w:val="auto"/>
        </w:rPr>
      </w:pPr>
    </w:p>
    <w:p>
      <w:pPr>
        <w:ind w:left="500" w:hanging="29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3" w:lineRule="exact"/>
        <w:rPr>
          <w:rFonts w:ascii="Arial" w:cs="Arial" w:eastAsia="Arial" w:hAnsi="Arial"/>
          <w:sz w:val="18"/>
          <w:szCs w:val="18"/>
          <w:color w:val="auto"/>
        </w:rPr>
      </w:pPr>
    </w:p>
    <w:p>
      <w:pPr>
        <w:ind w:left="500" w:hanging="29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3" w:lineRule="exact"/>
        <w:rPr>
          <w:rFonts w:ascii="Arial" w:cs="Arial" w:eastAsia="Arial" w:hAnsi="Arial"/>
          <w:sz w:val="18"/>
          <w:szCs w:val="18"/>
          <w:color w:val="auto"/>
        </w:rPr>
      </w:pPr>
    </w:p>
    <w:p>
      <w:pPr>
        <w:ind w:left="500" w:hanging="29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3" w:lineRule="exact"/>
        <w:rPr>
          <w:rFonts w:ascii="Arial" w:cs="Arial" w:eastAsia="Arial" w:hAnsi="Arial"/>
          <w:sz w:val="18"/>
          <w:szCs w:val="18"/>
          <w:color w:val="auto"/>
        </w:rPr>
      </w:pPr>
    </w:p>
    <w:p>
      <w:pPr>
        <w:ind w:left="500" w:hanging="29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41" w:name="page42"/>
    <w:bookmarkEnd w:id="41"/>
    <w:p>
      <w:pPr>
        <w:ind w:left="500" w:hanging="29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3" w:lineRule="exact"/>
        <w:rPr>
          <w:rFonts w:ascii="Arial" w:cs="Arial" w:eastAsia="Arial" w:hAnsi="Arial"/>
          <w:sz w:val="18"/>
          <w:szCs w:val="18"/>
          <w:color w:val="auto"/>
        </w:rPr>
      </w:pPr>
    </w:p>
    <w:p>
      <w:pPr>
        <w:ind w:left="500" w:hanging="29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3" w:lineRule="exact"/>
        <w:rPr>
          <w:rFonts w:ascii="Arial" w:cs="Arial" w:eastAsia="Arial" w:hAnsi="Arial"/>
          <w:sz w:val="18"/>
          <w:szCs w:val="18"/>
          <w:color w:val="auto"/>
        </w:rPr>
      </w:pPr>
    </w:p>
    <w:p>
      <w:pPr>
        <w:ind w:left="500" w:hanging="29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3" w:lineRule="exact"/>
        <w:rPr>
          <w:rFonts w:ascii="Arial" w:cs="Arial" w:eastAsia="Arial" w:hAnsi="Arial"/>
          <w:sz w:val="18"/>
          <w:szCs w:val="18"/>
          <w:color w:val="auto"/>
        </w:rPr>
      </w:pPr>
    </w:p>
    <w:p>
      <w:pPr>
        <w:ind w:left="500" w:hanging="29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3" w:lineRule="exact"/>
        <w:rPr>
          <w:rFonts w:ascii="Arial" w:cs="Arial" w:eastAsia="Arial" w:hAnsi="Arial"/>
          <w:sz w:val="18"/>
          <w:szCs w:val="18"/>
          <w:color w:val="auto"/>
        </w:rPr>
      </w:pPr>
    </w:p>
    <w:p>
      <w:pPr>
        <w:ind w:left="500" w:hanging="29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3" w:lineRule="exact"/>
        <w:rPr>
          <w:rFonts w:ascii="Arial" w:cs="Arial" w:eastAsia="Arial" w:hAnsi="Arial"/>
          <w:sz w:val="18"/>
          <w:szCs w:val="18"/>
          <w:color w:val="auto"/>
        </w:rPr>
      </w:pPr>
    </w:p>
    <w:p>
      <w:pPr>
        <w:ind w:left="500" w:hanging="29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3" w:lineRule="exact"/>
        <w:rPr>
          <w:rFonts w:ascii="Arial" w:cs="Arial" w:eastAsia="Arial" w:hAnsi="Arial"/>
          <w:sz w:val="18"/>
          <w:szCs w:val="18"/>
          <w:color w:val="auto"/>
        </w:rPr>
      </w:pPr>
    </w:p>
    <w:p>
      <w:pPr>
        <w:ind w:left="500" w:hanging="29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3" w:lineRule="exact"/>
        <w:rPr>
          <w:rFonts w:ascii="Arial" w:cs="Arial" w:eastAsia="Arial" w:hAnsi="Arial"/>
          <w:sz w:val="18"/>
          <w:szCs w:val="18"/>
          <w:color w:val="auto"/>
        </w:rPr>
      </w:pPr>
    </w:p>
    <w:p>
      <w:pPr>
        <w:ind w:left="500" w:hanging="29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3" w:lineRule="exact"/>
        <w:rPr>
          <w:rFonts w:ascii="Arial" w:cs="Arial" w:eastAsia="Arial" w:hAnsi="Arial"/>
          <w:sz w:val="18"/>
          <w:szCs w:val="18"/>
          <w:color w:val="auto"/>
        </w:rPr>
      </w:pPr>
    </w:p>
    <w:p>
      <w:pPr>
        <w:ind w:left="500" w:right="540" w:hanging="298"/>
        <w:spacing w:after="0" w:line="275"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500" w:hanging="29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 and</w:t>
      </w:r>
    </w:p>
    <w:p>
      <w:pPr>
        <w:spacing w:after="0" w:line="223" w:lineRule="exact"/>
        <w:rPr>
          <w:rFonts w:ascii="Arial" w:cs="Arial" w:eastAsia="Arial" w:hAnsi="Arial"/>
          <w:sz w:val="18"/>
          <w:szCs w:val="18"/>
          <w:color w:val="auto"/>
        </w:rPr>
      </w:pPr>
    </w:p>
    <w:p>
      <w:pPr>
        <w:ind w:left="500" w:hanging="29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223" w:lineRule="exact"/>
        <w:rPr>
          <w:rFonts w:ascii="Arial" w:cs="Arial" w:eastAsia="Arial" w:hAnsi="Arial"/>
          <w:sz w:val="18"/>
          <w:szCs w:val="18"/>
          <w:color w:val="auto"/>
        </w:rPr>
      </w:pPr>
    </w:p>
    <w:p>
      <w:pPr>
        <w:ind w:left="500" w:hanging="29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May 13, 2016, we had 23,436,772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56"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May 13, 2016, we have a significant number of securities convertible into, or allowing the purchase of, our common stock, including 5,894,675 shares of common stock issuable upon exercise of warrants outstanding, 2,733,157 options to purchase shares of our common stock and restricted stock awards outstanding, and 832,613 shares of common stock reserved for future issuance under our stock incentive plans. Under the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entered into with Cantor Fitzgerald &amp; Co. on February 1, 2013, we may offer and sell, from time to time through “at-the-market” offerings, up to an aggregate of $25 million of shares of our common stock. We had only sold $7.6 million under the Sales Agreement as of May 13, 2016.</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We may be unable to maintain compliance with The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May 13, 2016, the closing sale price of our common stock was $1.49, the total market value of our publicly held shares of our common stock (excluding shares held by our executive officers, directors and 10% or more stockholders) was approximately $31 million and the total market value of our listed securities was approximately $35 million. There is no assurance that we will continue to meet the minimum closing price requirement and other listing requirements. As of March 31, 2016, we had stockholders’ equity of $15.3 million.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047" w:gutter="0" w:footer="0" w:header="0"/>
        </w:sectPr>
      </w:pPr>
    </w:p>
    <w:bookmarkStart w:id="42" w:name="page43"/>
    <w:bookmarkEnd w:id="42"/>
    <w:p>
      <w:pPr>
        <w:jc w:val="both"/>
        <w:spacing w:after="0" w:line="267" w:lineRule="auto"/>
        <w:rPr>
          <w:sz w:val="20"/>
          <w:szCs w:val="20"/>
          <w:color w:val="auto"/>
        </w:rPr>
      </w:pPr>
      <w:r>
        <w:rPr>
          <w:rFonts w:ascii="Arial" w:cs="Arial" w:eastAsia="Arial" w:hAnsi="Arial"/>
          <w:sz w:val="17"/>
          <w:szCs w:val="17"/>
          <w:color w:val="auto"/>
        </w:rPr>
        <w:t>If the closing bid price of our common stock is below $1.00 per share or the total market value of our publicly held shares of common stock is below $35 million for 30 consecutive business days, we could be subject to delisting from The NASDAQ Capital Market. If our common stock is delisted, trading of the stock will most likely take place on an over-the-counter market established for unlisted securities, such as the Pink Sheets or the OTC Bulletin Board.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In addition, as a delisted security, our common stock would be subject to SEC rules regarding “penny stock,” which impose additional disclosure requirements on broker-dealers. The regulations relating to penny stocks, coupled with the typically higher cost per trade to investors in penny stocks due to factors such as broker commissions generally representing a higher percentage of the price of a penny stock than of a higher priced stock, would further limit the ability and willingness of investors to trade in our common stock.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2015, 2014, 2013 and years prior, we performed analyses to determine if there were changes in ownership, as defined by Section 382 of the Internal Revenue Code that would limit our ability to utilize certain net operating loss and tax credit carry forwards. We determined we experienced an ownership change, as defined by Section 382, in connection with certain common stock offerings on July 25, 2011, February 5, 2013, June 3, 2013 and on June 1, 2015.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7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43" w:name="page44"/>
    <w:bookmarkEnd w:id="43"/>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7" w:lineRule="exact"/>
        <w:rPr>
          <w:sz w:val="20"/>
          <w:szCs w:val="20"/>
          <w:color w:val="auto"/>
        </w:rPr>
      </w:pPr>
    </w:p>
    <w:p>
      <w:pPr>
        <w:jc w:val="center"/>
        <w:ind w:right="7519"/>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0219"/>
          </w:cols>
          <w:pgMar w:left="240" w:top="578"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200" w:type="dxa"/>
            <w:vAlign w:val="bottom"/>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16"/>
        </w:trPr>
        <w:tc>
          <w:tcPr>
            <w:tcW w:w="860" w:type="dxa"/>
            <w:vAlign w:val="bottom"/>
          </w:tcPr>
          <w:p>
            <w:pPr>
              <w:ind w:left="60"/>
              <w:spacing w:after="0"/>
              <w:rPr>
                <w:sz w:val="20"/>
                <w:szCs w:val="20"/>
                <w:color w:val="auto"/>
              </w:rPr>
            </w:pPr>
            <w:r>
              <w:rPr>
                <w:rFonts w:ascii="Arial" w:cs="Arial" w:eastAsia="Arial" w:hAnsi="Arial"/>
                <w:sz w:val="18"/>
                <w:szCs w:val="18"/>
                <w:color w:val="auto"/>
              </w:rPr>
              <w:t>10.1(***)</w:t>
            </w:r>
          </w:p>
        </w:tc>
        <w:tc>
          <w:tcPr>
            <w:tcW w:w="9200" w:type="dxa"/>
            <w:vAlign w:val="bottom"/>
          </w:tcPr>
          <w:p>
            <w:pPr>
              <w:ind w:left="300"/>
              <w:spacing w:after="0"/>
              <w:rPr>
                <w:sz w:val="20"/>
                <w:szCs w:val="20"/>
                <w:color w:val="auto"/>
              </w:rPr>
            </w:pPr>
            <w:r>
              <w:rPr>
                <w:rFonts w:ascii="Arial" w:cs="Arial" w:eastAsia="Arial" w:hAnsi="Arial"/>
                <w:sz w:val="18"/>
                <w:szCs w:val="18"/>
                <w:color w:val="auto"/>
                <w:w w:val="92"/>
              </w:rPr>
              <w:t>Amended and Restated Employment Agreement effective March 30, 2016, between Celsion Corporation and Michael H.</w:t>
            </w:r>
          </w:p>
        </w:tc>
      </w:tr>
      <w:tr>
        <w:trPr>
          <w:trHeight w:val="215"/>
        </w:trPr>
        <w:tc>
          <w:tcPr>
            <w:tcW w:w="860" w:type="dxa"/>
            <w:vAlign w:val="bottom"/>
          </w:tcPr>
          <w:p>
            <w:pPr>
              <w:spacing w:after="0"/>
              <w:rPr>
                <w:sz w:val="18"/>
                <w:szCs w:val="18"/>
                <w:color w:val="auto"/>
              </w:rPr>
            </w:pPr>
          </w:p>
        </w:tc>
        <w:tc>
          <w:tcPr>
            <w:tcW w:w="9200" w:type="dxa"/>
            <w:vAlign w:val="bottom"/>
          </w:tcPr>
          <w:p>
            <w:pPr>
              <w:ind w:left="300"/>
              <w:spacing w:after="0"/>
              <w:rPr>
                <w:sz w:val="20"/>
                <w:szCs w:val="20"/>
                <w:color w:val="auto"/>
              </w:rPr>
            </w:pPr>
            <w:r>
              <w:rPr>
                <w:rFonts w:ascii="Arial" w:cs="Arial" w:eastAsia="Arial" w:hAnsi="Arial"/>
                <w:sz w:val="18"/>
                <w:szCs w:val="18"/>
                <w:color w:val="auto"/>
                <w:w w:val="90"/>
              </w:rPr>
              <w:t>Tardugno, incorporated by reference to Exhibit 10.8 to the Annual Report on Form 10-K of the Company for the year ended</w:t>
            </w:r>
          </w:p>
        </w:tc>
      </w:tr>
      <w:tr>
        <w:trPr>
          <w:trHeight w:val="230"/>
        </w:trPr>
        <w:tc>
          <w:tcPr>
            <w:tcW w:w="860" w:type="dxa"/>
            <w:vAlign w:val="bottom"/>
          </w:tcPr>
          <w:p>
            <w:pPr>
              <w:spacing w:after="0"/>
              <w:rPr>
                <w:sz w:val="19"/>
                <w:szCs w:val="19"/>
                <w:color w:val="auto"/>
              </w:rPr>
            </w:pPr>
          </w:p>
        </w:tc>
        <w:tc>
          <w:tcPr>
            <w:tcW w:w="9200" w:type="dxa"/>
            <w:vAlign w:val="bottom"/>
          </w:tcPr>
          <w:p>
            <w:pPr>
              <w:ind w:left="300"/>
              <w:spacing w:after="0"/>
              <w:rPr>
                <w:sz w:val="20"/>
                <w:szCs w:val="20"/>
                <w:color w:val="auto"/>
              </w:rPr>
            </w:pPr>
            <w:r>
              <w:rPr>
                <w:rFonts w:ascii="Arial" w:cs="Arial" w:eastAsia="Arial" w:hAnsi="Arial"/>
                <w:sz w:val="18"/>
                <w:szCs w:val="18"/>
                <w:color w:val="auto"/>
              </w:rPr>
              <w:t>December 31, 2015.</w:t>
            </w:r>
          </w:p>
        </w:tc>
      </w:tr>
      <w:tr>
        <w:trPr>
          <w:trHeight w:val="416"/>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9200" w:type="dxa"/>
            <w:vAlign w:val="bottom"/>
          </w:tcPr>
          <w:p>
            <w:pPr>
              <w:ind w:left="300"/>
              <w:spacing w:after="0"/>
              <w:rPr>
                <w:sz w:val="20"/>
                <w:szCs w:val="20"/>
                <w:color w:val="auto"/>
              </w:rPr>
            </w:pPr>
            <w:r>
              <w:rPr>
                <w:rFonts w:ascii="Arial" w:cs="Arial" w:eastAsia="Arial" w:hAnsi="Arial"/>
                <w:sz w:val="18"/>
                <w:szCs w:val="18"/>
                <w:color w:val="auto"/>
                <w:w w:val="93"/>
              </w:rPr>
              <w:t>Certification of Chief Executive Officer pursuant to Rule 13a-14(a)/15d-14(a), as adopted pursuant to Section 302 of the</w:t>
            </w:r>
          </w:p>
        </w:tc>
      </w:tr>
      <w:tr>
        <w:trPr>
          <w:trHeight w:val="230"/>
        </w:trPr>
        <w:tc>
          <w:tcPr>
            <w:tcW w:w="860" w:type="dxa"/>
            <w:vAlign w:val="bottom"/>
          </w:tcPr>
          <w:p>
            <w:pPr>
              <w:spacing w:after="0"/>
              <w:rPr>
                <w:sz w:val="19"/>
                <w:szCs w:val="19"/>
                <w:color w:val="auto"/>
              </w:rPr>
            </w:pPr>
          </w:p>
        </w:tc>
        <w:tc>
          <w:tcPr>
            <w:tcW w:w="9200" w:type="dxa"/>
            <w:vAlign w:val="bottom"/>
          </w:tcPr>
          <w:p>
            <w:pPr>
              <w:ind w:left="300"/>
              <w:spacing w:after="0"/>
              <w:rPr>
                <w:sz w:val="20"/>
                <w:szCs w:val="20"/>
                <w:color w:val="auto"/>
              </w:rPr>
            </w:pPr>
            <w:r>
              <w:rPr>
                <w:rFonts w:ascii="Arial" w:cs="Arial" w:eastAsia="Arial" w:hAnsi="Arial"/>
                <w:sz w:val="18"/>
                <w:szCs w:val="18"/>
                <w:color w:val="auto"/>
              </w:rPr>
              <w:t>Sarbanes-Oxley Act of 2002.</w:t>
            </w:r>
          </w:p>
        </w:tc>
      </w:tr>
      <w:tr>
        <w:trPr>
          <w:trHeight w:val="416"/>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9200" w:type="dxa"/>
            <w:vAlign w:val="bottom"/>
          </w:tcPr>
          <w:p>
            <w:pPr>
              <w:ind w:left="300"/>
              <w:spacing w:after="0"/>
              <w:rPr>
                <w:sz w:val="20"/>
                <w:szCs w:val="20"/>
                <w:color w:val="auto"/>
              </w:rPr>
            </w:pPr>
            <w:r>
              <w:rPr>
                <w:rFonts w:ascii="Arial" w:cs="Arial" w:eastAsia="Arial" w:hAnsi="Arial"/>
                <w:sz w:val="18"/>
                <w:szCs w:val="18"/>
                <w:color w:val="auto"/>
                <w:w w:val="94"/>
              </w:rPr>
              <w:t>Certification of Chief Financial Officer pursuant to Rule 13a-14(a)/15d-14(a), as adopted pursuant to Section 302 of the</w:t>
            </w:r>
          </w:p>
        </w:tc>
      </w:tr>
      <w:tr>
        <w:trPr>
          <w:trHeight w:val="230"/>
        </w:trPr>
        <w:tc>
          <w:tcPr>
            <w:tcW w:w="860" w:type="dxa"/>
            <w:vAlign w:val="bottom"/>
          </w:tcPr>
          <w:p>
            <w:pPr>
              <w:spacing w:after="0"/>
              <w:rPr>
                <w:sz w:val="19"/>
                <w:szCs w:val="19"/>
                <w:color w:val="auto"/>
              </w:rPr>
            </w:pPr>
          </w:p>
        </w:tc>
        <w:tc>
          <w:tcPr>
            <w:tcW w:w="9200" w:type="dxa"/>
            <w:vAlign w:val="bottom"/>
          </w:tcPr>
          <w:p>
            <w:pPr>
              <w:ind w:left="300"/>
              <w:spacing w:after="0"/>
              <w:rPr>
                <w:sz w:val="20"/>
                <w:szCs w:val="20"/>
                <w:color w:val="auto"/>
              </w:rPr>
            </w:pPr>
            <w:r>
              <w:rPr>
                <w:rFonts w:ascii="Arial" w:cs="Arial" w:eastAsia="Arial" w:hAnsi="Arial"/>
                <w:sz w:val="18"/>
                <w:szCs w:val="18"/>
                <w:color w:val="auto"/>
              </w:rPr>
              <w:t>Sarbanes-Oxley Act of 2002.</w:t>
            </w:r>
          </w:p>
        </w:tc>
      </w:tr>
      <w:tr>
        <w:trPr>
          <w:trHeight w:val="430"/>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9200" w:type="dxa"/>
            <w:vAlign w:val="bottom"/>
          </w:tcPr>
          <w:p>
            <w:pPr>
              <w:ind w:left="300"/>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w:t>
            </w:r>
          </w:p>
        </w:tc>
      </w:tr>
    </w:tbl>
    <w:p>
      <w:pPr>
        <w:spacing w:after="0" w:line="201" w:lineRule="exact"/>
        <w:rPr>
          <w:sz w:val="20"/>
          <w:szCs w:val="20"/>
          <w:color w:val="auto"/>
        </w:rPr>
      </w:pPr>
    </w:p>
    <w:p>
      <w:pPr>
        <w:ind w:left="1200" w:hanging="114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 w:type="dxa"/>
            <w:vAlign w:val="bottom"/>
          </w:tcPr>
          <w:p>
            <w:pPr>
              <w:jc w:val="right"/>
              <w:ind w:right="250"/>
              <w:spacing w:after="0"/>
              <w:rPr>
                <w:sz w:val="20"/>
                <w:szCs w:val="20"/>
                <w:color w:val="auto"/>
              </w:rPr>
            </w:pPr>
            <w:r>
              <w:rPr>
                <w:rFonts w:ascii="Arial" w:cs="Arial" w:eastAsia="Arial" w:hAnsi="Arial"/>
                <w:sz w:val="18"/>
                <w:szCs w:val="18"/>
                <w:color w:val="auto"/>
                <w:w w:val="99"/>
              </w:rPr>
              <w:t>101**</w:t>
            </w:r>
          </w:p>
        </w:tc>
        <w:tc>
          <w:tcPr>
            <w:tcW w:w="9580" w:type="dxa"/>
            <w:vAlign w:val="bottom"/>
          </w:tcPr>
          <w:p>
            <w:pPr>
              <w:ind w:left="360"/>
              <w:spacing w:after="0"/>
              <w:rPr>
                <w:sz w:val="20"/>
                <w:szCs w:val="20"/>
                <w:color w:val="auto"/>
              </w:rPr>
            </w:pPr>
            <w:r>
              <w:rPr>
                <w:rFonts w:ascii="Arial" w:cs="Arial" w:eastAsia="Arial" w:hAnsi="Arial"/>
                <w:sz w:val="18"/>
                <w:szCs w:val="18"/>
                <w:color w:val="auto"/>
                <w:w w:val="92"/>
              </w:rPr>
              <w:t>The following materials from the Company’s Quarterly Report on Form 10-Q for the quarter ended March 31, 2016, formatted</w:t>
            </w:r>
          </w:p>
        </w:tc>
      </w:tr>
      <w:tr>
        <w:trPr>
          <w:trHeight w:val="215"/>
        </w:trPr>
        <w:tc>
          <w:tcPr>
            <w:tcW w:w="800" w:type="dxa"/>
            <w:vAlign w:val="bottom"/>
          </w:tcPr>
          <w:p>
            <w:pPr>
              <w:spacing w:after="0"/>
              <w:rPr>
                <w:sz w:val="18"/>
                <w:szCs w:val="18"/>
                <w:color w:val="auto"/>
              </w:rPr>
            </w:pPr>
          </w:p>
        </w:tc>
        <w:tc>
          <w:tcPr>
            <w:tcW w:w="9580" w:type="dxa"/>
            <w:vAlign w:val="bottom"/>
          </w:tcPr>
          <w:p>
            <w:pPr>
              <w:ind w:left="360"/>
              <w:spacing w:after="0"/>
              <w:rPr>
                <w:sz w:val="20"/>
                <w:szCs w:val="20"/>
                <w:color w:val="auto"/>
              </w:rPr>
            </w:pPr>
            <w:r>
              <w:rPr>
                <w:rFonts w:ascii="Arial" w:cs="Arial" w:eastAsia="Arial" w:hAnsi="Arial"/>
                <w:sz w:val="18"/>
                <w:szCs w:val="18"/>
                <w:color w:val="auto"/>
                <w:w w:val="98"/>
              </w:rPr>
              <w:t>in XBRL (Extensible Business Reporting Language): (i) the unaudited Consolidated Balance Sheets, (ii) the unaudited</w:t>
            </w:r>
          </w:p>
        </w:tc>
      </w:tr>
      <w:tr>
        <w:trPr>
          <w:trHeight w:val="215"/>
        </w:trPr>
        <w:tc>
          <w:tcPr>
            <w:tcW w:w="800" w:type="dxa"/>
            <w:vAlign w:val="bottom"/>
          </w:tcPr>
          <w:p>
            <w:pPr>
              <w:spacing w:after="0"/>
              <w:rPr>
                <w:sz w:val="18"/>
                <w:szCs w:val="18"/>
                <w:color w:val="auto"/>
              </w:rPr>
            </w:pPr>
          </w:p>
        </w:tc>
        <w:tc>
          <w:tcPr>
            <w:tcW w:w="9580" w:type="dxa"/>
            <w:vAlign w:val="bottom"/>
          </w:tcPr>
          <w:p>
            <w:pPr>
              <w:ind w:left="360"/>
              <w:spacing w:after="0"/>
              <w:rPr>
                <w:sz w:val="20"/>
                <w:szCs w:val="20"/>
                <w:color w:val="auto"/>
              </w:rPr>
            </w:pPr>
            <w:r>
              <w:rPr>
                <w:rFonts w:ascii="Arial" w:cs="Arial" w:eastAsia="Arial" w:hAnsi="Arial"/>
                <w:sz w:val="18"/>
                <w:szCs w:val="18"/>
                <w:color w:val="auto"/>
                <w:w w:val="90"/>
              </w:rPr>
              <w:t>Consolidated Statements of Operations, (iii) the unaudited Consolidated Statements of Comprehensive Loss, (iv) the unaudited</w:t>
            </w:r>
          </w:p>
        </w:tc>
      </w:tr>
      <w:tr>
        <w:trPr>
          <w:trHeight w:val="215"/>
        </w:trPr>
        <w:tc>
          <w:tcPr>
            <w:tcW w:w="800" w:type="dxa"/>
            <w:vAlign w:val="bottom"/>
          </w:tcPr>
          <w:p>
            <w:pPr>
              <w:spacing w:after="0"/>
              <w:rPr>
                <w:sz w:val="18"/>
                <w:szCs w:val="18"/>
                <w:color w:val="auto"/>
              </w:rPr>
            </w:pPr>
          </w:p>
        </w:tc>
        <w:tc>
          <w:tcPr>
            <w:tcW w:w="9580" w:type="dxa"/>
            <w:vAlign w:val="bottom"/>
          </w:tcPr>
          <w:p>
            <w:pPr>
              <w:ind w:left="360"/>
              <w:spacing w:after="0"/>
              <w:rPr>
                <w:sz w:val="20"/>
                <w:szCs w:val="20"/>
                <w:color w:val="auto"/>
              </w:rPr>
            </w:pPr>
            <w:r>
              <w:rPr>
                <w:rFonts w:ascii="Arial" w:cs="Arial" w:eastAsia="Arial" w:hAnsi="Arial"/>
                <w:sz w:val="18"/>
                <w:szCs w:val="18"/>
                <w:color w:val="auto"/>
                <w:w w:val="97"/>
              </w:rPr>
              <w:t>Consolidated Statements of Cash Flows, (v) the unaudited Consolidated Statements of Change in Stockholders' Equity</w:t>
            </w:r>
          </w:p>
        </w:tc>
      </w:tr>
      <w:tr>
        <w:trPr>
          <w:trHeight w:val="230"/>
        </w:trPr>
        <w:tc>
          <w:tcPr>
            <w:tcW w:w="800" w:type="dxa"/>
            <w:vAlign w:val="bottom"/>
          </w:tcPr>
          <w:p>
            <w:pPr>
              <w:spacing w:after="0"/>
              <w:rPr>
                <w:sz w:val="19"/>
                <w:szCs w:val="19"/>
                <w:color w:val="auto"/>
              </w:rPr>
            </w:pPr>
          </w:p>
        </w:tc>
        <w:tc>
          <w:tcPr>
            <w:tcW w:w="9580" w:type="dxa"/>
            <w:vAlign w:val="bottom"/>
          </w:tcPr>
          <w:p>
            <w:pPr>
              <w:ind w:left="360"/>
              <w:spacing w:after="0"/>
              <w:rPr>
                <w:sz w:val="20"/>
                <w:szCs w:val="20"/>
                <w:color w:val="auto"/>
              </w:rPr>
            </w:pPr>
            <w:r>
              <w:rPr>
                <w:rFonts w:ascii="Arial" w:cs="Arial" w:eastAsia="Arial" w:hAnsi="Arial"/>
                <w:sz w:val="18"/>
                <w:szCs w:val="18"/>
                <w:color w:val="auto"/>
              </w:rPr>
              <w:t>(Deficit), and (vi) Notes to Consolidated Financial Statements.</w:t>
            </w:r>
          </w:p>
        </w:tc>
      </w:tr>
    </w:tbl>
    <w:p>
      <w:pPr>
        <w:spacing w:after="0" w:line="201" w:lineRule="exact"/>
        <w:rPr>
          <w:sz w:val="20"/>
          <w:szCs w:val="20"/>
          <w:color w:val="auto"/>
        </w:rPr>
      </w:pPr>
    </w:p>
    <w:p>
      <w:pPr>
        <w:jc w:val="both"/>
        <w:ind w:left="1160" w:hanging="326"/>
        <w:spacing w:after="0" w:line="258"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5" w:lineRule="exact"/>
        <w:rPr>
          <w:rFonts w:ascii="Arial" w:cs="Arial" w:eastAsia="Arial" w:hAnsi="Arial"/>
          <w:sz w:val="18"/>
          <w:szCs w:val="18"/>
          <w:color w:val="auto"/>
        </w:rPr>
      </w:pPr>
    </w:p>
    <w:p>
      <w:pPr>
        <w:ind w:left="1160" w:hanging="416"/>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23" w:lineRule="exact"/>
        <w:rPr>
          <w:rFonts w:ascii="Arial" w:cs="Arial" w:eastAsia="Arial" w:hAnsi="Arial"/>
          <w:sz w:val="18"/>
          <w:szCs w:val="18"/>
          <w:color w:val="auto"/>
        </w:rPr>
      </w:pPr>
    </w:p>
    <w:p>
      <w:pPr>
        <w:ind w:left="1160" w:hanging="50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contract or compensation plan or agreement.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0380"/>
          </w:cols>
          <w:pgMar w:left="240" w:top="578" w:right="127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spacing w:after="0"/>
        <w:tabs>
          <w:tab w:leader="none" w:pos="4840" w:val="left"/>
        </w:tabs>
        <w:rPr>
          <w:sz w:val="20"/>
          <w:szCs w:val="20"/>
          <w:color w:val="auto"/>
        </w:rPr>
      </w:pPr>
      <w:r>
        <w:rPr>
          <w:rFonts w:ascii="Arial" w:cs="Arial" w:eastAsia="Arial" w:hAnsi="Arial"/>
          <w:sz w:val="18"/>
          <w:szCs w:val="18"/>
          <w:color w:val="auto"/>
        </w:rPr>
        <w:t>May 16, 2016</w:t>
      </w:r>
      <w:r>
        <w:rPr>
          <w:sz w:val="20"/>
          <w:szCs w:val="20"/>
          <w:color w:val="auto"/>
        </w:rPr>
        <w:tab/>
      </w:r>
      <w:r>
        <w:rPr>
          <w:rFonts w:ascii="Arial" w:cs="Arial" w:eastAsia="Arial" w:hAnsi="Arial"/>
          <w:sz w:val="17"/>
          <w:szCs w:val="17"/>
          <w:color w:val="auto"/>
        </w:rPr>
        <w:t>CELSION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13970</wp:posOffset>
            </wp:positionV>
            <wp:extent cx="36791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79190" cy="8255"/>
                    </a:xfrm>
                    <a:prstGeom prst="rect">
                      <a:avLst/>
                    </a:prstGeom>
                    <a:noFill/>
                  </pic:spPr>
                </pic:pic>
              </a:graphicData>
            </a:graphic>
          </wp:anchor>
        </w:drawing>
      </w:r>
    </w:p>
    <w:p>
      <w:pPr>
        <w:spacing w:after="0" w:line="21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Registrant</w:t>
      </w:r>
    </w:p>
    <w:p>
      <w:pPr>
        <w:spacing w:after="0" w:line="223" w:lineRule="exact"/>
        <w:rPr>
          <w:sz w:val="20"/>
          <w:szCs w:val="20"/>
          <w:color w:val="auto"/>
        </w:rPr>
      </w:pPr>
    </w:p>
    <w:p>
      <w:pPr>
        <w:ind w:left="48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w:t>
      </w:r>
      <w:r>
        <w:rPr>
          <w:rFonts w:ascii="Arial" w:cs="Arial" w:eastAsia="Arial" w:hAnsi="Arial"/>
          <w:sz w:val="18"/>
          <w:szCs w:val="18"/>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13970</wp:posOffset>
            </wp:positionV>
            <wp:extent cx="3295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95015" cy="8255"/>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Michael H. Tardugno</w:t>
      </w:r>
    </w:p>
    <w:p>
      <w:pPr>
        <w:spacing w:after="0" w:line="2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Chairman, President and Chief Executive Officer</w:t>
      </w:r>
    </w:p>
    <w:p>
      <w:pPr>
        <w:spacing w:after="0" w:line="209" w:lineRule="exact"/>
        <w:rPr>
          <w:sz w:val="20"/>
          <w:szCs w:val="20"/>
          <w:color w:val="auto"/>
        </w:rPr>
      </w:pPr>
    </w:p>
    <w:p>
      <w:pPr>
        <w:ind w:left="48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w:t>
      </w:r>
      <w:r>
        <w:rPr>
          <w:rFonts w:ascii="Arial" w:cs="Arial" w:eastAsia="Arial" w:hAnsi="Arial"/>
          <w:sz w:val="18"/>
          <w:szCs w:val="18"/>
          <w:color w:val="auto"/>
        </w:rPr>
        <w:t>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13970</wp:posOffset>
            </wp:positionV>
            <wp:extent cx="3295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95015" cy="8255"/>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Jeffrey W. Church</w:t>
      </w:r>
    </w:p>
    <w:p>
      <w:pPr>
        <w:spacing w:after="0" w:line="2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9320" w:type="dxa"/>
            <w:vAlign w:val="bottom"/>
          </w:tcPr>
          <w:p>
            <w:pPr>
              <w:ind w:left="4400"/>
              <w:spacing w:after="0"/>
              <w:rPr>
                <w:sz w:val="20"/>
                <w:szCs w:val="20"/>
                <w:color w:val="auto"/>
              </w:rPr>
            </w:pPr>
            <w:r>
              <w:rPr>
                <w:rFonts w:ascii="Arial" w:cs="Arial" w:eastAsia="Arial" w:hAnsi="Arial"/>
                <w:sz w:val="18"/>
                <w:szCs w:val="18"/>
                <w:b w:val="1"/>
                <w:bCs w:val="1"/>
                <w:color w:val="auto"/>
              </w:rPr>
              <w:t>EXHIBIT INDEX</w:t>
            </w:r>
          </w:p>
        </w:tc>
      </w:tr>
      <w:tr>
        <w:trPr>
          <w:trHeight w:val="430"/>
        </w:trPr>
        <w:tc>
          <w:tcPr>
            <w:tcW w:w="6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320" w:type="dxa"/>
            <w:vAlign w:val="bottom"/>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16"/>
        </w:trPr>
        <w:tc>
          <w:tcPr>
            <w:tcW w:w="620" w:type="dxa"/>
            <w:vAlign w:val="bottom"/>
          </w:tcPr>
          <w:p>
            <w:pPr>
              <w:spacing w:after="0"/>
              <w:rPr>
                <w:sz w:val="20"/>
                <w:szCs w:val="20"/>
                <w:color w:val="auto"/>
              </w:rPr>
            </w:pPr>
            <w:r>
              <w:rPr>
                <w:rFonts w:ascii="Arial" w:cs="Arial" w:eastAsia="Arial" w:hAnsi="Arial"/>
                <w:sz w:val="18"/>
                <w:szCs w:val="18"/>
                <w:color w:val="auto"/>
              </w:rPr>
              <w:t>31.1+</w:t>
            </w:r>
          </w:p>
        </w:tc>
        <w:tc>
          <w:tcPr>
            <w:tcW w:w="9320" w:type="dxa"/>
            <w:vAlign w:val="bottom"/>
          </w:tcPr>
          <w:p>
            <w:pPr>
              <w:ind w:left="640"/>
              <w:spacing w:after="0"/>
              <w:rPr>
                <w:sz w:val="20"/>
                <w:szCs w:val="20"/>
                <w:color w:val="auto"/>
              </w:rPr>
            </w:pPr>
            <w:r>
              <w:rPr>
                <w:rFonts w:ascii="Arial" w:cs="Arial" w:eastAsia="Arial" w:hAnsi="Arial"/>
                <w:sz w:val="18"/>
                <w:szCs w:val="18"/>
                <w:color w:val="auto"/>
                <w:w w:val="91"/>
              </w:rPr>
              <w:t>Certification of Chief Executive Officer pursuant to Rule 13a-14(a)/15d-14(a), as adopted pursuant to Section 302 of the</w:t>
            </w:r>
          </w:p>
        </w:tc>
      </w:tr>
      <w:tr>
        <w:trPr>
          <w:trHeight w:val="230"/>
        </w:trPr>
        <w:tc>
          <w:tcPr>
            <w:tcW w:w="620" w:type="dxa"/>
            <w:vAlign w:val="bottom"/>
          </w:tcPr>
          <w:p>
            <w:pPr>
              <w:spacing w:after="0"/>
              <w:rPr>
                <w:sz w:val="19"/>
                <w:szCs w:val="19"/>
                <w:color w:val="auto"/>
              </w:rPr>
            </w:pPr>
          </w:p>
        </w:tc>
        <w:tc>
          <w:tcPr>
            <w:tcW w:w="9320" w:type="dxa"/>
            <w:vAlign w:val="bottom"/>
          </w:tcPr>
          <w:p>
            <w:pPr>
              <w:ind w:left="640"/>
              <w:spacing w:after="0"/>
              <w:rPr>
                <w:sz w:val="20"/>
                <w:szCs w:val="20"/>
                <w:color w:val="auto"/>
              </w:rPr>
            </w:pPr>
            <w:r>
              <w:rPr>
                <w:rFonts w:ascii="Arial" w:cs="Arial" w:eastAsia="Arial" w:hAnsi="Arial"/>
                <w:sz w:val="18"/>
                <w:szCs w:val="18"/>
                <w:color w:val="auto"/>
              </w:rPr>
              <w:t>Sarbanes-Oxley Act of 2002.</w:t>
            </w:r>
          </w:p>
        </w:tc>
      </w:tr>
      <w:tr>
        <w:trPr>
          <w:trHeight w:val="416"/>
        </w:trPr>
        <w:tc>
          <w:tcPr>
            <w:tcW w:w="620" w:type="dxa"/>
            <w:vAlign w:val="bottom"/>
          </w:tcPr>
          <w:p>
            <w:pPr>
              <w:spacing w:after="0"/>
              <w:rPr>
                <w:sz w:val="20"/>
                <w:szCs w:val="20"/>
                <w:color w:val="auto"/>
              </w:rPr>
            </w:pPr>
            <w:r>
              <w:rPr>
                <w:rFonts w:ascii="Arial" w:cs="Arial" w:eastAsia="Arial" w:hAnsi="Arial"/>
                <w:sz w:val="18"/>
                <w:szCs w:val="18"/>
                <w:color w:val="auto"/>
              </w:rPr>
              <w:t>31.2+</w:t>
            </w:r>
          </w:p>
        </w:tc>
        <w:tc>
          <w:tcPr>
            <w:tcW w:w="9320" w:type="dxa"/>
            <w:vAlign w:val="bottom"/>
          </w:tcPr>
          <w:p>
            <w:pPr>
              <w:ind w:left="640"/>
              <w:spacing w:after="0"/>
              <w:rPr>
                <w:sz w:val="20"/>
                <w:szCs w:val="20"/>
                <w:color w:val="auto"/>
              </w:rPr>
            </w:pPr>
            <w:r>
              <w:rPr>
                <w:rFonts w:ascii="Arial" w:cs="Arial" w:eastAsia="Arial" w:hAnsi="Arial"/>
                <w:sz w:val="18"/>
                <w:szCs w:val="18"/>
                <w:color w:val="auto"/>
                <w:w w:val="91"/>
              </w:rPr>
              <w:t>Certification of Chief Financial Officer pursuant to Rule 13a-14(a)/15d-14(a), as adopted pursuant to Section 302 of the</w:t>
            </w:r>
          </w:p>
        </w:tc>
      </w:tr>
      <w:tr>
        <w:trPr>
          <w:trHeight w:val="230"/>
        </w:trPr>
        <w:tc>
          <w:tcPr>
            <w:tcW w:w="620" w:type="dxa"/>
            <w:vAlign w:val="bottom"/>
          </w:tcPr>
          <w:p>
            <w:pPr>
              <w:spacing w:after="0"/>
              <w:rPr>
                <w:sz w:val="19"/>
                <w:szCs w:val="19"/>
                <w:color w:val="auto"/>
              </w:rPr>
            </w:pPr>
          </w:p>
        </w:tc>
        <w:tc>
          <w:tcPr>
            <w:tcW w:w="9320" w:type="dxa"/>
            <w:vAlign w:val="bottom"/>
          </w:tcPr>
          <w:p>
            <w:pPr>
              <w:ind w:left="640"/>
              <w:spacing w:after="0"/>
              <w:rPr>
                <w:sz w:val="20"/>
                <w:szCs w:val="20"/>
                <w:color w:val="auto"/>
              </w:rPr>
            </w:pPr>
            <w:r>
              <w:rPr>
                <w:rFonts w:ascii="Arial" w:cs="Arial" w:eastAsia="Arial" w:hAnsi="Arial"/>
                <w:sz w:val="18"/>
                <w:szCs w:val="18"/>
                <w:color w:val="auto"/>
              </w:rPr>
              <w:t>Sarbanes-Oxley Act of 2002.</w:t>
            </w:r>
          </w:p>
        </w:tc>
      </w:tr>
      <w:tr>
        <w:trPr>
          <w:trHeight w:val="430"/>
        </w:trPr>
        <w:tc>
          <w:tcPr>
            <w:tcW w:w="620" w:type="dxa"/>
            <w:vAlign w:val="bottom"/>
          </w:tcPr>
          <w:p>
            <w:pPr>
              <w:spacing w:after="0"/>
              <w:rPr>
                <w:sz w:val="20"/>
                <w:szCs w:val="20"/>
                <w:color w:val="auto"/>
              </w:rPr>
            </w:pPr>
            <w:r>
              <w:rPr>
                <w:rFonts w:ascii="Arial" w:cs="Arial" w:eastAsia="Arial" w:hAnsi="Arial"/>
                <w:sz w:val="18"/>
                <w:szCs w:val="18"/>
                <w:color w:val="auto"/>
              </w:rPr>
              <w:t>32.1*</w:t>
            </w:r>
          </w:p>
        </w:tc>
        <w:tc>
          <w:tcPr>
            <w:tcW w:w="9320" w:type="dxa"/>
            <w:vAlign w:val="bottom"/>
          </w:tcPr>
          <w:p>
            <w:pPr>
              <w:ind w:left="640"/>
              <w:spacing w:after="0"/>
              <w:rPr>
                <w:sz w:val="20"/>
                <w:szCs w:val="20"/>
                <w:color w:val="auto"/>
              </w:rPr>
            </w:pPr>
            <w:r>
              <w:rPr>
                <w:rFonts w:ascii="Arial" w:cs="Arial" w:eastAsia="Arial" w:hAnsi="Arial"/>
                <w:sz w:val="18"/>
                <w:szCs w:val="18"/>
                <w:color w:val="auto"/>
                <w:w w:val="89"/>
              </w:rPr>
              <w:t>Certification pursuant to 18 U.S.C. Section 1350, as adopted pursuant to Section 906 of the Sarbanes-Oxley Act of 2002.</w:t>
            </w:r>
          </w:p>
        </w:tc>
      </w:tr>
    </w:tbl>
    <w:p>
      <w:pPr>
        <w:spacing w:after="0" w:line="201" w:lineRule="exact"/>
        <w:rPr>
          <w:sz w:val="20"/>
          <w:szCs w:val="20"/>
          <w:color w:val="auto"/>
        </w:rPr>
      </w:pPr>
    </w:p>
    <w:p>
      <w:pPr>
        <w:ind w:left="1300" w:hanging="1248"/>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0" w:type="dxa"/>
            <w:vAlign w:val="bottom"/>
          </w:tcPr>
          <w:p>
            <w:pPr>
              <w:jc w:val="right"/>
              <w:ind w:right="310"/>
              <w:spacing w:after="0"/>
              <w:rPr>
                <w:sz w:val="20"/>
                <w:szCs w:val="20"/>
                <w:color w:val="auto"/>
              </w:rPr>
            </w:pPr>
            <w:r>
              <w:rPr>
                <w:rFonts w:ascii="Arial" w:cs="Arial" w:eastAsia="Arial" w:hAnsi="Arial"/>
                <w:sz w:val="18"/>
                <w:szCs w:val="18"/>
                <w:color w:val="auto"/>
                <w:w w:val="99"/>
              </w:rPr>
              <w:t>101**</w:t>
            </w:r>
          </w:p>
        </w:tc>
        <w:tc>
          <w:tcPr>
            <w:tcW w:w="9520" w:type="dxa"/>
            <w:vAlign w:val="bottom"/>
          </w:tcPr>
          <w:p>
            <w:pPr>
              <w:ind w:left="400"/>
              <w:spacing w:after="0"/>
              <w:rPr>
                <w:sz w:val="20"/>
                <w:szCs w:val="20"/>
                <w:color w:val="auto"/>
              </w:rPr>
            </w:pPr>
            <w:r>
              <w:rPr>
                <w:rFonts w:ascii="Arial" w:cs="Arial" w:eastAsia="Arial" w:hAnsi="Arial"/>
                <w:sz w:val="18"/>
                <w:szCs w:val="18"/>
                <w:color w:val="auto"/>
                <w:w w:val="91"/>
              </w:rPr>
              <w:t>The following materials from the Company’s Quarterly Report on Form 10-Q for the quarter ended March 31, 2016, formatted</w:t>
            </w:r>
          </w:p>
        </w:tc>
      </w:tr>
      <w:tr>
        <w:trPr>
          <w:trHeight w:val="230"/>
        </w:trPr>
        <w:tc>
          <w:tcPr>
            <w:tcW w:w="860" w:type="dxa"/>
            <w:vAlign w:val="bottom"/>
          </w:tcPr>
          <w:p>
            <w:pPr>
              <w:spacing w:after="0"/>
              <w:rPr>
                <w:sz w:val="19"/>
                <w:szCs w:val="19"/>
                <w:color w:val="auto"/>
              </w:rPr>
            </w:pPr>
          </w:p>
        </w:tc>
        <w:tc>
          <w:tcPr>
            <w:tcW w:w="9520" w:type="dxa"/>
            <w:vAlign w:val="bottom"/>
          </w:tcPr>
          <w:p>
            <w:pPr>
              <w:ind w:left="400"/>
              <w:spacing w:after="0"/>
              <w:rPr>
                <w:sz w:val="20"/>
                <w:szCs w:val="20"/>
                <w:color w:val="auto"/>
              </w:rPr>
            </w:pPr>
            <w:r>
              <w:rPr>
                <w:rFonts w:ascii="Arial" w:cs="Arial" w:eastAsia="Arial" w:hAnsi="Arial"/>
                <w:sz w:val="18"/>
                <w:szCs w:val="18"/>
                <w:color w:val="auto"/>
                <w:w w:val="97"/>
              </w:rPr>
              <w:t>in XBRL (Extensible Business Reporting Language): (i) the unaudited Consolidated Balance Sheets, (ii) the unaudited</w:t>
            </w:r>
          </w:p>
        </w:tc>
      </w:tr>
    </w:tbl>
    <w:p>
      <w:pPr>
        <w:jc w:val="both"/>
        <w:ind w:left="1260"/>
        <w:spacing w:after="0" w:line="254" w:lineRule="auto"/>
        <w:rPr>
          <w:sz w:val="20"/>
          <w:szCs w:val="20"/>
          <w:color w:val="auto"/>
        </w:rPr>
      </w:pPr>
      <w:r>
        <w:rPr>
          <w:rFonts w:ascii="Arial" w:cs="Arial" w:eastAsia="Arial" w:hAnsi="Arial"/>
          <w:sz w:val="18"/>
          <w:szCs w:val="18"/>
          <w:color w:val="auto"/>
        </w:rPr>
        <w:t>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9" w:lineRule="exact"/>
        <w:rPr>
          <w:sz w:val="20"/>
          <w:szCs w:val="20"/>
          <w:color w:val="auto"/>
        </w:rPr>
      </w:pPr>
    </w:p>
    <w:p>
      <w:pPr>
        <w:jc w:val="both"/>
        <w:ind w:left="1260" w:hanging="708"/>
        <w:spacing w:after="0" w:line="258"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5" w:lineRule="exact"/>
        <w:rPr>
          <w:sz w:val="20"/>
          <w:szCs w:val="20"/>
          <w:color w:val="auto"/>
        </w:rPr>
      </w:pPr>
    </w:p>
    <w:p>
      <w:pPr>
        <w:ind w:left="1260" w:hanging="79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0380"/>
          </w:cols>
          <w:pgMar w:left="240" w:top="578" w:right="127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3" w:lineRule="exact"/>
        <w:rPr>
          <w:sz w:val="20"/>
          <w:szCs w:val="20"/>
          <w:color w:val="auto"/>
        </w:rPr>
      </w:pPr>
    </w:p>
    <w:p>
      <w:pPr>
        <w:ind w:left="840" w:hanging="510"/>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3" w:lineRule="exact"/>
        <w:rPr>
          <w:rFonts w:ascii="Arial" w:cs="Arial" w:eastAsia="Arial" w:hAnsi="Arial"/>
          <w:sz w:val="18"/>
          <w:szCs w:val="18"/>
          <w:color w:val="auto"/>
        </w:rPr>
      </w:pPr>
    </w:p>
    <w:p>
      <w:pPr>
        <w:jc w:val="both"/>
        <w:ind w:left="840" w:right="820" w:hanging="510"/>
        <w:spacing w:after="0" w:line="262"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840" w:right="800" w:hanging="510"/>
        <w:spacing w:after="0" w:line="340" w:lineRule="auto"/>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40" w:right="800" w:hanging="510"/>
        <w:spacing w:after="0" w:line="262"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82" w:lineRule="exact"/>
        <w:rPr>
          <w:rFonts w:ascii="Arial" w:cs="Arial" w:eastAsia="Arial" w:hAnsi="Arial"/>
          <w:sz w:val="18"/>
          <w:szCs w:val="18"/>
          <w:color w:val="auto"/>
        </w:rPr>
      </w:pPr>
    </w:p>
    <w:p>
      <w:pPr>
        <w:jc w:val="both"/>
        <w:ind w:left="840" w:right="800" w:hanging="236"/>
        <w:spacing w:after="0" w:line="262" w:lineRule="auto"/>
        <w:tabs>
          <w:tab w:leader="none" w:pos="8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840" w:right="800" w:hanging="246"/>
        <w:spacing w:after="0" w:line="262" w:lineRule="auto"/>
        <w:tabs>
          <w:tab w:leader="none" w:pos="8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840" w:right="820" w:hanging="236"/>
        <w:spacing w:after="0" w:line="340" w:lineRule="auto"/>
        <w:tabs>
          <w:tab w:leader="none" w:pos="8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840" w:right="820" w:hanging="246"/>
        <w:spacing w:after="0" w:line="262" w:lineRule="auto"/>
        <w:tabs>
          <w:tab w:leader="none" w:pos="8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jc w:val="both"/>
        <w:ind w:left="840" w:right="800" w:hanging="510"/>
        <w:spacing w:after="0" w:line="262"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Arial" w:cs="Arial" w:eastAsia="Arial" w:hAnsi="Arial"/>
          <w:sz w:val="18"/>
          <w:szCs w:val="18"/>
          <w:color w:val="auto"/>
        </w:rPr>
      </w:pPr>
    </w:p>
    <w:p>
      <w:pPr>
        <w:ind w:left="840" w:right="820" w:hanging="236"/>
        <w:spacing w:after="0" w:line="306" w:lineRule="auto"/>
        <w:tabs>
          <w:tab w:leader="none" w:pos="8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840" w:right="820" w:hanging="246"/>
        <w:spacing w:after="0" w:line="275" w:lineRule="auto"/>
        <w:tabs>
          <w:tab w:leader="none" w:pos="8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233"/>
        </w:trPr>
        <w:tc>
          <w:tcPr>
            <w:tcW w:w="25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4"/>
        </w:trPr>
        <w:tc>
          <w:tcPr>
            <w:tcW w:w="2560" w:type="dxa"/>
            <w:vAlign w:val="bottom"/>
          </w:tcPr>
          <w:p>
            <w:pPr>
              <w:spacing w:after="0"/>
              <w:rPr>
                <w:sz w:val="20"/>
                <w:szCs w:val="20"/>
                <w:color w:val="auto"/>
              </w:rPr>
            </w:pPr>
            <w:r>
              <w:rPr>
                <w:rFonts w:ascii="Arial" w:cs="Arial" w:eastAsia="Arial" w:hAnsi="Arial"/>
                <w:sz w:val="18"/>
                <w:szCs w:val="18"/>
                <w:color w:val="auto"/>
              </w:rPr>
              <w:t>May 16, 2016</w:t>
            </w:r>
          </w:p>
        </w:tc>
        <w:tc>
          <w:tcPr>
            <w:tcW w:w="6480" w:type="dxa"/>
            <w:vAlign w:val="bottom"/>
            <w:gridSpan w:val="2"/>
          </w:tcPr>
          <w:p>
            <w:pPr>
              <w:ind w:left="1580"/>
              <w:spacing w:after="0"/>
              <w:rPr>
                <w:sz w:val="20"/>
                <w:szCs w:val="20"/>
                <w:color w:val="auto"/>
              </w:rPr>
            </w:pPr>
            <w:r>
              <w:rPr>
                <w:rFonts w:ascii="Arial" w:cs="Arial" w:eastAsia="Arial" w:hAnsi="Arial"/>
                <w:sz w:val="18"/>
                <w:szCs w:val="18"/>
                <w:color w:val="auto"/>
              </w:rPr>
              <w:t>By:   /s/Michael H. Tardugno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0</wp:posOffset>
            </wp:positionV>
            <wp:extent cx="28422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2260" cy="8255"/>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Michael H. Tardugno</w:t>
      </w:r>
    </w:p>
    <w:p>
      <w:pPr>
        <w:spacing w:after="0" w:line="22"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Chairman, President and</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3" w:lineRule="exact"/>
        <w:rPr>
          <w:sz w:val="20"/>
          <w:szCs w:val="20"/>
          <w:color w:val="auto"/>
        </w:rPr>
      </w:pPr>
    </w:p>
    <w:p>
      <w:pPr>
        <w:ind w:left="860" w:hanging="490"/>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3" w:lineRule="exact"/>
        <w:rPr>
          <w:rFonts w:ascii="Arial" w:cs="Arial" w:eastAsia="Arial" w:hAnsi="Arial"/>
          <w:sz w:val="18"/>
          <w:szCs w:val="18"/>
          <w:color w:val="auto"/>
        </w:rPr>
      </w:pPr>
    </w:p>
    <w:p>
      <w:pPr>
        <w:jc w:val="both"/>
        <w:ind w:left="860" w:right="600" w:hanging="490"/>
        <w:spacing w:after="0" w:line="262"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860" w:right="580" w:hanging="490"/>
        <w:spacing w:after="0" w:line="340" w:lineRule="auto"/>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60" w:right="580" w:hanging="490"/>
        <w:spacing w:after="0" w:line="290" w:lineRule="auto"/>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860"/>
        <w:spacing w:after="0"/>
        <w:rPr>
          <w:rFonts w:ascii="Arial" w:cs="Arial" w:eastAsia="Arial" w:hAnsi="Arial"/>
          <w:sz w:val="16"/>
          <w:szCs w:val="16"/>
          <w:color w:val="auto"/>
        </w:rPr>
      </w:pPr>
      <w:r>
        <w:rPr>
          <w:rFonts w:ascii="Arial" w:cs="Arial" w:eastAsia="Arial" w:hAnsi="Arial"/>
          <w:sz w:val="18"/>
          <w:szCs w:val="18"/>
          <w:color w:val="auto"/>
        </w:rPr>
        <w:t>13a-15(f) and 15d-15 (f)), for the registrant and have:</w:t>
      </w:r>
    </w:p>
    <w:p>
      <w:pPr>
        <w:spacing w:after="0" w:line="208" w:lineRule="exact"/>
        <w:rPr>
          <w:rFonts w:ascii="Arial" w:cs="Arial" w:eastAsia="Arial" w:hAnsi="Arial"/>
          <w:sz w:val="16"/>
          <w:szCs w:val="16"/>
          <w:color w:val="auto"/>
        </w:rPr>
      </w:pPr>
    </w:p>
    <w:p>
      <w:pPr>
        <w:ind w:left="860" w:right="780" w:hanging="274"/>
        <w:spacing w:after="0" w:line="262" w:lineRule="auto"/>
        <w:tabs>
          <w:tab w:leader="none" w:pos="8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860" w:right="600" w:hanging="284"/>
        <w:spacing w:after="0" w:line="262" w:lineRule="auto"/>
        <w:tabs>
          <w:tab w:leader="none" w:pos="8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860" w:right="600" w:hanging="274"/>
        <w:spacing w:after="0" w:line="340" w:lineRule="auto"/>
        <w:tabs>
          <w:tab w:leader="none" w:pos="8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860" w:right="600" w:hanging="284"/>
        <w:spacing w:after="0" w:line="262" w:lineRule="auto"/>
        <w:tabs>
          <w:tab w:leader="none" w:pos="8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jc w:val="both"/>
        <w:ind w:left="860" w:right="600" w:hanging="490"/>
        <w:spacing w:after="0" w:line="262"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Arial" w:cs="Arial" w:eastAsia="Arial" w:hAnsi="Arial"/>
          <w:sz w:val="18"/>
          <w:szCs w:val="18"/>
          <w:color w:val="auto"/>
        </w:rPr>
      </w:pPr>
    </w:p>
    <w:p>
      <w:pPr>
        <w:ind w:left="860" w:right="600" w:hanging="229"/>
        <w:spacing w:after="0" w:line="306" w:lineRule="auto"/>
        <w:tabs>
          <w:tab w:leader="none" w:pos="860" w:val="left"/>
        </w:tabs>
        <w:numPr>
          <w:ilvl w:val="2"/>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860" w:right="600" w:hanging="239"/>
        <w:spacing w:after="0" w:line="275" w:lineRule="auto"/>
        <w:tabs>
          <w:tab w:leader="none" w:pos="8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233"/>
        </w:trPr>
        <w:tc>
          <w:tcPr>
            <w:tcW w:w="26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4"/>
        </w:trPr>
        <w:tc>
          <w:tcPr>
            <w:tcW w:w="2600" w:type="dxa"/>
            <w:vAlign w:val="bottom"/>
          </w:tcPr>
          <w:p>
            <w:pPr>
              <w:spacing w:after="0"/>
              <w:rPr>
                <w:sz w:val="20"/>
                <w:szCs w:val="20"/>
                <w:color w:val="auto"/>
              </w:rPr>
            </w:pPr>
            <w:r>
              <w:rPr>
                <w:rFonts w:ascii="Arial" w:cs="Arial" w:eastAsia="Arial" w:hAnsi="Arial"/>
                <w:sz w:val="18"/>
                <w:szCs w:val="18"/>
                <w:color w:val="auto"/>
              </w:rPr>
              <w:t>May 16, 2016</w:t>
            </w:r>
          </w:p>
        </w:tc>
        <w:tc>
          <w:tcPr>
            <w:tcW w:w="6640" w:type="dxa"/>
            <w:vAlign w:val="bottom"/>
            <w:gridSpan w:val="2"/>
          </w:tcPr>
          <w:p>
            <w:pPr>
              <w:ind w:left="1600"/>
              <w:spacing w:after="0"/>
              <w:rPr>
                <w:sz w:val="20"/>
                <w:szCs w:val="20"/>
                <w:color w:val="auto"/>
              </w:rPr>
            </w:pPr>
            <w:r>
              <w:rPr>
                <w:rFonts w:ascii="Arial" w:cs="Arial" w:eastAsia="Arial" w:hAnsi="Arial"/>
                <w:sz w:val="18"/>
                <w:szCs w:val="18"/>
                <w:color w:val="auto"/>
              </w:rPr>
              <w:t>By:   /s/Jeffrey W. Church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0</wp:posOffset>
            </wp:positionV>
            <wp:extent cx="29108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8"/>
          <w:szCs w:val="18"/>
          <w:color w:val="auto"/>
        </w:rPr>
        <w:t>Jeffrey W. Church</w:t>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Senior Vice President and</w:t>
      </w:r>
    </w:p>
    <w:p>
      <w:pPr>
        <w:spacing w:after="0" w:line="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March 31, 2016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5" w:lineRule="exact"/>
        <w:rPr>
          <w:sz w:val="20"/>
          <w:szCs w:val="20"/>
          <w:color w:val="auto"/>
        </w:rPr>
      </w:pPr>
    </w:p>
    <w:tbl>
      <w:tblPr>
        <w:tblLayout w:type="fixed"/>
        <w:tblInd w:w="1620" w:type="dxa"/>
        <w:tblCellMar>
          <w:top w:w="0" w:type="dxa"/>
          <w:left w:w="0" w:type="dxa"/>
          <w:bottom w:w="0" w:type="dxa"/>
          <w:right w:w="0" w:type="dxa"/>
        </w:tblCellMar>
      </w:tblPr>
      <w:tr>
        <w:trPr>
          <w:trHeight w:val="229"/>
        </w:trPr>
        <w:tc>
          <w:tcPr>
            <w:tcW w:w="2480" w:type="dxa"/>
            <w:vAlign w:val="bottom"/>
          </w:tcPr>
          <w:p>
            <w:pPr>
              <w:spacing w:after="0"/>
              <w:rPr>
                <w:sz w:val="20"/>
                <w:szCs w:val="20"/>
                <w:color w:val="auto"/>
              </w:rPr>
            </w:pPr>
            <w:r>
              <w:rPr>
                <w:rFonts w:ascii="Arial" w:cs="Arial" w:eastAsia="Arial" w:hAnsi="Arial"/>
                <w:sz w:val="18"/>
                <w:szCs w:val="18"/>
                <w:color w:val="auto"/>
              </w:rPr>
              <w:t>May 16, 2016</w:t>
            </w:r>
          </w:p>
        </w:tc>
        <w:tc>
          <w:tcPr>
            <w:tcW w:w="1840" w:type="dxa"/>
            <w:vAlign w:val="bottom"/>
          </w:tcPr>
          <w:p>
            <w:pPr>
              <w:ind w:left="1440"/>
              <w:spacing w:after="0"/>
              <w:rPr>
                <w:sz w:val="20"/>
                <w:szCs w:val="20"/>
                <w:color w:val="auto"/>
              </w:rPr>
            </w:pPr>
            <w:r>
              <w:rPr>
                <w:rFonts w:ascii="Arial" w:cs="Arial" w:eastAsia="Arial" w:hAnsi="Arial"/>
                <w:sz w:val="18"/>
                <w:szCs w:val="18"/>
                <w:color w:val="auto"/>
              </w:rPr>
              <w:t>By:</w:t>
            </w:r>
          </w:p>
        </w:tc>
        <w:tc>
          <w:tcPr>
            <w:tcW w:w="4720" w:type="dxa"/>
            <w:vAlign w:val="bottom"/>
            <w:gridSpan w:val="2"/>
          </w:tcPr>
          <w:p>
            <w:pPr>
              <w:ind w:left="140"/>
              <w:spacing w:after="0"/>
              <w:rPr>
                <w:sz w:val="20"/>
                <w:szCs w:val="20"/>
                <w:color w:val="auto"/>
              </w:rPr>
            </w:pPr>
            <w:r>
              <w:rPr>
                <w:rFonts w:ascii="Arial" w:cs="Arial" w:eastAsia="Arial" w:hAnsi="Arial"/>
                <w:sz w:val="18"/>
                <w:szCs w:val="18"/>
                <w:color w:val="auto"/>
              </w:rPr>
              <w:t>/s/Michael H. Tardugno</w:t>
            </w:r>
          </w:p>
        </w:tc>
      </w:tr>
      <w:tr>
        <w:trPr>
          <w:trHeight w:val="194"/>
        </w:trPr>
        <w:tc>
          <w:tcPr>
            <w:tcW w:w="2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24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Chairman, President and Chief Executive Officer</w:t>
            </w:r>
          </w:p>
        </w:tc>
      </w:tr>
      <w:tr>
        <w:trPr>
          <w:trHeight w:val="430"/>
        </w:trPr>
        <w:tc>
          <w:tcPr>
            <w:tcW w:w="2480" w:type="dxa"/>
            <w:vAlign w:val="bottom"/>
          </w:tcPr>
          <w:p>
            <w:pPr>
              <w:ind w:left="40"/>
              <w:spacing w:after="0"/>
              <w:rPr>
                <w:sz w:val="20"/>
                <w:szCs w:val="20"/>
                <w:color w:val="auto"/>
              </w:rPr>
            </w:pPr>
            <w:r>
              <w:rPr>
                <w:rFonts w:ascii="Arial" w:cs="Arial" w:eastAsia="Arial" w:hAnsi="Arial"/>
                <w:sz w:val="18"/>
                <w:szCs w:val="18"/>
                <w:color w:val="auto"/>
              </w:rPr>
              <w:t>May 16, 2016</w:t>
            </w:r>
          </w:p>
        </w:tc>
        <w:tc>
          <w:tcPr>
            <w:tcW w:w="1840" w:type="dxa"/>
            <w:vAlign w:val="bottom"/>
          </w:tcPr>
          <w:p>
            <w:pPr>
              <w:ind w:left="1440"/>
              <w:spacing w:after="0"/>
              <w:rPr>
                <w:sz w:val="20"/>
                <w:szCs w:val="20"/>
                <w:color w:val="auto"/>
              </w:rPr>
            </w:pPr>
            <w:r>
              <w:rPr>
                <w:rFonts w:ascii="Arial" w:cs="Arial" w:eastAsia="Arial" w:hAnsi="Arial"/>
                <w:sz w:val="18"/>
                <w:szCs w:val="18"/>
                <w:color w:val="auto"/>
              </w:rPr>
              <w:t>By:</w:t>
            </w:r>
          </w:p>
        </w:tc>
        <w:tc>
          <w:tcPr>
            <w:tcW w:w="4720" w:type="dxa"/>
            <w:vAlign w:val="bottom"/>
            <w:gridSpan w:val="2"/>
          </w:tcPr>
          <w:p>
            <w:pPr>
              <w:ind w:left="140"/>
              <w:spacing w:after="0"/>
              <w:rPr>
                <w:sz w:val="20"/>
                <w:szCs w:val="20"/>
                <w:color w:val="auto"/>
              </w:rPr>
            </w:pPr>
            <w:r>
              <w:rPr>
                <w:rFonts w:ascii="Arial" w:cs="Arial" w:eastAsia="Arial" w:hAnsi="Arial"/>
                <w:sz w:val="18"/>
                <w:szCs w:val="18"/>
                <w:color w:val="auto"/>
              </w:rPr>
              <w:t>/s/Jeffrey W. Church</w:t>
            </w:r>
          </w:p>
        </w:tc>
      </w:tr>
      <w:tr>
        <w:trPr>
          <w:trHeight w:val="194"/>
        </w:trPr>
        <w:tc>
          <w:tcPr>
            <w:tcW w:w="2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24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1" w:lineRule="exact"/>
        <w:rPr>
          <w:sz w:val="20"/>
          <w:szCs w:val="20"/>
          <w:color w:val="auto"/>
        </w:rPr>
      </w:pPr>
    </w:p>
    <w:p>
      <w:pPr>
        <w:jc w:val="both"/>
        <w:ind w:firstLine="8"/>
        <w:spacing w:after="0" w:line="262" w:lineRule="auto"/>
        <w:tabs>
          <w:tab w:leader="none" w:pos="16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lvl w:ilvl="1">
      <w:lvlJc w:val="left"/>
      <w:lvlText w:val="*"/>
      <w:numFmt w:val="bullet"/>
      <w:start w:val="1"/>
    </w:lvl>
  </w:abstractNum>
  <w:abstractNum w:abstractNumId="18">
    <w:nsid w:val="721DA317"/>
    <w:multiLevelType w:val="hybridMultilevel"/>
    <w:lvl w:ilvl="0">
      <w:lvlJc w:val="left"/>
      <w:lvlText w:val="***"/>
      <w:numFmt w:val="bullet"/>
      <w:start w:val="1"/>
    </w:lvl>
    <w:lvl w:ilvl="1">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2019-12-05T17:38:15Z</dcterms:created>
  <dcterms:modified xsi:type="dcterms:W3CDTF">2019-12-05T17:38:15Z</dcterms:modified>
</cp:coreProperties>
</file>