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000" w:right="2240" w:hanging="39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14" w:gutter="0" w:footer="0" w:header="0"/>
        </w:sectPr>
      </w:pPr>
    </w:p>
    <w:p>
      <w:pPr>
        <w:spacing w:after="0" w:line="135"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60" w:space="720"/>
            <w:col w:w="5160"/>
          </w:cols>
          <w:pgMar w:left="320" w:top="740" w:right="339" w:bottom="1014"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2024, the Registrant had 14,400,889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6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106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December 31,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 30,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and Six Months Ended June 30,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9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June 30, 2024 and</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Six Months Ended June 30, 2024 and 2023</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spacing w:after="0"/>
              <w:rPr>
                <w:sz w:val="15"/>
                <w:szCs w:val="15"/>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459"/>
        </w:trPr>
        <w:tc>
          <w:tcPr>
            <w:tcW w:w="6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2023,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0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40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5,306,568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5,838,566</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r>
      <w:tr>
        <w:trPr>
          <w:trHeight w:val="24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2,339,773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2,545,051</w:t>
            </w:r>
          </w:p>
        </w:tc>
      </w:tr>
      <w:tr>
        <w:trPr>
          <w:trHeight w:val="210"/>
        </w:trPr>
        <w:tc>
          <w:tcPr>
            <w:tcW w:w="7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4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7,646,341</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18,240,704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625,028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751,906</w:t>
            </w:r>
          </w:p>
        </w:tc>
      </w:tr>
      <w:tr>
        <w:trPr>
          <w:trHeight w:val="216"/>
        </w:trPr>
        <w:tc>
          <w:tcPr>
            <w:tcW w:w="7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1,595,074</w:t>
            </w:r>
          </w:p>
        </w:tc>
      </w:tr>
      <w:tr>
        <w:trPr>
          <w:trHeight w:val="24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7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4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1,420,127</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2,925,459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9,691,496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788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2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00" w:type="dxa"/>
            <w:vAlign w:val="bottom"/>
            <w:tcBorders>
              <w:bottom w:val="single" w:sz="8" w:color="auto"/>
            </w:tcBorders>
          </w:tcPr>
          <w:p>
            <w:pPr>
              <w:jc w:val="center"/>
              <w:ind w:left="3750"/>
              <w:spacing w:after="0"/>
              <w:rPr>
                <w:sz w:val="20"/>
                <w:szCs w:val="20"/>
                <w:color w:val="auto"/>
              </w:rPr>
            </w:pPr>
            <w:r>
              <w:rPr>
                <w:rFonts w:ascii="Times New Roman" w:cs="Times New Roman" w:eastAsia="Times New Roman" w:hAnsi="Times New Roman"/>
                <w:sz w:val="18"/>
                <w:szCs w:val="18"/>
                <w:color w:val="auto"/>
                <w:w w:val="88"/>
              </w:rPr>
              <w:t>1</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6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6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6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1,969,302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3,515,192</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2,591,827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3,390,521</w:t>
            </w:r>
          </w:p>
        </w:tc>
      </w:tr>
      <w:tr>
        <w:trPr>
          <w:trHeight w:val="24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516,223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485,421</w:t>
            </w:r>
          </w:p>
        </w:tc>
      </w:tr>
      <w:tr>
        <w:trPr>
          <w:trHeight w:val="203"/>
        </w:trPr>
        <w:tc>
          <w:tcPr>
            <w:tcW w:w="7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5,077,352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7,391,134</w:t>
            </w:r>
          </w:p>
        </w:tc>
        <w:tc>
          <w:tcPr>
            <w:tcW w:w="100" w:type="dxa"/>
            <w:vAlign w:val="bottom"/>
            <w:tcBorders>
              <w:top w:val="single" w:sz="8" w:color="CCEEFF"/>
            </w:tcBorders>
          </w:tcPr>
          <w:p>
            <w:pPr>
              <w:spacing w:after="0"/>
              <w:rPr>
                <w:sz w:val="17"/>
                <w:szCs w:val="17"/>
                <w:color w:val="auto"/>
              </w:rPr>
            </w:pPr>
          </w:p>
        </w:tc>
      </w:tr>
      <w:tr>
        <w:trPr>
          <w:trHeight w:val="216"/>
        </w:trPr>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872,910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1,139,293</w:t>
            </w: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5,950,262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8,530,427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 outstanding at June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9,400,911 and 9,399,811 shares issued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2024 and December 31, 2023, respectively, and 9,400,889 and 9,399,789 shares outstanding at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94,009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93,998</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401,632,757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401,500,838</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r>
        <w:trPr>
          <w:trHeight w:val="23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(397,900,344)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(388,182,802)</w:t>
            </w:r>
          </w:p>
        </w:tc>
      </w:tr>
      <w:tr>
        <w:trPr>
          <w:trHeight w:val="216"/>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3,826,422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June 30, 2024 and December 31, 2023)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7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3,741,234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13,387,642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9,691,496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788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4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760" w:type="dxa"/>
            <w:vAlign w:val="bottom"/>
            <w:tcBorders>
              <w:bottom w:val="single" w:sz="8" w:color="auto"/>
            </w:tcBorders>
          </w:tcPr>
          <w:p>
            <w:pPr>
              <w:jc w:val="center"/>
              <w:ind w:left="339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on loan facility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Total other income (expense), net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32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29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2,819,645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3,134,399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6,113,506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5,754,204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2,193,706</w:t>
            </w:r>
          </w:p>
        </w:tc>
        <w:tc>
          <w:tcPr>
            <w:tcW w:w="3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2,339,886</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3,911,291</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5,404,531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5,013,351</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5,474,285</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10,024,797</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11,158,735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45"/>
        </w:trPr>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(5,013,351)</w:t>
            </w:r>
          </w:p>
        </w:tc>
        <w:tc>
          <w:tcPr>
            <w:tcW w:w="360" w:type="dxa"/>
            <w:vAlign w:val="bottom"/>
          </w:tcPr>
          <w:p>
            <w:pPr>
              <w:spacing w:after="0"/>
              <w:rPr>
                <w:sz w:val="24"/>
                <w:szCs w:val="24"/>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(5,474,285)</w:t>
            </w:r>
          </w:p>
        </w:tc>
        <w:tc>
          <w:tcPr>
            <w:tcW w:w="3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(10,024,797)</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(11,158,735)</w:t>
            </w:r>
          </w:p>
        </w:tc>
      </w:tr>
      <w:tr>
        <w:trPr>
          <w:trHeight w:val="27"/>
        </w:trPr>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630"/>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281,673</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307,255</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(37,095)</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(197,080)</w:t>
            </w:r>
          </w:p>
        </w:tc>
      </w:tr>
      <w:tr>
        <w:trPr>
          <w:trHeight w:val="255"/>
        </w:trPr>
        <w:tc>
          <w:tcPr>
            <w:tcW w:w="320" w:type="dxa"/>
            <w:vAlign w:val="bottom"/>
          </w:tcPr>
          <w:p>
            <w:pPr>
              <w:spacing w:after="0"/>
              <w:rPr>
                <w:sz w:val="22"/>
                <w:szCs w:val="22"/>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(329,158)</w:t>
            </w:r>
          </w:p>
        </w:tc>
        <w:tc>
          <w:tcPr>
            <w:tcW w:w="32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(329,158)</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225,334</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(4,788,017)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(5,558,865)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(9,717,542)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(11,150,230)</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(0.61)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-2528570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-2253615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-1945005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-1645285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-1362710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-1087755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-779145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-471170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-179705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540" w:space="720"/>
            <w:col w:w="6940"/>
          </w:cols>
          <w:pgMar w:left="320" w:top="657" w:right="379" w:bottom="1440" w:gutter="0" w:footer="0" w:header="0"/>
        </w:sectPr>
      </w:pPr>
    </w:p>
    <w:tbl>
      <w:tblPr>
        <w:tblLayout w:type="fixed"/>
        <w:tblInd w:w="18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9,400,889</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9,136,573</w:t>
            </w: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9,400,889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0</wp:posOffset>
            </wp:positionV>
            <wp:extent cx="434594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5940" cy="25400"/>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640" w:type="dxa"/>
            <w:vAlign w:val="bottom"/>
            <w:gridSpan w:val="7"/>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24"/>
                <w:szCs w:val="24"/>
                <w:color w:val="auto"/>
              </w:rPr>
            </w:pPr>
          </w:p>
        </w:tc>
        <w:tc>
          <w:tcPr>
            <w:tcW w:w="30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2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28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realized and unrealized gains (losses) on</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9"/>
              </w:rPr>
              <w:t>available for sale securities, net</w:t>
            </w:r>
          </w:p>
        </w:tc>
        <w:tc>
          <w:tcPr>
            <w:tcW w:w="2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(72,306)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38,168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135,552</w:t>
            </w:r>
          </w:p>
        </w:tc>
      </w:tr>
      <w:tr>
        <w:trPr>
          <w:trHeight w:val="216"/>
        </w:trPr>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(4,788,017)</w:t>
            </w:r>
          </w:p>
        </w:tc>
        <w:tc>
          <w:tcPr>
            <w:tcW w:w="3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(5,558,865)</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(9,717,542)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(11,150,230)</w:t>
            </w:r>
          </w:p>
        </w:tc>
      </w:tr>
      <w:tr>
        <w:trPr>
          <w:trHeight w:val="216"/>
        </w:trPr>
        <w:tc>
          <w:tcPr>
            <w:tcW w:w="2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(4,860,323)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(5,520,697)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(9,717,542)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(11,014,678)</w:t>
            </w:r>
          </w:p>
        </w:tc>
      </w:tr>
      <w:tr>
        <w:trPr>
          <w:trHeight w:val="20"/>
        </w:trPr>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7280" w:type="dxa"/>
            <w:vAlign w:val="bottom"/>
            <w:gridSpan w:val="10"/>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88"/>
              </w:rPr>
              <w:t>4</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7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(9,717,542)</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(11,150,230)</w:t>
            </w: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138,633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108,482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224,947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and) losses, net, on investment securities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(61,983)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136,257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131,930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529,027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1,280,385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329,158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55,122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205,278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138,352</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(2,580,165)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(2,811,064)</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(10,378,517</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(10,776,752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(57,174)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(3,646,246)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9,915,448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shd w:val="clear" w:color="auto" w:fill="CCEEFF"/>
          </w:tcPr>
          <w:p>
            <w:pPr>
              <w:spacing w:after="0"/>
              <w:rPr>
                <w:sz w:val="18"/>
                <w:szCs w:val="18"/>
                <w:color w:val="auto"/>
              </w:rPr>
            </w:pPr>
          </w:p>
        </w:tc>
      </w:tr>
      <w:tr>
        <w:trPr>
          <w:trHeight w:val="23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(11,755)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(211,412)</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9,846,519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3,642,342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2,672,926</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Payoff of the SVB loan and accrued end-of-term fees</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(6,420,000)</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(3,747,074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(531,998)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(10,881,484)</w:t>
            </w: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5,306,568</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6,611,357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68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7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3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(179,542)</w:t>
            </w:r>
          </w:p>
        </w:tc>
      </w:tr>
      <w:tr>
        <w:trPr>
          <w:trHeight w:val="197"/>
        </w:trPr>
        <w:tc>
          <w:tcPr>
            <w:tcW w:w="7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operating lease right-of-use asset and liability</w:t>
            </w:r>
          </w:p>
        </w:tc>
        <w:tc>
          <w:tcPr>
            <w:tcW w:w="130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1,911,049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8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9,400,911</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$ 94,009</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$ 401,470,148</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133,101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(393,112,327)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8,499,743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(4,788,017)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(4,788,017)</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(133,101)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(133,101)</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162,609</w:t>
            </w:r>
          </w:p>
        </w:tc>
        <w:tc>
          <w:tcPr>
            <w:tcW w:w="24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162,609</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9,400,911</w:t>
            </w:r>
          </w:p>
        </w:tc>
        <w:tc>
          <w:tcPr>
            <w:tcW w:w="2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$ 94,009</w:t>
            </w:r>
          </w:p>
        </w:tc>
        <w:tc>
          <w:tcPr>
            <w:tcW w:w="1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$ 401,632,757</w:t>
            </w:r>
          </w:p>
        </w:tc>
        <w:tc>
          <w:tcPr>
            <w:tcW w:w="2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(397,900,344)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3,741,234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300" w:type="dxa"/>
            <w:vAlign w:val="bottom"/>
          </w:tcPr>
          <w:p>
            <w:pPr>
              <w:spacing w:after="0"/>
              <w:rPr>
                <w:sz w:val="24"/>
                <w:szCs w:val="24"/>
                <w:color w:val="auto"/>
              </w:rPr>
            </w:pPr>
          </w:p>
        </w:tc>
        <w:tc>
          <w:tcPr>
            <w:tcW w:w="18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8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9,097,027</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$ 90,970</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$ 400,776,487</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123,877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(374,259,190)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26,646,956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(5,558,865)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(5,558,865)</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154,976</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197,012</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198,562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38,168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38,168</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190,319</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190,319</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9,252,003</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$ 92,520</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$ 401,163,818</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162,045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(379,818,055)</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21,515,140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8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9,399,811</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$ 93,998</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$ 401,500,838</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60,796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(388,182,802)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13,387,642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(9,717,542)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(9,717,542)</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restricted</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(60,796)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(60,796)</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131,919</w:t>
            </w:r>
          </w:p>
        </w:tc>
        <w:tc>
          <w:tcPr>
            <w:tcW w:w="2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131,919</w:t>
            </w:r>
          </w:p>
        </w:tc>
        <w:tc>
          <w:tcPr>
            <w:tcW w:w="0" w:type="dxa"/>
            <w:vAlign w:val="bottom"/>
          </w:tcPr>
          <w:p>
            <w:pPr>
              <w:spacing w:after="0"/>
              <w:rPr>
                <w:sz w:val="1"/>
                <w:szCs w:val="1"/>
                <w:color w:val="auto"/>
              </w:rPr>
            </w:pPr>
          </w:p>
        </w:tc>
      </w:tr>
      <w:tr>
        <w:trPr>
          <w:trHeight w:val="167"/>
        </w:trPr>
        <w:tc>
          <w:tcPr>
            <w:tcW w:w="23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9,400,911</w:t>
            </w:r>
          </w:p>
        </w:tc>
        <w:tc>
          <w:tcPr>
            <w:tcW w:w="24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$ 94,009</w:t>
            </w:r>
          </w:p>
        </w:tc>
        <w:tc>
          <w:tcPr>
            <w:tcW w:w="1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$ 401,632,757</w:t>
            </w:r>
          </w:p>
        </w:tc>
        <w:tc>
          <w:tcPr>
            <w:tcW w:w="24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3"/>
                <w:szCs w:val="23"/>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 (397,900,344)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3,741,234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300" w:type="dxa"/>
            <w:vAlign w:val="bottom"/>
          </w:tcPr>
          <w:p>
            <w:pPr>
              <w:spacing w:after="0"/>
              <w:rPr>
                <w:sz w:val="24"/>
                <w:szCs w:val="24"/>
                <w:color w:val="auto"/>
              </w:rPr>
            </w:pPr>
          </w:p>
        </w:tc>
        <w:tc>
          <w:tcPr>
            <w:tcW w:w="18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8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7,436,219</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$ 74,362</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$ 397,980,023</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26,494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(368,667,825)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29,327,866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(11,150,230)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(11,150,230)</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1,815,584</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2,654,768</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2,672,924</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 restricted options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135,551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135,551</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529,027</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529,027</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9,252,003</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$ 92,520</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$ 401,163,818</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162,045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(379,818,055)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21,515,140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durable levels, within certain safety parameters, of powerful cancer-fighting molecules, such as interleukin-12 and interferon gamma, at the tumor site. Additionally, the Company initiated a first-in-human study of its COVID-19 booster vaccine (IMNN-101) in the second quarter of 2024. The Company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of America (“GAAP”) for interim financial information and with the instructions to Form 10-Q and Article 10 of Regulation S-X. All significant intercompany balances and transactions have been eliminated in consolidation. During the six months ended June 30, 2024,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six months ended June 30, 2024 and 2023,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2023, filed with the Securities and Exchange Commission on March 28,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condensed consolidated financial statements and accompanying notes. Actual results could differ materially from those estimates. Events and conditions arising subsequent to the most recent balance sheet date have been evaluated for their possible impact on the condensed consolidated financial statements and accompanying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(“FDA”). The Company has not generated significant revenue and has incurred significant net losses in each year since inception. For the six months ended June 30, 2024, the Company had a net loss of $9.7 million and used $10.3 million to fund operations. As of June 30, 2024, the Company has incurred approximately $398 million of cumulative net losses. As of June 30, 2024, the Company had $5.3 million in cash and cash equivalents, short-term investments, and interest receivable to fund its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Company entered into a Securities Purchase Agreement with certain institutional and accredited investors, pursuant to which the Company agreed to issue and sell,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Securities Purchase Agreement, the Company agreed to issue to the purchasers unregistered warrants to purchase shares of common stock. The warrants have an exercise price of $2.00 per share and were exercisable immediately after issuance for a term of five and one-half years following the date of issuance. The closing of the registered direct offering and concurrent private placement occurred on August 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condensed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net operating losses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achieve milestones under licensing arrangements; the costs involved in prosecuting and enforcing patent claims and other intellectual property rights; and the costs and timing of regulatory approvals.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potential out licensing for its drug candidates.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as a going concern may depend on the Company’s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the Company’s operations for the next twelve months.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the condensed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calculated based upon the net loss available to common stockholders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1,532,530 and 1,248,524 shares for the six months ended June 30, 2024 and 2023, respectively. For the three-month and six-month periods ended June 30, 2024 and 2023,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six months of 2024 or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Debt Securities-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$0 and $9,857,087 as of June 30, 2024 and December 31, 2023,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debt securities classified as short-term investments on a regular basis for impairment. For debt securities in unrealized loss positions, the Company determines whether any portion of the decline in fair value below the amortized cost basis is due to credit-related factors if it neither intends to sell nor anticipates that it is more likely than not that it will be required to sell prior to recovery of the amortized cost basis. The Company considers factors such as the extent to which the market value has been less than the cost, any noted failure of the issuer to make scheduled payments, changes to the rating of the security and other relevant credit-related factors in determining whether or not a credit loss exists. During the first six months of 2024 and 2023, the Company did not recognize an allowance for credit-related losses on any of its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8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9,796,291</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9,857,087</w:t>
            </w:r>
          </w:p>
        </w:tc>
        <w:tc>
          <w:tcPr>
            <w:tcW w:w="80" w:type="dxa"/>
            <w:vAlign w:val="bottom"/>
          </w:tcPr>
          <w:p>
            <w:pPr>
              <w:spacing w:after="0"/>
              <w:rPr>
                <w:sz w:val="20"/>
                <w:szCs w:val="20"/>
                <w:color w:val="auto"/>
              </w:rPr>
            </w:pPr>
          </w:p>
        </w:tc>
      </w:tr>
      <w:tr>
        <w:trPr>
          <w:trHeight w:val="434"/>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18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2,467,518</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2,490,775</w:t>
            </w:r>
          </w:p>
        </w:tc>
        <w:tc>
          <w:tcPr>
            <w:tcW w:w="80" w:type="dxa"/>
            <w:vAlign w:val="bottom"/>
          </w:tcPr>
          <w:p>
            <w:pPr>
              <w:spacing w:after="0"/>
              <w:rPr>
                <w:sz w:val="18"/>
                <w:szCs w:val="18"/>
                <w:color w:val="auto"/>
              </w:rPr>
            </w:pPr>
          </w:p>
        </w:tc>
      </w:tr>
      <w:tr>
        <w:trPr>
          <w:trHeight w:val="24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and12 months</w:t>
            </w:r>
          </w:p>
        </w:tc>
        <w:tc>
          <w:tcPr>
            <w:tcW w:w="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7,328,773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7,366,312</w:t>
            </w:r>
          </w:p>
        </w:tc>
        <w:tc>
          <w:tcPr>
            <w:tcW w:w="80" w:type="dxa"/>
            <w:vAlign w:val="bottom"/>
            <w:shd w:val="clear" w:color="auto" w:fill="CCEEFF"/>
          </w:tcPr>
          <w:p>
            <w:pPr>
              <w:spacing w:after="0"/>
              <w:rPr>
                <w:sz w:val="21"/>
                <w:szCs w:val="21"/>
                <w:color w:val="auto"/>
              </w:rPr>
            </w:pPr>
          </w:p>
        </w:tc>
      </w:tr>
      <w:tr>
        <w:trPr>
          <w:trHeight w:val="217"/>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9,796,291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June 30, 2024 and December 31, 2023. The Company has reviewed individual securities to determine whether a decline in fair value below the amortizable cost basis is other than temporary.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0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Available-for-sale securities (all unrealized holding</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lef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9,857,087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income, net, which includes net realized losses on sales of available-for-sale securities and investment income interest and dividends, is summarized as follows:</w:t>
      </w:r>
    </w:p>
    <w:p>
      <w:pPr>
        <w:spacing w:after="0" w:line="158"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00" w:type="dxa"/>
            <w:vAlign w:val="bottom"/>
            <w:shd w:val="clear" w:color="auto" w:fill="CCEEFF"/>
          </w:tcPr>
          <w:p>
            <w:pPr>
              <w:spacing w:after="0"/>
              <w:rPr>
                <w:sz w:val="18"/>
                <w:szCs w:val="18"/>
                <w:color w:val="auto"/>
              </w:rPr>
            </w:pPr>
          </w:p>
        </w:tc>
      </w:tr>
      <w:tr>
        <w:trPr>
          <w:trHeight w:val="23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 on investment in debt securities</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135,450</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(33,172)</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78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shd w:val="clear" w:color="auto" w:fill="CCEEFF"/>
          </w:tcPr>
          <w:p>
            <w:pPr>
              <w:spacing w:after="0"/>
              <w:rPr>
                <w:sz w:val="18"/>
                <w:szCs w:val="18"/>
                <w:color w:val="auto"/>
              </w:rPr>
            </w:pPr>
          </w:p>
        </w:tc>
      </w:tr>
      <w:tr>
        <w:trPr>
          <w:trHeight w:val="23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 on investment in debt securities</w:t>
            </w:r>
          </w:p>
        </w:tc>
        <w:tc>
          <w:tcPr>
            <w:tcW w:w="3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61,983</w:t>
            </w:r>
          </w:p>
        </w:tc>
        <w:tc>
          <w:tcPr>
            <w:tcW w:w="3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(136,257)</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Accounting Standards Codification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1 items in both 2024 and 2023. There were no transfers of assets or liabilities between Level 1 and Level 2 and no transfers in or out of Level 3 during the six-month period ended June 30, 2024 or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00" w:type="dxa"/>
            <w:vAlign w:val="bottom"/>
          </w:tcPr>
          <w:p>
            <w:pPr>
              <w:spacing w:after="0"/>
              <w:rPr>
                <w:sz w:val="21"/>
                <w:szCs w:val="21"/>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June 30, 2024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Accrued Liabilities</w:t>
      </w:r>
    </w:p>
    <w:p>
      <w:pPr>
        <w:sectPr>
          <w:pgSz w:w="11900" w:h="16838" w:orient="portrait"/>
          <w:cols w:equalWidth="0" w:num="1">
            <w:col w:w="11240"/>
          </w:cols>
          <w:pgMar w:left="320" w:top="661"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at June 30, 2024 and December 31, 2023 include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payroll and related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professional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8"/>
        </w:trPr>
        <w:tc>
          <w:tcPr>
            <w:tcW w:w="20" w:type="dxa"/>
            <w:vAlign w:val="bottom"/>
          </w:tcPr>
          <w:p>
            <w:pPr>
              <w:spacing w:after="0"/>
              <w:rPr>
                <w:sz w:val="17"/>
                <w:szCs w:val="17"/>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714,000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1,442,659</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1,693,383</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234,479</w:t>
            </w: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2,591,827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3,390,521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7160" w:space="720"/>
            <w:col w:w="3360"/>
          </w:cols>
          <w:pgMar w:left="320" w:top="661" w:right="339" w:bottom="1440" w:gutter="0" w:footer="0" w:header="0"/>
          <w:type w:val="continuous"/>
        </w:sectPr>
      </w:pP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Technology Finance Corporation pursuant to a loan agreement entered into on June 27, 2018, under which the Company had drawn down $10 million and repaid $5 million in August 2020. Concurrently with this transaction, the Company used $6.0 million of other available funds to establish a restricted cash account which served as security for the SVB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was in the form of money market secured indebtedness bearing interest at a calculated WSJ prime-based variable rate. A final payment equal to 3% of the total $10 million commitment amount was due upon maturity or prepayment of the SVB Loan Facility. There was no facility commitment fee, and no stock or warrants were issued to SVB. Payments under the loan agreement were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was recorded and classified as debt discount and was amortized as interest expense using the effective interest method over the life of the loan. Also, in connection with the SVB Loan Facility, the Company was required to pay an end-of-term fee equal to 3.0% of the original loan amount at time of maturity. Therefore, these amounts totaling $300,000 were amortized as interest expense using the effective interest method over the life of the loan. During the six months ended June 30, 2023, the Company incurred interest expense of $197,080 and amortized $329,158, as interest expense for debt discounts and end-of-term fee in connection with the SVB Loan Facility.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2023, the Company repaid the outstanding principal balance, an early termination fee and the end-of-term charges in full satisfaction of the SVB Loan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be no longer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The Company will not make any sales of its securities pursuant to the ATM Agreement, unless and until a new prospectus supplement or a new registration statement is filed relating to the ATM Agreement. Notwithstanding the termination of the ATM Prospectus, the ATM Agreement remains in full force and effect.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sell any shares of common stock under the ATM Agreement during the first six months of 2024. During the first six months of 2023, the Company sold 1,815,584 shares of common stock under the ATM Agreement for net proceeds of $2,672,924.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a Securities Purchase Agreement (the “July 2024 Purchase Agreement”) with certain institutional and accredited investors (each, a “Purchaser” and collectively, the “Purchasers”), pursuant to which the Company agreed to issue and sell,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the “July 2024 Offering”) and also pursuant to the July 2024 Purchase Agreement, the Company agreed to issue to the Purchasers unregistered warrants (the “Warrants”) to purchase shares of its common stock. The closing of the July 2024 Offering occurred on August 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 for certain of their expenses in an amount not to exceed $85,000. Brookline Capital Markets, a division of Arcadia Securities, LLC, acted as co-placement agent in the July 2024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July 2024 Purchase Agreement, the Purchasers purchased an aggregate of 5,000,000 shares of common stock and Warrants to purchase an aggregate of 5,000,000 shares of common stock at a purchase price of $2.00 per share and accompanying Warrant. The Warrants have an exercise price of $2.00 per share and became exercisable immediately after issuance for a term of five and one-half years following the date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80"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2019 Annual Stockholders Meeting of the Company held on May 14, 2019, stockholders approved an amendment to the 2018 Plan whereby the Company increased the number of common stock shares available by 80,000 to a total of 260,000 under the 2018 Plan, as amended.</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the Compensation Committee of the Board of Directors approved the grant of (i) inducement stock options (the “Inducement Option Grants”) to purchase a total of 294,751 shares of Imunon common stock and (ii) inducement restricted stock awards (the “Inducement Stock Grants”) totaling 91,350 shares of Imunon common stock. Each Inducement Option Grant has a weighted exercise price of $1.59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there was a total of 1,975,073 shares of Imunon common stock reserved for issuance under the 2018 Plan, which was comprised of 1,196,053 shares of Imunon common stock subject to equity awards previously granted under the 2018 Plan and the Company’s 2007 Stock Incentive Plan and 779,020 shares of Imunon common stock available for future issuance under the 2018 Plan. As of June 30, 2024, there was a total of 146,417 shares of Imunon common stock subject to outstanding inducement awards.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$0.1 million and $0.5 million for the six-month periods ended June 30, 2024 and 2023, respectively. Of these amounts, approximately $0.1 million for the six-month periods ended June 30, 2024 and 2023 was charged to research and development, and $17,000 reversal and $0.4 million were charged to general and administrative expenses during the six-month periods ended June 30, 2024 and 2023,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six-month periods ended June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88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vMerge w:val="continue"/>
          </w:tcPr>
          <w:p>
            <w:pPr>
              <w:spacing w:after="0"/>
              <w:rPr>
                <w:sz w:val="20"/>
                <w:szCs w:val="20"/>
                <w:color w:val="auto"/>
              </w:rPr>
            </w:pPr>
          </w:p>
        </w:tc>
        <w:tc>
          <w:tcPr>
            <w:tcW w:w="2880" w:type="dxa"/>
            <w:vAlign w:val="bottom"/>
            <w:gridSpan w:val="5"/>
            <w:vMerge w:val="continue"/>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2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584,500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awards terminated</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(305,512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June 30, 2024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1,342,470</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at June 30, 2024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June 30 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789,297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$0.4 million of total unrecognized compensation cost related to non-vested stock-based compensation arrangements. That cost is expected to be recognized over a period of three to four years. The weighted average grant date fair values of the stock options granted were $1.18 and $1.32 during the six-month periods ended June 30,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101.74 to 108.94%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107.03 to 113.64%</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 to 10.0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Warrants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all warrant activity for the six-month period ended June 30, 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7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160,060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160,060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June 30, 2024</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June 30, 2024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Leases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New Jersey Lease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June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1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314,270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543,009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362,976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370,236</w:t>
            </w: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5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30,903</w:t>
            </w:r>
          </w:p>
        </w:tc>
      </w:tr>
      <w:tr>
        <w:trPr>
          <w:trHeight w:val="203"/>
        </w:trPr>
        <w:tc>
          <w:tcPr>
            <w:tcW w:w="3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57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1,621,394</w:t>
            </w:r>
          </w:p>
        </w:tc>
        <w:tc>
          <w:tcPr>
            <w:tcW w:w="160" w:type="dxa"/>
            <w:vAlign w:val="bottom"/>
            <w:tcBorders>
              <w:top w:val="single" w:sz="8" w:color="CCEEFF"/>
            </w:tcBorders>
          </w:tcPr>
          <w:p>
            <w:pPr>
              <w:spacing w:after="0"/>
              <w:rPr>
                <w:sz w:val="17"/>
                <w:szCs w:val="17"/>
                <w:color w:val="auto"/>
              </w:rPr>
            </w:pPr>
          </w:p>
        </w:tc>
      </w:tr>
      <w:tr>
        <w:trPr>
          <w:trHeight w:val="24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(232,261)</w:t>
            </w:r>
          </w:p>
        </w:tc>
      </w:tr>
      <w:tr>
        <w:trPr>
          <w:trHeight w:val="256"/>
        </w:trPr>
        <w:tc>
          <w:tcPr>
            <w:tcW w:w="3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70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1,389,133</w:t>
            </w:r>
          </w:p>
        </w:tc>
        <w:tc>
          <w:tcPr>
            <w:tcW w:w="160" w:type="dxa"/>
            <w:vAlign w:val="bottom"/>
            <w:tcBorders>
              <w:top w:val="single" w:sz="8" w:color="CCEEFF"/>
              <w:bottom w:val="single" w:sz="8" w:color="CCEEFF"/>
            </w:tcBorders>
          </w:tcPr>
          <w:p>
            <w:pPr>
              <w:spacing w:after="0"/>
              <w:rPr>
                <w:sz w:val="22"/>
                <w:szCs w:val="22"/>
                <w:color w:val="auto"/>
              </w:rPr>
            </w:pPr>
          </w:p>
        </w:tc>
      </w:tr>
      <w:tr>
        <w:trPr>
          <w:trHeight w:val="197"/>
        </w:trPr>
        <w:tc>
          <w:tcPr>
            <w:tcW w:w="394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394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421"/>
        </w:trPr>
        <w:tc>
          <w:tcPr>
            <w:tcW w:w="39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six-month periods ended June 30, 2024, operating lease expense was $159,942 and $314,457, respectively, and cash paid for operating leases included in operating cash flows was $162,545 and $325,091,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six-month periods ended June 30, 2023, operating lease expense was $165,446 and $324,722, respectively, and cash paid for operating leases included in operating cash flows was $173,753 and $340,457,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alleged breach of fiduciary duty and other claims arising out of alleged statements made by certain of the Company’s directors and/or officers regarding ThermoDox®. The Company believed it has meritorious defenses to these claims and vigorously contested this suit. In June 2024, the U.S. District Court issued an Order for Dismissal without prejudice for this derivative shareholder lawsuit.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Imunon purchased product from Transomic for research and development purposes – primarily delivery vectors for its vaccine program. As a result of this investment in Transomic, Imunon’s executive chairman, Mr. Michael Tardugno, was appointed to the Board of Directors of Transomic. The Company disclosed the notes receivable as a related party transaction. In December 2023, Transomic filed a formal certificate of dissolution of the company resulting in a complete write off of the convertible note and related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its subsequent events from June 30, 2024, through the date these condensed consolidated financial statements were issued.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certain institutional and accredited investors, pursuant to which the Company agreed to issue and sell,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July 2024 Purchase Agreement, the Company agreed to issue to the Purchasers Warrants to purchase shares of common stock. The closing of the July 2024 Offering occurred on August 1, 2024.</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agents for certain of their expenses in an amount not to exceed $85,000. Brookline Capital Markets, a division of Arcadia Securities, LLC, acted as co-placement agent in the July 2024 Offering.</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Pursuant to the July 2024 Purchase Agreement, the Purchasers purchased an aggregate of 5,000,000 shares of common stock and Warrants to purchase an aggregate of 5,000,000 shares of Common Stock at a purchase price of $2.00 per share and accompanying Warrant. The Warrants have an exercise price of $2.00 per share and were exercisable immediately after issuance for a term of five and one-half years following the date of issuance.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in Item 1A. Risk factors in our Annual Report on Form 10-K for the fiscal year ended December 31, 2023, and in other filings that we make with the Securities and Exchange Commission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durable levels, within certain safety parameters, of powerful cancer-fighting molecules, such as interleukin-12 and interferon gamma, at the tumor site. Additionally, the Company initiated a first-in-human study of its COVID-19 booster vaccine (IMNN-101) in the second quarter of 2024.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our delivery systems are generally more efficient,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partial analysis of the data and are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Ib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12 to 15 patients in the Phase I portion and up to 95 patients in Phase II. The sample size is consistent with a Phase II trial designed to inform the design of a Phase III trial comparing IMNN-001 with neoadjuvant + adjuvant chemotherapy versus neoadjuvant + adjuvant chemotherapy alone. The primary endpoint is PFS and the primary analysis would be conducted after at least 80 events had been observed or after all patients had been followed for at least 16 months, whichever was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would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960" w:right="300" w:hanging="234"/>
        <w:spacing w:after="0" w:line="272" w:lineRule="auto"/>
        <w:tabs>
          <w:tab w:leader="none" w:pos="991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8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820" w:type="dxa"/>
            <w:vAlign w:val="bottom"/>
            <w:shd w:val="clear" w:color="auto" w:fill="CCEEFF"/>
          </w:tcPr>
          <w:p>
            <w:pPr>
              <w:ind w:left="2600"/>
              <w:spacing w:after="0" w:line="203" w:lineRule="exact"/>
              <w:rPr>
                <w:sz w:val="20"/>
                <w:szCs w:val="20"/>
                <w:color w:val="auto"/>
              </w:rPr>
            </w:pPr>
            <w:r>
              <w:rPr>
                <w:rFonts w:ascii="Times New Roman" w:cs="Times New Roman" w:eastAsia="Times New Roman" w:hAnsi="Times New Roman"/>
                <w:sz w:val="18"/>
                <w:szCs w:val="18"/>
                <w:color w:val="auto"/>
              </w:rPr>
              <w:t>N =12</w:t>
            </w:r>
          </w:p>
        </w:tc>
        <w:tc>
          <w:tcPr>
            <w:tcW w:w="16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8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N = 17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the encouraging Phase I OVATION 1 Study, the manuscript of which was submitted for peer review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 OVATION 2 Study continue treating patients with the dose of 100 mg/m2.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has completed enrollment with 113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follows a similar trend, showing an approximate 9-month improvement in the treatment arm over the control arm.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per protocol to evaluate efficacy.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As a Phase II study, the OVATION 2 Study was not powered for statistical significance. Additional endpoints included objective response rate, chemotherapy response score and surgical response. The Company plans to hold an End-of-Phase II meeting with the U.S. Food and Drug Administration to discuss the protocol for a Phase III study, which is anticipated to begin in the first quarter of 2025. The Company also plans to present full OVATION 2 Study results at an upcoming medical conference and to submit the results for publication in a peer-reviewed medical journal.</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with secondary endpoints including OS and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seven patients were enrolled in the Phase I portion of this study at the University of Texas MD Anderson Cancer Center. Memorial Sloan Kettering Cancer Center has been added as a clinical site for this study in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demonstrated continued drug stability at 4° C (standard refrigerated temperature). These compelling data were presented at the Vaccine Technology Summit 2023 in Boston in March 2023.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and pending resolution of limited comments from the FDA, expects to commence patient enrollment in the second quarter of 2024.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As currently planned, the Phase I study will enroll 24 subjects evaluating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 Based on these results, we will advance discussions with potential partners to continue development of the platform.</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announced that DM Clinical Research in Philadelphia was the first clinical site activated and ready for patient recruitment for its Phase I study with IMNN-101 in a seasonal COVID-19 vaccine. DM Clinical Research is an integrated national network of clinical trial sites focused on delivering advanced, preventive medicine to underserved communities. In June 2024, the Company announced that the first participants had been treated in the IMNN-101 Phase I clinical trial with two participants inoculated at DM Clinical Research. Topline data are anticipated by the year-end 2024. As of August 7, 2024, 17 patients had been treated in the IMNN-101 Phase I trial.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I trial is designed to establish PoC for IMNN-101 as an advancement in vaccine technology. At the conclusion of this trial, Imunon intends to seek partnership and/or business development opportunities to develop future the scientific and business case for IMNN-101 as a future vaccine to address viral mutations.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dates of such clinical trials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June 30, 2024, the Company has incurred approximately $398 million of cumulative net losses and had $5.3 million in cash and cash equivalents, short-term investments and interest receivable to fund its operations. On July 30, 2024, we entered into a Securities Purchase Agreement with certain institutional and accredited investors, pursuant to which we agreed to issue and sell, in a registered direct offering, an aggregate of 5,000,000 shares of the Company’s common stock at an offering price of $2.00 per share for gross proceeds of $10.0 million before the deduction of the placement agent fees and offering expenses.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via its “ATM” program pursuant to an At the Market Offering Agreement (the “ATM Agreement”) with H.C. Wainwright &amp; Co., LLC (“Wainwright”) as sales agent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not be sufficient to fund the Company’s operations for the next twelve months. The Company has no committed sources of additional capital. As a result of the risks and uncertainties discussed in our most recent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via its ATM program, if a new prospectus supplement or a new registration statement is filed, and other potential funding sources as mentioned.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These disruptions may also disrupt the clinical trials process and enrollment of patients. This may delay commercialization efforts. The Company continues to monitor its operating activities in light of these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and 2023 through the date of this Quarterly Report on Form 10-Q, we issued a total of 1.9 million shares of common stock as discussed below for approximately $2.8 million in net proceeds.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be no longer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2024, the Company amended its ATM Agreement with Wainwright as sales agent pursuant to which the Company may offer and sell, from time to time, through Wainwright, shares of the Company’s common stock having an aggregate offering price of up to $5,500,000. The Company intends to use the net proceeds from the offering, if any, for general corporate purposes, including research and development activities, capital expenditures and working capital. During 2023, the Company sold 1,904,142 shares of common stock for net proceeds of $2,781,438. The Company has not sold any shares of common stock under the ATM program in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The Company will not make any sales of its securities pursuant to the ATM Agreement, unless and until a new prospectus supplement or a new registration statement is filed. Notwithstanding the termination of the ATM Prospectus, the ATM Agreement remains in full force and effect.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a Securities Purchase Agreement (the “July 2024 Purchase Agreement”) with certain institutional and accredited investors (each, a “Purchaser” and collectively, the “Purchasers”), pursuant to which the Company agreed to issue and sell, in a registered direct offering, an aggregate of 5,000,000 shares of the Company’s common stock at an offering price of $2.00 per share for gross proceeds of $10.0 million before the deduction of the placement agent fees and offering expenses. In a concurrent private placement (together with the registered direct offering, the “July 2024 Offering”) and also pursuant to the July 2024 Purchase Agreement, the Company agreed to issue to the Purchasers unregistered warrants (the “Warrants”) to purchase shares of common stock. The closing of the July 2024 Offering occurred on August 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agents for certain of their expenses in an amount not to exceed $85,000. Brookline Capital Markets, a division of Arcadia Securities, LLC, acted as co-placement agent in the July 2024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July 2024 Purchase Agreement, the Purchasers purchased an aggregate of 5,000,000 shares of common stock and Warrants to purchase an aggregate of 5,000,000 shares of common stock at a purchase price of $2.00 per share and accompanying Warrant. The Warrants have an exercise price of $2.00 per share and were exercisable immediately after issuance for a term of five and one-half years following the date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2023 Annual Report on Form 10-K for the year ended December 31, 2023 filed with the SEC on March 28, 2024.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our net loss was $4.8 million compared to a net loss of $5.6 million for the same three-month period of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$5.3 million in cash and cash equivalents, short-term investments and interest receivable at June 30, 2024, such conditions raise substantial doubts about the Company’s ability to continue as a going concern. Based on the above, management has determined there is substantial doubt regarding our ability to continue a going concern.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certain institutional and accredited investors, pursuant to which the Company agreed to issue and sell,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July 2024 Purchase Agreement, the Company agreed to issue to the Purchasers unregistered warrants to purchase shares of common stock. The Warrants have an exercise price of $2.00 per share and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may include raising additional funds from the issuance and sale of its common stock via its ATM program, if a new prospectus supplement or a new registration statement is filed,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434</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318</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725</w:t>
            </w:r>
          </w:p>
        </w:tc>
        <w:tc>
          <w:tcPr>
            <w:tcW w:w="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3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(174)</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1,265</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(524)</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7"/>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723</w:t>
            </w:r>
          </w:p>
        </w:tc>
        <w:tc>
          <w:tcPr>
            <w:tcW w:w="30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(267)</w:t>
            </w:r>
          </w:p>
        </w:tc>
        <w:tc>
          <w:tcPr>
            <w:tcW w:w="9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3,134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2,340</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(146)</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5,474</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$2.8 million in the second quarter of 2024 compared to $3.1 million in same period of 2023. Costs associated with the OVATION 2 Study were $0.4 million in the second quarter of 2024 compared to $0.3 million in same period of 2023. Costs associated with the PlaCCine vaccine trial were $0.3 million in the second quarter of 2024. Other clinical and regulatory costs were $0.6 million in the second quarter of 2024 compared to $0.4 million in the same period of 2023. R&amp;D costs associated with the development of IMNN-001 to support the OVATION 2 Study were $0.2 million in the second quarter of 2024 compared to $0.4 million in same period of 2023. The development costs of the PLACCINE DNA vaccine technology platform decreased to $0.7 million in the second quarter of 2024 compared to $1.3 million in the same period of 2023. CMC costs decreased to $0.5 million in the second quarter of 2024 compared to $0.7 million in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$2.2 million in the second quarter of 2024 compared to $2.3 million in the same period of 2023. The decrease was primarily attributable to lower non-cash stock compensation expenses of $0.1 million, employee-related expenses of $0.1 million and increase in legal fees of $0.1 million.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non-operating income was $0.2 million in the second quarter of 2024 compared to other non-operating expense of $0.1 million in the same period of 2023. The Company incurred loss on extinguishment of debt expense of $0.3 million on its loan facility with Silicon Valley Bank in the second quarter of</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2023. This loan facility was repaid in full in the second quarter of 2023. Investment income from the Company’s short-term investments decreased by $0.1 million for the second quarter of 2024 compared with the same period in 2023 due to a decrease in investment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our net loss was $9.7 million compared to a net loss of $11.2 million for the same six-month period of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$5.3 million in cash and cash equivalents, short-term investments and interest receivable at June 30, 2024, such conditions raise substantial doubts about the Company’s ability to continue as a going concern. Based on the above, management has determined there is substantial doubt regarding our ability to continue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certain institutional and accredited investors, pursuant to which the Company agreed to issue and sell,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July 2024 Purchase Agreement, the Company agreed to issue to the Purchasers unregistered warrants to purchase shares of common stock. The Warrants have an exercise price of $2.00 per share and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additional funds from the issuance and sale of its common stock via its ATM program, if a new prospectus supplement or a new registration statement is filed,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721</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889</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353</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2,710</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w:t>
            </w:r>
          </w:p>
        </w:tc>
        <w:tc>
          <w:tcPr>
            <w:tcW w:w="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1,371</w:t>
            </w:r>
          </w:p>
        </w:tc>
        <w:tc>
          <w:tcPr>
            <w:tcW w:w="3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(325)</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7"/>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1,374</w:t>
            </w:r>
          </w:p>
        </w:tc>
        <w:tc>
          <w:tcPr>
            <w:tcW w:w="30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(578)</w:t>
            </w:r>
          </w:p>
        </w:tc>
        <w:tc>
          <w:tcPr>
            <w:tcW w:w="9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5,754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5,404</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(1,493)</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11,158</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expenses were $6.1 million in the first half of 2024 compared to $5.8 million in the same period of 2023. Costs associated with the OVATION 2 Study were $0.7 million in the first half of 2024 compared to $0.6 million in the same period of 2023. Costs associated with the PlaCCine vaccine trial were $0.9 million in the first half of 2024. Other clinical and regulatory costs were $1.1 million the first half of 2024 compared to $0.7 million in the same period of 2023. R&amp;D costs associated with the development of IMNN-001 to support the OVATION 2 Study were $0.7 million in the first half of 2024 compared to $0.8 million in the same period in 2023. The development of the PLACCINE DNA vaccine technology platform decreased to $2.0 million in the first half of 2024 compared to $2.3 million in the same period of 2023. CMC costs decreased to $0.8 million in the first half of 2024 compared to $1.4 million in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$3.9 million in the first half of 2024 compared to $5.4 million in the same period of 2023. The decrease was primarily attributable to lower non-cash stock compensation expenses of $0.4 million, legal expenses of $0.4 million, employee-related expenses of $0.3 million and insurance expenses of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Other non-operating income was $0.3 million in the first half of 2024 compared to $8,505 in the same period of 2023. The Company incurred interest expense of $0.2 million on its loan facility with Silicon Valley Bank in the first half of 2023. This loan facility was repaid in full in the second quarter of 2023. Investment income from the Company’s short-term investments decreased by $0.2 million for the first half of 2024 compared with the same period in 2023 due to a decrease in investment securities. The Company incurred debt extinguishment expense on its loan facility with Silicon Valley Bank in the first half of 2023 of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the sale of the Company’s net operating losses, and amounts received under various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$398 million at June 30,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we had total current assets of $7.6 million and current liabilities of $5.1 million, resulting in net working capital of $2.5 million. At June 30, 2024, we had cash and cash equivalents, short-term investments, interest receivable on short-term investments of $5.3 million. At December 31, 2023, we had total current assets of $18.2 million and current liabilities of $7.4 million, resulting in net working capital of $10.8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first six months of 2024 was $10.2 million. Net cash provided by investing activities was $9.7 million during the first six months of 2024. At June 30, 2024, we had cash and cash equivalents, short-term investments, and interest receivable on short term investments of $5.3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we entered into the July 2024 Purchase Agreement with certain institutional and accredited investors, pursuant to which we agreed to issue and sell, in a registered direct offering an aggregate of 5,000,000 shares of our common stock at an offering price of $2.00 per share for gross proceeds of $10.0 million before the deduction of placement agent fees and offering expenses. In a concurrent private placement (together with the registered direct offering) and also pursuant to the Securities Purchase Agreement, we agreed to issue to the Purchasers unregistered warrants to purchase shares of common stock. The Warrants have an exercise price of $2.00 per share and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if a new prospectus supplement or a new registration statement is filed,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2024,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alleged breach of fiduciary duty and other claims arising out of alleged statements made by certain of the Company’s directors and/or officers regarding ThermoDox®. The Company believes it has meritorious defenses to these claims and has vigorously contested this suit. In June 2024, the U.S. District Court issued an Order for Dismissal without prejudice for this derivative shareholder lawsuit.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2023 Annual Report on Form 10-K. The risks and uncertainties described in our 2023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9, 2024, Sébastien Hazard, M.D. separated from Imunon and his position as Executive Vice President and Chief Medical Officer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Employment Agreement, dated as of May 3, 2024, between Imunon, Inc. and Stacy Lindborg, Ph.D., incorporated herein by reference to</w:t>
              </w:r>
            </w:hyperlink>
          </w:p>
        </w:tc>
      </w:tr>
      <w:tr>
        <w:trPr>
          <w:trHeight w:val="196"/>
        </w:trPr>
        <w:tc>
          <w:tcPr>
            <w:tcW w:w="1100" w:type="dxa"/>
            <w:vAlign w:val="bottom"/>
          </w:tcPr>
          <w:p>
            <w:pPr>
              <w:spacing w:after="0"/>
              <w:rPr>
                <w:sz w:val="17"/>
                <w:szCs w:val="17"/>
                <w:color w:val="auto"/>
              </w:rPr>
            </w:pPr>
          </w:p>
        </w:tc>
        <w:tc>
          <w:tcPr>
            <w:tcW w:w="8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Exhibit 10.1 to the Current Report on Form 8-K of the Company filed on May 8, 2024 (SEC File No. 001-15911).</w:t>
              </w:r>
            </w:hyperlink>
          </w:p>
        </w:tc>
        <w:tc>
          <w:tcPr>
            <w:tcW w:w="192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Retirement and Consulting Agreement, dated May 17, 2024, between the Company and Jeffrey Church,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10.1 to the Current Report on Form 8-K of the Company filed on May 20, 2024 (SEC File No. 001-15911).</w:t>
              </w:r>
            </w:hyperlink>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gridSpan w:val="8"/>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Consulting Agreement, dated April 15, 2024, by and between the Company and Monomoy Advisors, LLC, incorporated herein by reference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to Exhibit 10.2 to the Current Report on Form 8-K of the Company filed on May 20, 2024 (SEC File No. 001-15911).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5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Sarbanes-Oxley</w:t>
            </w:r>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 Section 302 of the Sarbanes-Oxley Act</w:t>
            </w:r>
          </w:p>
        </w:tc>
      </w:tr>
      <w:tr>
        <w:trPr>
          <w:trHeight w:val="196"/>
        </w:trPr>
        <w:tc>
          <w:tcPr>
            <w:tcW w:w="110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12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1420" w:type="dxa"/>
            <w:vAlign w:val="bottom"/>
            <w:gridSpan w:val="2"/>
          </w:tcPr>
          <w:p>
            <w:pPr>
              <w:spacing w:after="0"/>
              <w:rPr>
                <w:sz w:val="24"/>
                <w:szCs w:val="24"/>
                <w:color w:val="auto"/>
              </w:rPr>
            </w:pPr>
          </w:p>
        </w:tc>
      </w:tr>
      <w:tr>
        <w:trPr>
          <w:trHeight w:val="4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2024 formatted in XBRL</w:t>
            </w:r>
          </w:p>
        </w:tc>
      </w:tr>
      <w:tr>
        <w:trPr>
          <w:trHeight w:val="216"/>
        </w:trPr>
        <w:tc>
          <w:tcPr>
            <w:tcW w:w="110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(Extensible Business Reporting Language): (i) the unaudited Consolidated Balance Sheets, (ii) the unaudited Consolidated Statements of</w:t>
            </w:r>
          </w:p>
        </w:tc>
      </w:tr>
      <w:tr>
        <w:trPr>
          <w:trHeight w:val="234"/>
        </w:trPr>
        <w:tc>
          <w:tcPr>
            <w:tcW w:w="1100" w:type="dxa"/>
            <w:vAlign w:val="bottom"/>
          </w:tcPr>
          <w:p>
            <w:pPr>
              <w:spacing w:after="0"/>
              <w:rPr>
                <w:sz w:val="20"/>
                <w:szCs w:val="20"/>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Operations, (iii) the unaudited Consolidated Statements of Comprehensive Loss, (iv) the unaudited Consolidated Statements of Cash Flows,</w:t>
            </w:r>
          </w:p>
        </w:tc>
      </w:tr>
    </w:tbl>
    <w:p>
      <w:pPr>
        <w:ind w:left="1100" w:firstLine="1"/>
        <w:spacing w:after="0" w:line="260" w:lineRule="auto"/>
        <w:tabs>
          <w:tab w:leader="none" w:pos="14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Statements of Change in Stockholders’ Equity (Deficit), and (vi) Notes to Consolidated Financial Statements.</w:t>
      </w:r>
    </w:p>
    <w:p>
      <w:pPr>
        <w:spacing w:after="0" w:line="181" w:lineRule="exact"/>
        <w:rPr>
          <w:rFonts w:ascii="Times New Roman" w:cs="Times New Roman" w:eastAsia="Times New Roman" w:hAnsi="Times New Roman"/>
          <w:sz w:val="18"/>
          <w:szCs w:val="18"/>
          <w:color w:val="auto"/>
        </w:rPr>
      </w:pPr>
    </w:p>
    <w:p>
      <w:pPr>
        <w:ind w:left="1100" w:hanging="109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1100" w:hanging="1092"/>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left="1100" w:hanging="1092"/>
        <w:spacing w:after="0" w:line="282"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162" w:lineRule="exact"/>
        <w:rPr>
          <w:sz w:val="20"/>
          <w:szCs w:val="20"/>
          <w:color w:val="auto"/>
        </w:rPr>
      </w:pPr>
    </w:p>
    <w:p>
      <w:pPr>
        <w:jc w:val="both"/>
        <w:ind w:left="1100" w:hanging="1092"/>
        <w:spacing w:after="0" w:line="26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1100" w:hanging="1092"/>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360" w:hanging="5532"/>
        <w:spacing w:after="0" w:line="783" w:lineRule="auto"/>
        <w:tabs>
          <w:tab w:leader="none" w:pos="11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certify that:</w:t>
      </w:r>
    </w:p>
    <w:p>
      <w:pPr>
        <w:spacing w:after="0" w:line="225" w:lineRule="exact"/>
        <w:rPr>
          <w:sz w:val="20"/>
          <w:szCs w:val="20"/>
          <w:color w:val="auto"/>
        </w:rPr>
      </w:pPr>
    </w:p>
    <w:p>
      <w:pPr>
        <w:ind w:left="660" w:hanging="39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Gaiero, certify that:</w:t>
      </w:r>
    </w:p>
    <w:p>
      <w:pPr>
        <w:spacing w:after="0" w:line="225" w:lineRule="exact"/>
        <w:rPr>
          <w:sz w:val="20"/>
          <w:szCs w:val="20"/>
          <w:color w:val="auto"/>
        </w:rPr>
      </w:pPr>
    </w:p>
    <w:p>
      <w:pPr>
        <w:ind w:left="660" w:hanging="39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2024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ind w:firstLine="8"/>
        <w:spacing w:after="0" w:line="266" w:lineRule="auto"/>
        <w:tabs>
          <w:tab w:leader="none" w:pos="1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amp;"/>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2)"/>
      <w:numFmt w:val="lowerRoman"/>
      <w:start w:val="5"/>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0" Type="http://schemas.openxmlformats.org/officeDocument/2006/relationships/hyperlink" Target="https://www.sec.gov/Archives/edgar/data/749647/000149315224018166/ex10-1.htm" TargetMode="External"/><Relationship Id="rId61" Type="http://schemas.openxmlformats.org/officeDocument/2006/relationships/hyperlink" Target="https://www.sec.gov/Archives/edgar/data/749647/000149315224020543/ex10-1.htm" TargetMode="External"/><Relationship Id="rId62" Type="http://schemas.openxmlformats.org/officeDocument/2006/relationships/hyperlink" Target="https://www.sec.gov/Archives/edgar/data/749647/00014931522402054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2024-08-14T08:11:35Z</dcterms:created>
  <dcterms:modified xsi:type="dcterms:W3CDTF">2024-08-14T08:11:35Z</dcterms:modified>
</cp:coreProperties>
</file>