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3409950</wp:posOffset>
            </wp:positionH>
            <wp:positionV relativeFrom="paragraph">
              <wp:posOffset>211455</wp:posOffset>
            </wp:positionV>
            <wp:extent cx="4375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3409950</wp:posOffset>
            </wp:positionH>
            <wp:positionV relativeFrom="paragraph">
              <wp:posOffset>88265</wp:posOffset>
            </wp:positionV>
            <wp:extent cx="4375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20" w:right="1880" w:hanging="4012"/>
        <w:spacing w:after="0" w:line="501" w:lineRule="auto"/>
        <w:tabs>
          <w:tab w:leader="none" w:pos="7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760" w:hanging="752"/>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001-15911</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CELSION CORPORATION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8"/>
              </w:rPr>
              <w:t>DELAWARE</w:t>
            </w:r>
          </w:p>
        </w:tc>
        <w:tc>
          <w:tcPr>
            <w:tcW w:w="4660" w:type="dxa"/>
            <w:vAlign w:val="bottom"/>
          </w:tcPr>
          <w:p>
            <w:pPr>
              <w:jc w:val="right"/>
              <w:ind w:right="2270"/>
              <w:spacing w:after="0"/>
              <w:rPr>
                <w:sz w:val="20"/>
                <w:szCs w:val="20"/>
                <w:color w:val="auto"/>
              </w:rPr>
            </w:pPr>
            <w:r>
              <w:rPr>
                <w:rFonts w:ascii="Arial" w:cs="Arial" w:eastAsia="Arial" w:hAnsi="Arial"/>
                <w:sz w:val="18"/>
                <w:szCs w:val="18"/>
                <w:b w:val="1"/>
                <w:bCs w:val="1"/>
                <w:color w:val="auto"/>
              </w:rPr>
              <w:t>52-1256615</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or Other Jurisdiction of Incorporation or Organization)</w:t>
            </w:r>
          </w:p>
        </w:tc>
        <w:tc>
          <w:tcPr>
            <w:tcW w:w="2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60" w:type="dxa"/>
            <w:vAlign w:val="bottom"/>
            <w:tcBorders>
              <w:top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96"/>
        </w:trPr>
        <w:tc>
          <w:tcPr>
            <w:tcW w:w="676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98"/>
              </w:rPr>
              <w:t>997 LENOX DRIVE, SUITE 100</w:t>
            </w:r>
          </w:p>
        </w:tc>
        <w:tc>
          <w:tcPr>
            <w:tcW w:w="4660" w:type="dxa"/>
            <w:vAlign w:val="bottom"/>
          </w:tcPr>
          <w:p>
            <w:pPr>
              <w:spacing w:after="0"/>
              <w:rPr>
                <w:sz w:val="24"/>
                <w:szCs w:val="24"/>
                <w:color w:val="auto"/>
              </w:rPr>
            </w:pPr>
          </w:p>
        </w:tc>
      </w:tr>
      <w:tr>
        <w:trPr>
          <w:trHeight w:val="234"/>
        </w:trPr>
        <w:tc>
          <w:tcPr>
            <w:tcW w:w="676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rPr>
              <w:t>LAWRENCEVILLE, NJ</w:t>
            </w:r>
          </w:p>
        </w:tc>
        <w:tc>
          <w:tcPr>
            <w:tcW w:w="4660" w:type="dxa"/>
            <w:vAlign w:val="bottom"/>
          </w:tcPr>
          <w:p>
            <w:pPr>
              <w:jc w:val="right"/>
              <w:ind w:right="2470"/>
              <w:spacing w:after="0"/>
              <w:rPr>
                <w:sz w:val="20"/>
                <w:szCs w:val="20"/>
                <w:color w:val="auto"/>
              </w:rPr>
            </w:pPr>
            <w:r>
              <w:rPr>
                <w:rFonts w:ascii="Arial" w:cs="Arial" w:eastAsia="Arial" w:hAnsi="Arial"/>
                <w:sz w:val="18"/>
                <w:szCs w:val="18"/>
                <w:b w:val="1"/>
                <w:bCs w:val="1"/>
                <w:color w:val="auto"/>
              </w:rPr>
              <w:t>08648</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60" w:type="dxa"/>
            <w:vAlign w:val="bottom"/>
            <w:tcBorders>
              <w:top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7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(609) 896-9100</w:t>
            </w:r>
          </w:p>
        </w:tc>
        <w:tc>
          <w:tcPr>
            <w:tcW w:w="466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Title of Each Class</w:t>
            </w: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28"/>
        </w:trPr>
        <w:tc>
          <w:tcPr>
            <w:tcW w:w="586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COMMON STOCK, PAR VALUE $0.01 PER SHARE</w:t>
            </w:r>
          </w:p>
        </w:tc>
        <w:tc>
          <w:tcPr>
            <w:tcW w:w="5560" w:type="dxa"/>
            <w:vAlign w:val="bottom"/>
          </w:tcPr>
          <w:p>
            <w:pPr>
              <w:jc w:val="center"/>
              <w:spacing w:after="0"/>
              <w:rPr>
                <w:sz w:val="20"/>
                <w:szCs w:val="20"/>
                <w:color w:val="auto"/>
              </w:rPr>
            </w:pPr>
            <w:r>
              <w:rPr>
                <w:rFonts w:ascii="Arial" w:cs="Arial" w:eastAsia="Arial" w:hAnsi="Arial"/>
                <w:sz w:val="18"/>
                <w:szCs w:val="18"/>
                <w:b w:val="1"/>
                <w:bCs w:val="1"/>
                <w:color w:val="auto"/>
              </w:rPr>
              <w:t>NASDAQ CAPITAL MARKET</w:t>
            </w:r>
          </w:p>
        </w:tc>
      </w:tr>
    </w:tbl>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8520" w:space="440"/>
            <w:col w:w="480" w:space="220"/>
            <w:col w:w="1760"/>
          </w:cols>
          <w:pgMar w:left="240" w:top="768" w:right="2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8680" w:space="440"/>
            <w:col w:w="480" w:space="220"/>
            <w:col w:w="1600"/>
          </w:cols>
          <w:pgMar w:left="240" w:top="768" w:right="239" w:bottom="1440" w:gutter="0" w:footer="0" w:header="0"/>
          <w:type w:val="continuous"/>
        </w:sectPr>
      </w:pPr>
    </w:p>
    <w:p>
      <w:pPr>
        <w:spacing w:after="0" w:line="4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spacing w:after="0"/>
              <w:rPr>
                <w:sz w:val="18"/>
                <w:szCs w:val="18"/>
                <w:color w:val="auto"/>
              </w:rPr>
            </w:pPr>
          </w:p>
        </w:tc>
        <w:tc>
          <w:tcPr>
            <w:tcW w:w="308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7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20"/>
              <w:spacing w:after="0"/>
              <w:rPr>
                <w:sz w:val="20"/>
                <w:szCs w:val="20"/>
                <w:color w:val="auto"/>
              </w:rPr>
            </w:pPr>
            <w:r>
              <w:rPr>
                <w:rFonts w:ascii="Arial" w:cs="Arial" w:eastAsia="Arial" w:hAnsi="Arial"/>
                <w:sz w:val="18"/>
                <w:szCs w:val="18"/>
                <w:color w:val="auto"/>
              </w:rPr>
              <w:t>(Do not check if a smaller reporting company)</w:t>
            </w:r>
          </w:p>
        </w:tc>
        <w:tc>
          <w:tcPr>
            <w:tcW w:w="3080" w:type="dxa"/>
            <w:vAlign w:val="bottom"/>
          </w:tcPr>
          <w:p>
            <w:pPr>
              <w:ind w:left="920"/>
              <w:spacing w:after="0"/>
              <w:rPr>
                <w:sz w:val="20"/>
                <w:szCs w:val="20"/>
                <w:color w:val="auto"/>
              </w:rPr>
            </w:pPr>
            <w:r>
              <w:rPr>
                <w:rFonts w:ascii="Arial" w:cs="Arial" w:eastAsia="Arial" w:hAnsi="Arial"/>
                <w:sz w:val="18"/>
                <w:szCs w:val="18"/>
                <w:color w:val="auto"/>
                <w:w w:val="94"/>
              </w:rPr>
              <w:t>Smaller Reporting Company</w:t>
            </w:r>
          </w:p>
        </w:tc>
        <w:tc>
          <w:tcPr>
            <w:tcW w:w="5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300" w:type="dxa"/>
            <w:vAlign w:val="bottom"/>
            <w:gridSpan w:val="4"/>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w w:val="92"/>
              </w:rPr>
              <w:t>☐</w:t>
            </w:r>
          </w:p>
        </w:tc>
        <w:tc>
          <w:tcPr>
            <w:tcW w:w="5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$32 million as of June 30, 2016 (the last business day of the Registrant’s most recently completed fiscal quarter) based on the closing sale price of $1.27 for the Registrant’s common stock on that date as reported by The NASDAQ Capital Market. For purposes of this calculation, shares of common stock held by directors, officers and stockholders who own greater than 10% of the Company’s outstanding stock of the Registrant at June 30, 2016 were excluded. This determination of executive officers and directors as affiliates is not necessarily a conclusive determination for any other purpose.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23, 2017, 55,466,492 shares of the Registrant’s common stock were issued and outstanding.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definitive Proxy Statement to be filed for its 2017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9060" w:type="dxa"/>
            <w:vAlign w:val="bottom"/>
          </w:tcPr>
          <w:p>
            <w:pPr>
              <w:jc w:val="center"/>
              <w:ind w:left="350"/>
              <w:spacing w:after="0"/>
              <w:rPr>
                <w:sz w:val="20"/>
                <w:szCs w:val="20"/>
                <w:color w:val="auto"/>
              </w:rPr>
            </w:pPr>
            <w:r>
              <w:rPr>
                <w:rFonts w:ascii="Arial" w:cs="Arial" w:eastAsia="Arial" w:hAnsi="Arial"/>
                <w:sz w:val="18"/>
                <w:szCs w:val="18"/>
                <w:b w:val="1"/>
                <w:bCs w:val="1"/>
                <w:color w:val="auto"/>
              </w:rPr>
              <w:t>CELSION CORPORATION</w:t>
            </w:r>
          </w:p>
        </w:tc>
        <w:tc>
          <w:tcPr>
            <w:tcW w:w="14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060" w:type="dxa"/>
            <w:vAlign w:val="bottom"/>
          </w:tcPr>
          <w:p>
            <w:pPr>
              <w:jc w:val="center"/>
              <w:ind w:left="350"/>
              <w:spacing w:after="0"/>
              <w:rPr>
                <w:sz w:val="20"/>
                <w:szCs w:val="20"/>
                <w:color w:val="auto"/>
              </w:rPr>
            </w:pPr>
            <w:r>
              <w:rPr>
                <w:rFonts w:ascii="Arial" w:cs="Arial" w:eastAsia="Arial" w:hAnsi="Arial"/>
                <w:sz w:val="18"/>
                <w:szCs w:val="18"/>
                <w:b w:val="1"/>
                <w:bCs w:val="1"/>
                <w:color w:val="auto"/>
              </w:rPr>
              <w:t>FORM 10-K</w:t>
            </w:r>
          </w:p>
        </w:tc>
        <w:tc>
          <w:tcPr>
            <w:tcW w:w="140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906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TABLE OF CONTENTS</w:t>
            </w:r>
          </w:p>
        </w:tc>
        <w:tc>
          <w:tcPr>
            <w:tcW w:w="1400" w:type="dxa"/>
            <w:vAlign w:val="bottom"/>
          </w:tcPr>
          <w:p>
            <w:pPr>
              <w:spacing w:after="0"/>
              <w:rPr>
                <w:sz w:val="20"/>
                <w:szCs w:val="20"/>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060" w:type="dxa"/>
            <w:vAlign w:val="bottom"/>
          </w:tcPr>
          <w:p>
            <w:pPr>
              <w:ind w:left="200"/>
              <w:spacing w:after="0"/>
              <w:rPr>
                <w:sz w:val="20"/>
                <w:szCs w:val="20"/>
                <w:color w:val="auto"/>
              </w:rPr>
            </w:pPr>
            <w:r>
              <w:rPr>
                <w:rFonts w:ascii="Arial" w:cs="Arial" w:eastAsia="Arial" w:hAnsi="Arial"/>
                <w:sz w:val="18"/>
                <w:szCs w:val="18"/>
                <w:color w:val="auto"/>
              </w:rPr>
              <w:t>BUSINESS</w:t>
            </w:r>
          </w:p>
        </w:tc>
        <w:tc>
          <w:tcPr>
            <w:tcW w:w="1400" w:type="dxa"/>
            <w:vAlign w:val="bottom"/>
          </w:tcPr>
          <w:p>
            <w:pPr>
              <w:ind w:left="1220"/>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FORWARD-LOOKING STATEMENTS</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OVERVIEW</w:t>
            </w:r>
          </w:p>
        </w:tc>
        <w:tc>
          <w:tcPr>
            <w:tcW w:w="1400" w:type="dxa"/>
            <w:vAlign w:val="bottom"/>
          </w:tcPr>
          <w:p>
            <w:pPr>
              <w:ind w:left="1220"/>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THERMODOX® (DOXORUBICIN ENCAPSULATED IN HEAT-ACTIVATED LIPOSOME)</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THERMODOX® IN RELATION TO PRIMARY LIVER CANCER</w:t>
            </w:r>
          </w:p>
        </w:tc>
        <w:tc>
          <w:tcPr>
            <w:tcW w:w="1400" w:type="dxa"/>
            <w:vAlign w:val="bottom"/>
          </w:tcPr>
          <w:p>
            <w:pPr>
              <w:ind w:left="1220"/>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Liver Cancer Overview</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Celsion’s Approach</w:t>
            </w:r>
          </w:p>
        </w:tc>
        <w:tc>
          <w:tcPr>
            <w:tcW w:w="1400" w:type="dxa"/>
            <w:vAlign w:val="bottom"/>
          </w:tcPr>
          <w:p>
            <w:pPr>
              <w:ind w:left="1220"/>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Phase I Clinical Trial – Primary Liver Cancer</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701 Patient Phase III Global Clinical Trial – Primary Liver Cancer (The HEAT Study)</w:t>
            </w:r>
          </w:p>
        </w:tc>
        <w:tc>
          <w:tcPr>
            <w:tcW w:w="1400" w:type="dxa"/>
            <w:vAlign w:val="bottom"/>
          </w:tcPr>
          <w:p>
            <w:pPr>
              <w:ind w:left="1220"/>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550 Patient Phase III Global Clinical Trial – Primary Liver Cancer (The OPTIMA Study)</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THERMODOX® IN RELATION TO CANCERS OTHER THAN PRIMARY LIVER CANCER</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10</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Recurrent Chest Wall Breast Cancer Overview</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10</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Celsion’s Approach</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10</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Breast Cancer Clinical Phase I/II Trial – The DIGNITY Study</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10</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Breast Cancer Clinical Phase II Trial – The Euro- DIGNITY Study</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11</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GEN-1 (IL-12 DNA PLASMID VECTOR ENCASED IN A NANOPARTICLE DELIVERY SYSTEM)</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11</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Ovarian Cancer Overview</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12</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Celsion’s Approach</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12</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GEN-1 OVATION Study</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12</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GEN-1 + Avastin® + Doxil Combination Study in Platinum Resistant Ovarian Cancer</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14</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THERAPLAS TECHNOLOGY PLATFORM</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15</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BUSINESS STRATEGY AND DEVELOPMENT PLAN</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16</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RESEARCH AND DEVELOPMENT EXPENDITURES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16</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REGULATION</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17</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Regulation in the United States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17</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17</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Orphan Drug Designation</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18</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Hatch-Waxman Exclusivity</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18</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Post-Approval Requirements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18</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Regulation outside of the U.S</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18</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MANUFACTURING AND SUPPLY</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19</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19</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PRODUCT LIABILITY AND INSURANCE</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19</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COMPETITION</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19</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ThermoDox®</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20</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GEN-1</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20</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20</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Licenses</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20</w:t>
            </w:r>
          </w:p>
        </w:tc>
      </w:tr>
      <w:tr>
        <w:trPr>
          <w:trHeight w:val="216"/>
        </w:trPr>
        <w:tc>
          <w:tcPr>
            <w:tcW w:w="960" w:type="dxa"/>
            <w:vAlign w:val="bottom"/>
          </w:tcPr>
          <w:p>
            <w:pPr>
              <w:spacing w:after="0"/>
              <w:rPr>
                <w:sz w:val="18"/>
                <w:szCs w:val="18"/>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Patents and Proprietary Rights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20</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EMPLOYEES</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21</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COMPANY INFORMATION</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21</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 INFORMATION</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21</w:t>
            </w:r>
          </w:p>
        </w:tc>
      </w:tr>
      <w:tr>
        <w:trPr>
          <w:trHeight w:val="216"/>
        </w:trPr>
        <w:tc>
          <w:tcPr>
            <w:tcW w:w="96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LIQUIDITY AND CAPITAL RESOURCES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21</w:t>
            </w:r>
          </w:p>
        </w:tc>
      </w:tr>
      <w:tr>
        <w:trPr>
          <w:trHeight w:val="216"/>
        </w:trPr>
        <w:tc>
          <w:tcPr>
            <w:tcW w:w="960" w:type="dxa"/>
            <w:vAlign w:val="bottom"/>
            <w:shd w:val="clear" w:color="auto" w:fill="CCEEFF"/>
          </w:tcPr>
          <w:p>
            <w:pPr>
              <w:spacing w:after="0"/>
              <w:rPr>
                <w:sz w:val="18"/>
                <w:szCs w:val="18"/>
                <w:color w:val="auto"/>
              </w:rPr>
            </w:pPr>
          </w:p>
        </w:tc>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RECENT EVENTS</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21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06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22</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UNRESOLVED STAFF COMMENTS</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34</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060" w:type="dxa"/>
            <w:vAlign w:val="bottom"/>
          </w:tcPr>
          <w:p>
            <w:pPr>
              <w:ind w:left="200"/>
              <w:spacing w:after="0"/>
              <w:rPr>
                <w:sz w:val="20"/>
                <w:szCs w:val="20"/>
                <w:color w:val="auto"/>
              </w:rPr>
            </w:pPr>
            <w:r>
              <w:rPr>
                <w:rFonts w:ascii="Arial" w:cs="Arial" w:eastAsia="Arial" w:hAnsi="Arial"/>
                <w:sz w:val="18"/>
                <w:szCs w:val="18"/>
                <w:color w:val="auto"/>
              </w:rPr>
              <w:t>PROPERTIES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34</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79"/>
              </w:rPr>
              <w:t>34</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060" w:type="dxa"/>
            <w:vAlign w:val="bottom"/>
          </w:tcPr>
          <w:p>
            <w:pPr>
              <w:ind w:left="200"/>
              <w:spacing w:after="0"/>
              <w:rPr>
                <w:sz w:val="20"/>
                <w:szCs w:val="20"/>
                <w:color w:val="auto"/>
              </w:rPr>
            </w:pPr>
            <w:r>
              <w:rPr>
                <w:rFonts w:ascii="Arial" w:cs="Arial" w:eastAsia="Arial" w:hAnsi="Arial"/>
                <w:sz w:val="18"/>
                <w:szCs w:val="18"/>
                <w:color w:val="auto"/>
              </w:rPr>
              <w:t>MINE SAFETY DISCLOSURES</w:t>
            </w:r>
          </w:p>
        </w:tc>
        <w:tc>
          <w:tcPr>
            <w:tcW w:w="1400" w:type="dxa"/>
            <w:vAlign w:val="bottom"/>
          </w:tcPr>
          <w:p>
            <w:pPr>
              <w:ind w:left="1220"/>
              <w:spacing w:after="0"/>
              <w:rPr>
                <w:sz w:val="20"/>
                <w:szCs w:val="20"/>
                <w:color w:val="auto"/>
              </w:rPr>
            </w:pPr>
            <w:r>
              <w:rPr>
                <w:rFonts w:ascii="Arial" w:cs="Arial" w:eastAsia="Arial" w:hAnsi="Arial"/>
                <w:sz w:val="18"/>
                <w:szCs w:val="18"/>
                <w:color w:val="auto"/>
                <w:w w:val="79"/>
              </w:rPr>
              <w:t>34</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jc w:val="center"/>
              <w:ind w:right="770"/>
              <w:spacing w:after="0"/>
              <w:rPr>
                <w:sz w:val="20"/>
                <w:szCs w:val="20"/>
                <w:color w:val="auto"/>
              </w:rPr>
            </w:pPr>
            <w:r>
              <w:rPr>
                <w:rFonts w:ascii="Arial" w:cs="Arial" w:eastAsia="Arial" w:hAnsi="Arial"/>
                <w:sz w:val="18"/>
                <w:szCs w:val="18"/>
                <w:b w:val="1"/>
                <w:bCs w:val="1"/>
                <w:color w:val="auto"/>
              </w:rPr>
              <w:t>CELSION CORPORATION</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jc w:val="center"/>
              <w:ind w:right="770"/>
              <w:spacing w:after="0"/>
              <w:rPr>
                <w:sz w:val="20"/>
                <w:szCs w:val="20"/>
                <w:color w:val="auto"/>
              </w:rPr>
            </w:pPr>
            <w:r>
              <w:rPr>
                <w:rFonts w:ascii="Arial" w:cs="Arial" w:eastAsia="Arial" w:hAnsi="Arial"/>
                <w:sz w:val="18"/>
                <w:szCs w:val="18"/>
                <w:b w:val="1"/>
                <w:bCs w:val="1"/>
                <w:color w:val="auto"/>
              </w:rPr>
              <w:t>FORM 10-K</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40" w:type="dxa"/>
            <w:vAlign w:val="bottom"/>
          </w:tcPr>
          <w:p>
            <w:pPr>
              <w:jc w:val="center"/>
              <w:ind w:right="770"/>
              <w:spacing w:after="0"/>
              <w:rPr>
                <w:sz w:val="20"/>
                <w:szCs w:val="20"/>
                <w:color w:val="auto"/>
              </w:rPr>
            </w:pPr>
            <w:r>
              <w:rPr>
                <w:rFonts w:ascii="Arial" w:cs="Arial" w:eastAsia="Arial" w:hAnsi="Arial"/>
                <w:sz w:val="18"/>
                <w:szCs w:val="18"/>
                <w:b w:val="1"/>
                <w:bCs w:val="1"/>
                <w:color w:val="auto"/>
                <w:w w:val="96"/>
              </w:rPr>
              <w:t>TABLE OF CONTENTS (continued)</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ITEM 5.</w:t>
            </w:r>
          </w:p>
        </w:tc>
        <w:tc>
          <w:tcPr>
            <w:tcW w:w="98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7"/>
              </w:rPr>
              <w:t>MARKET FOR REGISTRANT’S COMMON EQUITY, RELATED STOCKHOLDER MATTERS AND ISSUER PURCHASES OF</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Market Price for Our Common Stock</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Policy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Unregistered Shares of Equity Securities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Issuer Purchases of Equity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SELECTED FINANCIAL DATA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7.</w:t>
            </w:r>
          </w:p>
        </w:tc>
        <w:tc>
          <w:tcPr>
            <w:tcW w:w="9840" w:type="dxa"/>
            <w:vAlign w:val="bottom"/>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Overview</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Significant Events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Critical Accounting Policies and Estimates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Results Of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Condition, Liquidity and Capital Resources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ind w:left="200"/>
              <w:spacing w:after="0"/>
              <w:rPr>
                <w:sz w:val="20"/>
                <w:szCs w:val="20"/>
                <w:color w:val="auto"/>
              </w:rPr>
            </w:pPr>
            <w:r>
              <w:rPr>
                <w:rFonts w:ascii="Arial" w:cs="Arial" w:eastAsia="Arial" w:hAnsi="Arial"/>
                <w:sz w:val="18"/>
                <w:szCs w:val="18"/>
                <w:color w:val="auto"/>
              </w:rPr>
              <w:t>Contractual Obligations</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Off-Balance Sheet Arrangements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7A.</w:t>
            </w:r>
          </w:p>
        </w:tc>
        <w:tc>
          <w:tcPr>
            <w:tcW w:w="9840" w:type="dxa"/>
            <w:vAlign w:val="bottom"/>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STATEMENTS AND SUPPLEMENTARY DATA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9.</w:t>
            </w:r>
          </w:p>
        </w:tc>
        <w:tc>
          <w:tcPr>
            <w:tcW w:w="9840" w:type="dxa"/>
            <w:vAlign w:val="bottom"/>
          </w:tcPr>
          <w:p>
            <w:pPr>
              <w:ind w:left="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9B.</w:t>
            </w:r>
          </w:p>
        </w:tc>
        <w:tc>
          <w:tcPr>
            <w:tcW w:w="9840" w:type="dxa"/>
            <w:vAlign w:val="bottom"/>
          </w:tcPr>
          <w:p>
            <w:pPr>
              <w:ind w:left="40"/>
              <w:spacing w:after="0"/>
              <w:rPr>
                <w:sz w:val="20"/>
                <w:szCs w:val="20"/>
                <w:color w:val="auto"/>
              </w:rPr>
            </w:pPr>
            <w:r>
              <w:rPr>
                <w:rFonts w:ascii="Arial" w:cs="Arial" w:eastAsia="Arial" w:hAnsi="Arial"/>
                <w:sz w:val="18"/>
                <w:szCs w:val="18"/>
                <w:color w:val="auto"/>
              </w:rPr>
              <w:t>OTHER INFORMATION</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10.</w:t>
            </w:r>
          </w:p>
        </w:tc>
        <w:tc>
          <w:tcPr>
            <w:tcW w:w="9840" w:type="dxa"/>
            <w:vAlign w:val="bottom"/>
          </w:tcPr>
          <w:p>
            <w:pPr>
              <w:ind w:left="40"/>
              <w:spacing w:after="0"/>
              <w:rPr>
                <w:sz w:val="20"/>
                <w:szCs w:val="20"/>
                <w:color w:val="auto"/>
              </w:rPr>
            </w:pPr>
            <w:r>
              <w:rPr>
                <w:rFonts w:ascii="Arial" w:cs="Arial" w:eastAsia="Arial" w:hAnsi="Arial"/>
                <w:sz w:val="18"/>
                <w:szCs w:val="18"/>
                <w:color w:val="auto"/>
              </w:rPr>
              <w:t>DIRECTORS, EXECUTIVE OFFICERS AND CORPORATE GOVERNANCE</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COMPENSATION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ITEM 12.</w:t>
            </w:r>
          </w:p>
        </w:tc>
        <w:tc>
          <w:tcPr>
            <w:tcW w:w="9840" w:type="dxa"/>
            <w:vAlign w:val="bottom"/>
          </w:tcPr>
          <w:p>
            <w:pPr>
              <w:ind w:left="40"/>
              <w:spacing w:after="0" w:line="201" w:lineRule="exact"/>
              <w:rPr>
                <w:sz w:val="20"/>
                <w:szCs w:val="20"/>
                <w:color w:val="auto"/>
              </w:rPr>
            </w:pPr>
            <w:r>
              <w:rPr>
                <w:rFonts w:ascii="Arial" w:cs="Arial" w:eastAsia="Arial" w:hAnsi="Arial"/>
                <w:sz w:val="18"/>
                <w:szCs w:val="18"/>
                <w:color w:val="auto"/>
              </w:rPr>
              <w:t>SECURITY OWNERSHIP OF CERTAIN BENEFICIAL OWNERS AND MANAGEMENT AND RELATED STOCKHOLDER</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MATTERS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14.</w:t>
            </w:r>
          </w:p>
        </w:tc>
        <w:tc>
          <w:tcPr>
            <w:tcW w:w="9840" w:type="dxa"/>
            <w:vAlign w:val="bottom"/>
          </w:tcPr>
          <w:p>
            <w:pPr>
              <w:ind w:left="40"/>
              <w:spacing w:after="0"/>
              <w:rPr>
                <w:sz w:val="20"/>
                <w:szCs w:val="20"/>
                <w:color w:val="auto"/>
              </w:rPr>
            </w:pPr>
            <w:r>
              <w:rPr>
                <w:rFonts w:ascii="Arial" w:cs="Arial" w:eastAsia="Arial" w:hAnsi="Arial"/>
                <w:sz w:val="18"/>
                <w:szCs w:val="18"/>
                <w:color w:val="auto"/>
              </w:rPr>
              <w:t>PRINCIPAL ACCOUNTANT FEES AND SERVICES</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15.</w:t>
            </w:r>
          </w:p>
        </w:tc>
        <w:tc>
          <w:tcPr>
            <w:tcW w:w="9840" w:type="dxa"/>
            <w:vAlign w:val="bottom"/>
          </w:tcPr>
          <w:p>
            <w:pPr>
              <w:ind w:left="40"/>
              <w:spacing w:after="0"/>
              <w:rPr>
                <w:sz w:val="20"/>
                <w:szCs w:val="20"/>
                <w:color w:val="auto"/>
              </w:rPr>
            </w:pPr>
            <w:r>
              <w:rPr>
                <w:rFonts w:ascii="Arial" w:cs="Arial" w:eastAsia="Arial" w:hAnsi="Arial"/>
                <w:sz w:val="18"/>
                <w:szCs w:val="18"/>
                <w:color w:val="auto"/>
              </w:rPr>
              <w:t>EXHIBITS AND FINANCIAL STATEMENT SCHEDULES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 FINANCIAL STATEMENTS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2. FINANCIAL STATEMENT SCHEDULES</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 EXHIBITS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16.</w:t>
            </w:r>
          </w:p>
        </w:tc>
        <w:tc>
          <w:tcPr>
            <w:tcW w:w="9840" w:type="dxa"/>
            <w:vAlign w:val="bottom"/>
          </w:tcPr>
          <w:p>
            <w:pPr>
              <w:ind w:left="40"/>
              <w:spacing w:after="0"/>
              <w:rPr>
                <w:sz w:val="20"/>
                <w:szCs w:val="20"/>
                <w:color w:val="auto"/>
              </w:rPr>
            </w:pPr>
            <w:r>
              <w:rPr>
                <w:rFonts w:ascii="Arial" w:cs="Arial" w:eastAsia="Arial" w:hAnsi="Arial"/>
                <w:sz w:val="18"/>
                <w:szCs w:val="18"/>
                <w:color w:val="auto"/>
              </w:rPr>
              <w:t>FORM 10-K SUMMARY</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w w:val="99"/>
              </w:rPr>
              <w:t>SIGNATURES</w:t>
            </w:r>
          </w:p>
        </w:tc>
        <w:tc>
          <w:tcPr>
            <w:tcW w:w="9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Certain of the statements contained in this Annual Report on Form 10-K are forward-looking and constitute forward-looking statements within the meaning of the Private Securities Litigation Reform Act of 1995. In addition, from time to time we may publish forward-looking statements relating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that also constitute such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product candidates; possible changes in capital structure, financial condition, future working capital needs and other financial items;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product candidates and our ability to operate our business without infringing the intellectual property rights of others; our reliance on third parties to conduct preclinical studies or clinical trials; the rate and degree of market acceptance of any approved product candidates; possible actions by customers, suppliers, strategic partners, potential strategic partners, competitors and regulatory authorities; compliance with listing standards of The NASDAQ Capital Market; and those listed under “Risk Factors” below and elsewhere in this Annual Report on Form 10-K.</w:t>
      </w:r>
    </w:p>
    <w:p>
      <w:pPr>
        <w:spacing w:after="0" w:line="3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on Form 10-K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on Form 10-K to “Celsion” “the Company”, “we”, “us”, or “our” are to Celsion Corporation, a Delaware corporation and its wholly owned subsidiary, CLSN Laboratories, Inc., also a Delaware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Celsion Corporation (“Celsion” or “the Company”)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Celsion is a fully-integrated, development stage oncology drug company focused on developing a portfolio of innovative cancer treatments, including directed chemotherapies, DNA-mediated immunotherapy and RNA based therapies. Our lead product candidate is ThermoDox®, a proprietary dosage form of doxorubicin based on a heat-activated liposomal platform technology, currently in a Phase III clinical trial for the treatment of non-resectable hepatocellular carcinoma (“HCC”), also known as primary liver cancer, and a Phase II clinical trial for recurrent chest wall breast cancer. Our pipeline also includes GEN-1, a DNA-based immunotherapy currently in a Phase I clinical trial for the localized treatment of ovarian cancer and pre-clinical development for brain cancer. GEN-1 is based on a platform technology for the development of treatments using novel nucleic acid-based immunotherapies and other anti-cancer DNA or RNA therapies. We are working to develop and commercialize more efficient, effective and targeted oncology therapies based on our technologies, with the goal of developing novel therapeutics that maximize efficacy while minimizing side-effects common to cancer treatments.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is being evaluated in a Phase III clinical trial, in combination with a standardized radiofrequency ablation (“RFA”), for primary liver cancer (the “OPTIMA Study”) and a Phase II clinical trial for recurrent chest wall breast cancer (the “DIGNITY Study”). ThermoDox® is a heat sensitive liposomal encapsulation of doxorubicin, an approved and frequently used oncology drug for the treatment of a wide range of cancers. Localized heat at hyperthermia temperatures (greater than 40 degrees Celsius) releases the encapsulated doxorubicin from the liposome enabling high concentrations of doxorubicin to be deposited preferentially in and around the targeted tumor.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RFA, for newly diagnosed,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intermediate stage HCC patients. HCC incidence globally is approximately 850,000 new cases per year and is the third largest cancer indication globally. Approximately 30% of newly diagnosed patients can be addressed with RFA alone.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after its customary 30-day review period,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(the “HEAT Study”), which is described below. The OPTIMA Study is supported by a hypothesis developed from an overall survival analysis of a large subgroup of patients from the HEAT Study.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initiated the OPTIMA Study in the first half of 2014. The OPTIMA Study was designed with extensive input from globally recognized hepatocellular carcinoma (“HCC”) researchers and expert clinicians and after receiving formal written consultation from the FDA. The OPTIMA Study is expected to enroll up to 550 patients globally at up to 65 sites in the U.S., Canada, European Union,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China Food and Drug Administration (the “CFDA”) to conduct the OPTIMA Study in China. This clinical trial application approval will allow Celsion to enroll patients at up to 20 clinical sites in China. With the addition of these Chinese clinical sites, the Company expects to complete enrollment in the OPTIMA Study during the first half of 2018. On April 26, 2016, we announced that the first patient in China had been enrolled in the OPTIMA Study. Results from the OPTIMA Study, if successful, will provide the basis for a global registration filing and marketing approval.</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Post-hoc data analysis from the Company’s earlier Phase III HEAT Study suggest that ThermoDox® may substantially improve OS, when compared to the control group, in patients if their lesions undergo a 45 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the Company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 year survival benefit over the optimized RFA group (projected to be greater than 80 months for the ThermoDox® plus optimized RFA group compared to less than 60 months projection for the optimized RFA only group).</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25" w:lineRule="exact"/>
        <w:rPr>
          <w:sz w:val="20"/>
          <w:szCs w:val="20"/>
          <w:color w:val="auto"/>
        </w:rPr>
      </w:pPr>
    </w:p>
    <w:p>
      <w:pPr>
        <w:ind w:left="840" w:right="1300" w:hanging="305"/>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population of 154 patients with a single lesion who received optimized RFA treatment for 45 minutes or more showed a 53% risk improvement in OS (HR = 0.66) when treated with ThermoDox® plus optimized RFA.</w:t>
      </w:r>
    </w:p>
    <w:p>
      <w:pPr>
        <w:spacing w:after="0" w:line="170" w:lineRule="exact"/>
        <w:rPr>
          <w:rFonts w:ascii="Arial" w:cs="Arial" w:eastAsia="Arial" w:hAnsi="Arial"/>
          <w:sz w:val="18"/>
          <w:szCs w:val="18"/>
          <w:color w:val="auto"/>
        </w:rPr>
      </w:pPr>
    </w:p>
    <w:p>
      <w:pPr>
        <w:jc w:val="both"/>
        <w:ind w:left="840" w:right="1280" w:hanging="305"/>
        <w:spacing w:after="0" w:line="259"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data continue to support and further strengthen ThermoDox®’s potential to significantly improve OS compared to an RFA control in patients with lesions that undergo optimized RFA treatment for 45 minutes or more. The clinical benefit seen in the intent-to-treat Chinese patient cohort further confirms the importance of RFA heating time as 72% of patients in this large patient cohort in China received an optimized RFA treatment.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21 pigs using two different manufacturers of RFA and human equivalent doses of ThermoDox® that clearly support the relationship between increased heating duration and doxorubicin concentrations.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of a Phase III clinical trial enrolling 701 patients with primary liver cancer. This determination was made after conferring with the HEAT Study independent Data Monitoring Committee,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our ongoing DIGNITY study, which is an open-label, dose-escalating Phase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of ThermoDox® in patients with recurrent chest wall (“RCW”) breast cancer. The DIGNITY Study was designed to establish a safe therapeutic dose in Phase I, and to demonstrate local control in Phase II, including complete and partial responses, and stable disease as its primary endpoint. The DIGNITY Study was also designed to evaluate kinetics in ThermoDox® produced from more than one manufacturing site. Of the 28 patients enrolled and treated, 21 patients were eligible for evaluation of efficacy. Approximately 62% of evaluable patients experienced a local response, including six complete responses and seven partial responses.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The Euro-DIGNITY Study. </w:t>
      </w:r>
      <w:r>
        <w:rPr>
          <w:rFonts w:ascii="Arial" w:cs="Arial" w:eastAsia="Arial" w:hAnsi="Arial"/>
          <w:sz w:val="18"/>
          <w:szCs w:val="18"/>
          <w:color w:val="auto"/>
        </w:rPr>
        <w:t>We anticipate that a Phase II study of RadioTherapy, HyperThermia and ThermoDox® to treat patients with local-regional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recurrent chest wall breast cancer will be initiated by five to six clinical sites located in Italy, Israel, Poland and the Czech Republic (the “Euro-DIGNITY Study”). The Euro-DIGNITY Study is expected to commence in 2017 and is expected to enroll up to 70 patients affected by recurrent breast adenocarcinoma on the chest wall with/without nodes over a period of two years.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objectives of the Euro-DIGNITY Study will be (i) to evaluate efficacy in patients after 3 cycles of ThermoDox® plus Hyperthermia measuring tumor diameter as a response to therapy and (ii) to evaluate loco-regional breast tumor control in patients who undergo ThermoDox®/hyperthermia/radiotherapy as measured by target lesion clinical response rate combining a RECIST criteria with digital photography to gauge response.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ThermoDox®/Hyperthermia/Radiotherapy among patients with local-regional recurrence (“LRR”) breast cancer, (ii) to evaluate the duration of local control complete response, partial response and stable disease following treatment with ThermoDox®/Hyperthermia/Radiotherapy up to 24 months among patients with LRR breast cancer and (iii) to assess Patient Reported Quality of Life using the FACT-B and Brief Pain Inventory following treatment with ThermoDox®/Hyperthermia/Radiotherapy among patients with LRR breast cancer.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 Assets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2,712,188 shares of our common stock to EGEN. The shares of common stock were issued in a private transaction exempt from registration under the Securities Act of 1933, as amended, pursuant to Section 4(2) thereof. In addition, 670,070 shares of common stock were held back by us at the closing and are issuable to EGEN pending certain potential adjustments for expenses or in relation to EGEN’s indemnification obligations under the Asset Purchase Agreement.</w:t>
      </w:r>
    </w:p>
    <w:p>
      <w:pPr>
        <w:spacing w:after="0" w:line="19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our common stock or a combination thereof, at our option, upon achievement of three major milestone events as follows:</w:t>
      </w:r>
    </w:p>
    <w:p>
      <w:pPr>
        <w:spacing w:after="0" w:line="170" w:lineRule="exact"/>
        <w:rPr>
          <w:sz w:val="20"/>
          <w:szCs w:val="20"/>
          <w:color w:val="auto"/>
        </w:rPr>
      </w:pPr>
    </w:p>
    <w:p>
      <w:pPr>
        <w:ind w:left="840" w:right="1300" w:hanging="305"/>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w:t>
      </w:r>
    </w:p>
    <w:p>
      <w:pPr>
        <w:spacing w:after="0" w:line="170" w:lineRule="exact"/>
        <w:rPr>
          <w:rFonts w:ascii="Arial" w:cs="Arial" w:eastAsia="Arial" w:hAnsi="Arial"/>
          <w:sz w:val="18"/>
          <w:szCs w:val="18"/>
          <w:color w:val="auto"/>
        </w:rPr>
      </w:pPr>
    </w:p>
    <w:p>
      <w:pPr>
        <w:ind w:left="840" w:right="1280" w:hanging="305"/>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70" w:lineRule="exact"/>
        <w:rPr>
          <w:rFonts w:ascii="Arial" w:cs="Arial" w:eastAsia="Arial" w:hAnsi="Arial"/>
          <w:sz w:val="18"/>
          <w:szCs w:val="18"/>
          <w:color w:val="auto"/>
        </w:rPr>
      </w:pPr>
    </w:p>
    <w:p>
      <w:pPr>
        <w:ind w:left="840" w:right="1280" w:hanging="305"/>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 acquired from EGEN in the acquisition.</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obligations to make the earnout payments will terminate on the seventh anniversary of the closing date. In the acquisition, we purchased GEN-1, a DNA-based immunotherapy for the localized treatment of ovarian and brain cancers,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GEN-1</w:t>
      </w:r>
    </w:p>
    <w:p>
      <w:pPr>
        <w:spacing w:after="0" w:line="225"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GEN-1 is a DNA-based immunotherapeutic product for the localized treatment of ovarian and brain cancers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ind w:right="40"/>
        <w:spacing w:after="0" w:line="254" w:lineRule="auto"/>
        <w:rPr>
          <w:sz w:val="20"/>
          <w:szCs w:val="20"/>
          <w:color w:val="auto"/>
        </w:rPr>
      </w:pPr>
      <w:r>
        <w:rPr>
          <w:rFonts w:ascii="Arial" w:cs="Arial" w:eastAsia="Arial" w:hAnsi="Arial"/>
          <w:sz w:val="18"/>
          <w:szCs w:val="18"/>
          <w:b w:val="1"/>
          <w:bCs w:val="1"/>
          <w:i w:val="1"/>
          <w:iCs w:val="1"/>
          <w:color w:val="auto"/>
        </w:rPr>
        <w:t xml:space="preserve">GEN-1 OVATION Study. </w:t>
      </w:r>
      <w:r>
        <w:rPr>
          <w:rFonts w:ascii="Arial" w:cs="Arial" w:eastAsia="Arial" w:hAnsi="Arial"/>
          <w:sz w:val="18"/>
          <w:szCs w:val="18"/>
          <w:color w:val="auto"/>
        </w:rPr>
        <w:t>In February 2015, we announced that the FDA accepted, without objection, the Phase I dose-escalation clinical trial of GEN-1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the standard of care in neo-adjuvant ovarian cancer (the “OVATION Study”). On September 30, 2015, we announced enrollment of the first patient in the OVATION Study. The OVATION Study will seek to identify a safe, tolerable and potentially therapeutically active dose of GEN-1 by recruiting and maximizing an immune response and is designed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92" w:lineRule="exact"/>
        <w:rPr>
          <w:sz w:val="20"/>
          <w:szCs w:val="20"/>
          <w:color w:val="auto"/>
        </w:rPr>
      </w:pPr>
    </w:p>
    <w:p>
      <w:pPr>
        <w:ind w:left="920" w:right="1220" w:hanging="385"/>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920" w:right="1200" w:hanging="385"/>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920" w:hanging="385"/>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initiated the OVATION Study at four clinical sites at the University of Alabama at Birmingham, Oklahoma University Medical Center, Washington University in St. Louis and the Medical College of Wisconsin. During 2016 and 2017, we announced data from the first four cohorts of patients in the OVATION Study, respectively. The first four cohorts each enrolled three patients. Enrollment of three additional patients in the fourth cohort is ongoing, and Celsion expects to complete the OVATION Study in the first half of 2017. Future studies of GEN-1 may include a Phase I/II study combining GEN-1 with Avastin® and Doxil®. The results of the OVATION Study to date are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Totality of Results in the First Four Cohorts</w:t>
      </w:r>
    </w:p>
    <w:p>
      <w:pPr>
        <w:spacing w:after="0" w:line="225" w:lineRule="exact"/>
        <w:rPr>
          <w:sz w:val="20"/>
          <w:szCs w:val="20"/>
          <w:color w:val="auto"/>
        </w:rPr>
      </w:pPr>
    </w:p>
    <w:p>
      <w:pPr>
        <w:jc w:val="both"/>
        <w:ind w:left="800" w:right="1540" w:hanging="387"/>
        <w:spacing w:after="0" w:line="286"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Of the first twelve patients dosed, one (1) patient demonstrated a complete response (“CR”), eight (8) patients demonstrated partial response (“PR”) and three patients demonstrated stable disease (“SD”), as measured by RECIST criteria. This translates to a 100% disease control rate (“DCR”) and 75% objective response rate (“ORR”).</w:t>
      </w:r>
    </w:p>
    <w:p>
      <w:pPr>
        <w:spacing w:after="0" w:line="165" w:lineRule="exact"/>
        <w:rPr>
          <w:rFonts w:ascii="Arial" w:cs="Arial" w:eastAsia="Arial" w:hAnsi="Arial"/>
          <w:sz w:val="17"/>
          <w:szCs w:val="17"/>
          <w:color w:val="auto"/>
        </w:rPr>
      </w:pPr>
    </w:p>
    <w:p>
      <w:pPr>
        <w:jc w:val="both"/>
        <w:ind w:left="800" w:right="1540" w:hanging="387"/>
        <w:spacing w:after="0" w:line="25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Eleven patients had successful resections of their tumors, with six (6) patients having an R0 resection, which indicates a microscopically margin-negative resection in which no gross or microscopic tumor remains in the tumor bed, and four (4) patients with a R1 resection, indicating microscopic residual tumor. One patient had an R2, indicating macroscopic residual tumor. One patient in the second cohort was ineligible for debulking surgery due to a medical complication unrelated to the study or the study drug.</w:t>
      </w:r>
    </w:p>
    <w:p>
      <w:pPr>
        <w:spacing w:after="0" w:line="188" w:lineRule="exact"/>
        <w:rPr>
          <w:rFonts w:ascii="Arial" w:cs="Arial" w:eastAsia="Arial" w:hAnsi="Arial"/>
          <w:sz w:val="18"/>
          <w:szCs w:val="18"/>
          <w:color w:val="auto"/>
        </w:rPr>
      </w:pPr>
    </w:p>
    <w:p>
      <w:pPr>
        <w:jc w:val="both"/>
        <w:ind w:left="800" w:right="1520" w:hanging="387"/>
        <w:spacing w:after="0" w:line="293"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Of the eleven surgically treated and evaluable patients, one patient demonstrated a complete pathological response (“cPR”), five (5) patients demonstrated a micro pathological response (“microPR”), and five (5) patients demonstrated a macroPR. These data compare favorably to historical data, which indicate that cPRs are typically seen in less than 7% of patients receiving neoadjuvant chemotherapy followed by surgical resection. cPRs have been associated with a median overall survival of 72 months, which is more than three years longer than those who do not experience a cPR. In addition, microPRs are seen in approximately 30% of patients, and are associated with a median overall survival of 38 months.</w:t>
      </w:r>
    </w:p>
    <w:p>
      <w:pPr>
        <w:spacing w:after="0" w:line="164" w:lineRule="exact"/>
        <w:rPr>
          <w:rFonts w:ascii="Arial" w:cs="Arial" w:eastAsia="Arial" w:hAnsi="Arial"/>
          <w:sz w:val="16"/>
          <w:szCs w:val="16"/>
          <w:color w:val="auto"/>
        </w:rPr>
      </w:pPr>
    </w:p>
    <w:p>
      <w:pPr>
        <w:jc w:val="both"/>
        <w:ind w:left="800" w:right="1520" w:hanging="387"/>
        <w:spacing w:after="0" w:line="25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eleven patients who completed treatment follow-up experienced a dramatic (greater than 90%) drop in their CA-125 protein levels as of their most recent study visit. CA-125 is used to monitor certain cancers during and after treatment. CA-125 is present in greater concentrations in ovarian cancer cells than in other cells. A 50% reduction in CA-125 levels is considered meaningful.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auto"/>
        </w:rPr>
        <w:t>Top Line Translational Data from First Two Cohorts</w:t>
      </w:r>
    </w:p>
    <w:p>
      <w:pPr>
        <w:spacing w:after="0" w:line="225" w:lineRule="exact"/>
        <w:rPr>
          <w:sz w:val="20"/>
          <w:szCs w:val="20"/>
          <w:color w:val="auto"/>
        </w:rPr>
      </w:pPr>
    </w:p>
    <w:p>
      <w:pPr>
        <w:jc w:val="both"/>
        <w:ind w:left="280"/>
        <w:spacing w:after="0" w:line="312" w:lineRule="auto"/>
        <w:rPr>
          <w:sz w:val="20"/>
          <w:szCs w:val="20"/>
          <w:color w:val="auto"/>
        </w:rPr>
      </w:pPr>
      <w:r>
        <w:rPr>
          <w:rFonts w:ascii="Arial" w:cs="Arial" w:eastAsia="Arial" w:hAnsi="Arial"/>
          <w:sz w:val="16"/>
          <w:szCs w:val="16"/>
          <w:color w:val="auto"/>
        </w:rPr>
        <w:t>Celsion also reported initial translational data from the first two cohorts of patients. Tumor and blood samples collected before the start of the neoadjuvant chemotherapy (“NACT”) and after the completion of GEN-1 treatment at debulking surgery are being analyzed for immune cell populations. Top line data demonstrates intriguing immunological changes in the tumor that are consistent with the activation of the immune system. Specifically,</w:t>
      </w:r>
    </w:p>
    <w:p>
      <w:pPr>
        <w:spacing w:after="0" w:line="147" w:lineRule="exact"/>
        <w:rPr>
          <w:sz w:val="20"/>
          <w:szCs w:val="20"/>
          <w:color w:val="auto"/>
        </w:rPr>
      </w:pPr>
    </w:p>
    <w:p>
      <w:pPr>
        <w:jc w:val="both"/>
        <w:ind w:left="800" w:right="1600" w:hanging="387"/>
        <w:spacing w:after="0" w:line="25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tumor tissue, there was an increase in cytotoxic CD8+ T-cell density in three out of four evaluable patients at debulking surgery. There was a decrease in immunosuppressive FoxP3+ T-cells in two out of those 4 patients. The ratio of CD8+/FoxP3+ cells was increased in all four evaluable patients. High tumor infiltrating CD8+ T-cell density, low FoxP3+ T-cell density or high CD8+/FoxP3+ ratio demonstrate a potential shift in tumor environment to favoring immune stimulation following NACT + GEN-1 therapy. For the remaining two patients the post-treatment tumor tissue was not available. In one of those two patients there was complete pathological response hence no tumor tissue was present to provide a post-treatment comparison. In the other patient the debulking surgery was not performed due to disease related complications.</w:t>
      </w:r>
    </w:p>
    <w:p>
      <w:pPr>
        <w:spacing w:after="0" w:line="192" w:lineRule="exact"/>
        <w:rPr>
          <w:rFonts w:ascii="Arial" w:cs="Arial" w:eastAsia="Arial" w:hAnsi="Arial"/>
          <w:sz w:val="18"/>
          <w:szCs w:val="18"/>
          <w:color w:val="auto"/>
        </w:rPr>
      </w:pPr>
    </w:p>
    <w:p>
      <w:pPr>
        <w:jc w:val="both"/>
        <w:ind w:left="800" w:right="1600" w:hanging="387"/>
        <w:spacing w:after="0" w:line="26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plasma samples, there was no significant change in T-cell density following the treatment. The density of myeloid derived suppressor cells that are associated with immunosuppression in ovarian cancer were either decreased or did not increase in post-treatment samples.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immune analysis of biological tissue including cytokine ELISA from the first two patient cohorts and a complete analysis of the two higher dose cohorts is in progress. We expect to report the final clinical and translational data from the OVATION Study in mid-2017.</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 xml:space="preserve">GEN-1 Plus Doxil® and Avastin® Trial. </w:t>
      </w:r>
      <w:r>
        <w:rPr>
          <w:rFonts w:ascii="Arial" w:cs="Arial" w:eastAsia="Arial" w:hAnsi="Arial"/>
          <w:sz w:val="18"/>
          <w:szCs w:val="18"/>
          <w:color w:val="auto"/>
        </w:rPr>
        <w:t>On April 29, 2015, we announced the expansion of our ovarian cancer development program to include a Phase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 escalating trial to evaluate GEN-1 in combination with Avastin® and Doxil® in platinum-resistant ovarian cancer patients. This new combination study in platinum-resistant ovarian cancer is supported by three preclinical studies indicating that the combination of GEN-1 with Avastin® may result in significant clinical benefit with a favorable safety profile. Specifically:</w:t>
      </w:r>
    </w:p>
    <w:p>
      <w:pPr>
        <w:spacing w:after="0" w:line="187" w:lineRule="exact"/>
        <w:rPr>
          <w:sz w:val="20"/>
          <w:szCs w:val="20"/>
          <w:color w:val="auto"/>
        </w:rPr>
      </w:pPr>
    </w:p>
    <w:p>
      <w:pPr>
        <w:jc w:val="both"/>
        <w:ind w:left="840" w:right="1280" w:hanging="292"/>
        <w:spacing w:after="0" w:line="279"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171" w:lineRule="exact"/>
        <w:rPr>
          <w:rFonts w:ascii="Arial" w:cs="Arial" w:eastAsia="Arial" w:hAnsi="Arial"/>
          <w:sz w:val="17"/>
          <w:szCs w:val="17"/>
          <w:color w:val="auto"/>
        </w:rPr>
      </w:pPr>
    </w:p>
    <w:p>
      <w:pPr>
        <w:jc w:val="both"/>
        <w:ind w:left="840" w:right="1280" w:hanging="292"/>
        <w:spacing w:after="0" w:line="259"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preclinical studies indicated that no obvious overt toxicities were associated with the combined treatments of GEN-1 and Avastin®.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186" w:lineRule="exact"/>
        <w:rPr>
          <w:rFonts w:ascii="Arial" w:cs="Arial" w:eastAsia="Arial" w:hAnsi="Arial"/>
          <w:sz w:val="18"/>
          <w:szCs w:val="18"/>
          <w:color w:val="auto"/>
        </w:rPr>
      </w:pPr>
    </w:p>
    <w:p>
      <w:pPr>
        <w:jc w:val="both"/>
        <w:ind w:left="840" w:right="1280" w:hanging="292"/>
        <w:spacing w:after="0" w:line="279"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distinct biological activities of GEN-1 (immune stimulation) and Avastin® (inhibition of tumor blood vessel formation) also suggests scientific rationale for this combination approach. Additionally, the anti-angiogenic activity of GEN-1 mediated through up regulation of the interferon gamma (“IFN-g”) pathway may help to explain the synergy between GEN-1 and Avastin® and potentially addresses the VEGF escape mechanisms associated with resistance to Avastin® therapy.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 To support our research and development, we raised gross proceeds of approximately $127.2 million in equity financings and warrant and option exercises in the years 2010 through 2015. During 2016, we raised gross proceeds of $7.8 million through two registered direct equity financings with several institutional investors. We had cash, cash equivalents, short-term investments and interest receivable totaling $4.3 million at December 31, 2016. We have one credit facility for a total principle amount of up to $20 million and have drawn down $10 million under this credit facility.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In June 2012, Celsion and Zhejiand Hisun Pharmaceutical Co. Ltd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Europe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8, 2016, we signed a Technology Transfer, Manufacturing and Commercial Supply Agreement (the “GEN-1 Agreement”) with Hisun to pursue an expanded partnership for the technology transfer relating to the clinical and commercial manufacture and supply of GEN-1, for the greater China territory, with the option to expand into other countries in the rest of the world after all necessary regulatory approvals are obtained. The GEN-1 Agreement will help to support supply for both ongoing and planned clinical studies in the U.S., and for potential future studies of GEN-1 in China. GEN-1 is currently being evaluated by Celsion in first line ovarian cancer patients.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720" w:right="1420" w:hanging="329"/>
        <w:spacing w:after="0" w:line="277" w:lineRule="auto"/>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720" w:right="1420" w:hanging="329"/>
        <w:spacing w:after="0" w:line="277" w:lineRule="auto"/>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170" w:lineRule="exact"/>
        <w:rPr>
          <w:rFonts w:ascii="Arial" w:cs="Arial" w:eastAsia="Arial" w:hAnsi="Arial"/>
          <w:sz w:val="18"/>
          <w:szCs w:val="18"/>
          <w:b w:val="1"/>
          <w:bCs w:val="1"/>
          <w:color w:val="auto"/>
        </w:rPr>
      </w:pPr>
    </w:p>
    <w:p>
      <w:pPr>
        <w:ind w:left="720" w:right="1420" w:hanging="329"/>
        <w:spacing w:after="0" w:line="277" w:lineRule="auto"/>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720" w:right="1420" w:hanging="329"/>
        <w:spacing w:after="0" w:line="277" w:lineRule="auto"/>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70" w:lineRule="exact"/>
        <w:rPr>
          <w:rFonts w:ascii="Arial" w:cs="Arial" w:eastAsia="Arial" w:hAnsi="Arial"/>
          <w:sz w:val="18"/>
          <w:szCs w:val="18"/>
          <w:b w:val="1"/>
          <w:bCs w:val="1"/>
          <w:color w:val="auto"/>
        </w:rPr>
      </w:pPr>
    </w:p>
    <w:p>
      <w:pPr>
        <w:ind w:left="720" w:right="1420" w:hanging="329"/>
        <w:spacing w:after="0" w:line="308" w:lineRule="auto"/>
        <w:tabs>
          <w:tab w:leader="none" w:pos="72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w:t>
      </w:r>
      <w:r>
        <w:rPr>
          <w:rFonts w:ascii="Arial" w:cs="Arial" w:eastAsia="Arial" w:hAnsi="Arial"/>
          <w:sz w:val="18"/>
          <w:szCs w:val="18"/>
          <w:b w:val="1"/>
          <w:bCs w:val="1"/>
          <w:color w:val="auto"/>
        </w:rPr>
        <w:t>Part I, Item 1A. Risk Factors</w:t>
      </w:r>
      <w:r>
        <w:rPr>
          <w:rFonts w:ascii="Arial" w:cs="Arial" w:eastAsia="Arial" w:hAnsi="Arial"/>
          <w:sz w:val="18"/>
          <w:szCs w:val="18"/>
          <w:color w:val="auto"/>
        </w:rPr>
        <w:t>" in this Annual Report on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(DOXORUBICIN ENCAPSULATED IN HEAT-ACTIVATED LIPOSOME)</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Through a perpetual, world-wide, exclusive development and commercialization license from Duke University, Celsion has licensed this novel, heat-activated liposomal technology that is differentiated from other liposomes through its unique low heat-activated release of encapsulated chemotherapeutic agents.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using several available focused-heat technologies, such as radio frequency ablation (RFA), microwave energy and high intensity focused ultrasound (HIFU), to activate the release of drugs from our novel heat sensitive liposomes.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 IN RELATION TO PRIMARY LIVER CANCER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Liver Cancer 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Primary liver cancer (hepatocellular carcinoma or HCC) is one of the most common and deadliest forms of cancer worldwide. It ranks as the third most common solid tumor cancer. It is estimated that up to 90% of liver cancer patients will die within five years of diagnosis. The incidence of primary liver cancer is approximately 30,000 cases per year in the U.S., approximately 40,000 cases per year in Europe and is rapidly growing worldwide at approximately 850,000 cases per year. HCC has the fastest rate of growth of all cancers and is projected to be the most prevalent form of cancer by 2020. HCC is commonly diagnosed in patients with longstanding hepatic disease and cirrhosis (primarily due to hepatitis C in the U.S. and Europe and hepatitis B in Asia).</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 early stage, the standard first line treatment for liver cancer is surgical resection of the tumor. Up to 80% of patients are ineligible for surgery or transplantation at time of diagnosis because early stage liver cancer generally has few symptoms and when finally detected the tumor frequently is too large for surgical resection. There are few alternative treatments, since radiation therapy and chemotherapy are largely ineffective in treating liver cancer.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While RFA uses extremely high temperatures (greater than 80° Celsius) to ablate the tumor, it may fail to treat micro-metastases in the outer margins of the ablation zone because temperatures in the periphery may not be high enough to destroy cancer cells. Celsion’s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treatment approach is designed to utilize the ability of RFA devices to ablate the center of the tumor while simultaneously thermally activating our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liposome to release its encapsulated doxorubicin to kill remaining viable cancer cells throughout the heated region, including the tumor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I Clinical Trial - Primary Liver Cancer</w:t>
      </w:r>
    </w:p>
    <w:p>
      <w:pPr>
        <w:spacing w:after="0" w:line="20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the second quarter of 2007, we completed our first Phase I single dose escalation clinical trial that investigated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RFA for the treatment of primary and metastatic liver cancer. The study was carried out at the National Cancer Institute (NCI), which is part of the National Institutes of Health (NIH) and Queen Mary Hospital in Hong Kong.</w:t>
      </w:r>
    </w:p>
    <w:p>
      <w:pPr>
        <w:spacing w:after="0" w:line="181" w:lineRule="exact"/>
        <w:rPr>
          <w:sz w:val="20"/>
          <w:szCs w:val="20"/>
          <w:color w:val="auto"/>
        </w:rPr>
      </w:pPr>
    </w:p>
    <w:p>
      <w:pPr>
        <w:jc w:val="both"/>
        <w:spacing w:after="0" w:line="183" w:lineRule="auto"/>
        <w:rPr>
          <w:sz w:val="20"/>
          <w:szCs w:val="20"/>
          <w:color w:val="auto"/>
        </w:rPr>
      </w:pPr>
      <w:r>
        <w:rPr>
          <w:rFonts w:ascii="Arial" w:cs="Arial" w:eastAsia="Arial" w:hAnsi="Arial"/>
          <w:sz w:val="18"/>
          <w:szCs w:val="18"/>
          <w:color w:val="auto"/>
        </w:rPr>
        <w:t>In 2007 we initiated a second Phase I dose escalation study designed to investigate simplification of the current RFA/ThermoDox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treatment regimen including a single vial formulation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designed for commercial distribution. The study also permitted multiple dosing in liver cancer patients. This clinical trial was completed in 2008.</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701 Patient Phase III Global Clinical Trial - Primary Liver Cancer (The HEAT Study)</w:t>
      </w:r>
    </w:p>
    <w:p>
      <w:pPr>
        <w:spacing w:after="0" w:line="206"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The HEAT Study for ThermoDox</w:t>
      </w:r>
      <w:r>
        <w:rPr>
          <w:rFonts w:ascii="Arial" w:cs="Arial" w:eastAsia="Arial" w:hAnsi="Arial"/>
          <w:sz w:val="30"/>
          <w:szCs w:val="30"/>
          <w:color w:val="auto"/>
          <w:vertAlign w:val="superscript"/>
        </w:rPr>
        <w:t>®</w:t>
      </w:r>
      <w:r>
        <w:rPr>
          <w:rFonts w:ascii="Arial" w:cs="Arial" w:eastAsia="Arial" w:hAnsi="Arial"/>
          <w:sz w:val="18"/>
          <w:szCs w:val="18"/>
          <w:color w:val="auto"/>
        </w:rPr>
        <w:t>, in combination with RFA, was conducted in patients with primary liver cancer under a Special Protocol Assessment agreed to with the FDA. The Special Protocol Assessment (SPA) agreed to with the FDA specified PFS as the HEAT Study’s primary endpoint. We scheduled a meeting with the HEAT Study independent Data Monitoring Committee (“iDMC”) on January 30, 2013 in order to conduct an analysis of the HEAT Study’s PFS endpoint. Following review by the iDMC, on January 31, 2013, we announced that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RFA did not meet the HEAT Study’s primary endpoint of PFS. Specifically, we determined, after conferring with the iDMC, that the HEAT Study did not meet the goal of demonstrating persuasive evidence of clinical effectiveness that could form the basis for regulatory approval in the population chosen for the HEAT Study. The HEAT Study was designed to show a 33 percent improvement in PFS with 80 percent power and a p-value = 0.05. In the trial,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was well-tolerated with no unexpected serious adverse events.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provided for in the SPA, we continued to follow patients enrolled in the HEAT Study to the secondary endpoint of Overall Survival (OS). We have evaluated data from nine sweeps of OS since the announcement of the HEAT Study’s primary endpoint result, with each showing progressive improvement in statistical significance. The most recent post-hoc OS analysis from the HEAT Study (as of July 15, 2016 and announced on August 15, 2016) demonstrated that in a large, well bounded subgroup of patients (n=285, 41% of the study patients), the combination of ThermoDox® and optimized RFA provided a 54% risk improvement in OS compared to optimized RFA alone. The Hazard Ratio at this latest OS analysis is 0.65 (95% CI 0.45 - 0.94) with a p-value of 0.02. Median OS for the ThermoDox® group has been reached which translates into a two year survival benefit over the optimized RFA group (projected to be greater than 80 months for the ThermoDox® plus optimized RFA group compared to less than 60 months projection for the optimized RFA only group). These data continue to strongly suggest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significantly improve OS compared to a RFA control in patients whose lesions undergo optimized RFA treatment for 45 minutes or more as well as support the protocol for our Phase III OPTIMA Study as described below.</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may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21 pigs using two different manufacturers of RFA and human equivalent doses of ThermoDox® that clearly support the relationship between increased heating duration and doxorubicin concentrations.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550 Patient Phase III Global Clinical Trial - Primary Liver Cancer (The OPTIMA Study)</w:t>
      </w:r>
    </w:p>
    <w:p>
      <w:pPr>
        <w:spacing w:after="0" w:line="22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Based on the OS data from the post-hoc analysis of results from the HEAT Study discussed above, we submitted our proposed pivotal Phase III clinical protocol for FDA review in the fourth quarter of 2013. On February 24, 2014, we announced that the FDA, after its customary 30 day review period, accepted without comment, subject to compliance with regulatory standards, clearance for the OPTIMA Study, our pivotal, double-blind, placebo-controlled Phase III trial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standardized RFA in primary liver cancer. The OPTIMA Study represents an evaluation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a first line therapy, RFA, for newly diagnosed, intermediate stage HCC patients. HCC incidence globally is approximately 800,000 new cases per year. Approximately only 30% of newly diagnosed patients can be addressed with RFA alone. The OPTIMA Study is supported with a convincing hypothesis developed from an overall survival analysis of a large subgroup of patients from the HEAT Study.</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Designed with extensive input from globally recognized HCC researchers and clinicians and after formal written consultation with the FDA, the OPTIMA Study was launched in the first half of 2014. The OPTIMA Study is expected to enroll up to 550 patients globally at up to 75 sites in the U.S., Canada, European Union, China and elsewhere in the Asia Pacific region, and will evaluate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OPTIMA Study is 80% powered to show a 33% improvement in OS. The statistical plan calls for two interim efficacy analyses by an independent iDMC.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now allow Celsion to enroll patients at up to 20 clinical sites in China. With the addition of these Chinese clinical sites, the Company expects to complete enrollment in the OPTIMA Study during the first half of 2018. On April 26, 2016, we announced that the first patient in China has been enrolled in the OPTIMA Study. Results from the OPTIMA Study, if successful, will provide the basis for a global registration filing and marketing approval.</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continue with partnerships, such as our arrangement with Hisun and Yakult Honsha Co., Ltd. (“Yakult”) to the extent feasible. In addition, we have assessed our product pipeline and research and development priorities. As we evaluate strategic alternatives, we will need to consider a number of factors, including investment in, or acquisition of, complementary businesses, technologies or products, possible capital raising transactions, partnering opportunities and working capital requirements. However, as demonstrated by the HEAT Study results announced on January 31,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financial condition and market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 IN RELATION TO CANCERS OTHER THAN PRIMARY LIVER CANCER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Recurrent Chest Wall (RCW) Breast Cancer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Breast cancer is the most common malignancy in women in both the U.S. and the world. Despite a variety of therapeutic approaches, up to 40% of the estimated 95,000 patients in the U.S. undergoing a mastectomy as their primary treatment will develop locally recurrent RCW breast cancer. There is currently no effective chemotherapeutic standard of care for RCW breast cancer and as a result, many of these patients will die within two years of the recurrence. Patients with RCW breast cancer suffer from disfiguring tumors and other symptoms including pain, foul-smelling wounds, and a very visual reminder of tumor progression.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been actively seeking a targeted localized treatment for breast cancer using ThermoDox® in conjunction with localized microwave hyperthermia to treat RCW breast cancer. Studies at Duke University and other centers have indicated that heat may improve the therapeutic action of non-temperature sensitive liposomal doxorubicin formulations in advanced loco-regional breast cancer. Our liposomal encapsulated doxorubicin is released by heat generated from an external microwave tissue hyperthermia device that is placed on a woman’s chest. The microwave hyperthermia heats the target to a temperature adequate to activate ThermoDox® but not to ablate the tissue like RFA. Upon heating to 39.5º to 42º C, a significant concentration of doxorubicin is released directly to the tumor. As in our liver cancer program, we use a commercially available thermotherapy device to heat the target tissue and activate ThermoDox® at the desired target site.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Microwave hyperthermia as a separate standalone treatment has been found to have the ability to kill breast cancer cells. Because breast cancer cells have higher water content than surrounding normal cells, the tumor is heated to a greater extent than normal breast tissue and is selectively destroyed. Therefore, heating cancer cells with a microwave device for sixty minutes at 43°C has been found to be tumoricidal. We expect that the combination of microwave hyperthermia and ThermoDox® will be more efficacious than microwave hyperthermia alone or treatment with existing non-heat activated liposomal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Breast Cancer Phase I/II Clinical Trial - The DIGNITY Study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2009, the Company commenced an open label, dose-escalating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Phase I/Phase II clinical trial for patients with RCW breast cancer – (the DIGNITY Study). The DIGNITY Study is designed to establish a safe therapeutic dose in Phase I, and in Phase II to demonstrate local control, including complete and partial responses, and stable disease as its primary endpoint. The DIGNITY Study is also planned to evaluate kinetics in ThermoDox® produced from more than one manufacturing site.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61" w:lineRule="auto"/>
        <w:rPr>
          <w:sz w:val="20"/>
          <w:szCs w:val="20"/>
          <w:color w:val="auto"/>
        </w:rPr>
      </w:pPr>
      <w:r>
        <w:rPr>
          <w:rFonts w:ascii="Arial" w:cs="Arial" w:eastAsia="Arial" w:hAnsi="Arial"/>
          <w:sz w:val="16"/>
          <w:szCs w:val="16"/>
          <w:color w:val="auto"/>
        </w:rPr>
        <w:t>The Company completed enrollment of the Phase I portion of the study in 2010. The enrollment of the Phase II portion of the DIGNITY Study commenced in the first quarter of 2013 and completed in mid-2015. The trial evaluated ThermoDox® in combination with mild hyperthermia and enrolled 28 patients at five clinical sites in the U.S. in both phases of the study. On December 14, 2015, we announced final data from the DIGNITY Study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RCW Breast Cancer at the San Antonio Breast Cancer Symposium. Of the 28 patients enrolled and treated, 21 patients were eligible for evaluation of efficacy. Thirteen patients, representing approximately 62% of the evaluable patients, experienced a local response, including six complete responses and seven partial responses. These data are consistent with the combined clinical data from the two previous Phase I trials discussed below.</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Duke University also conducted a Phase I dose escalating ThermoDox® study in patients with RCW breast cancer and has presented preliminary results from the 16 enrolled patients that characterize the safety of the drug in RCW patients and the feasibility of ThermoDox® administration in these patients. In December 2013, we announced combined clinical data from our DIGNITY study and the Duke University sponsored Phase I trial of ThermoDox® plus hyperthermia in RCW breast cancer. The two similarly designed Phase I studies enrolled patients with highly resistant tumors found on the chest wall and who had progressed on previous therapy including chemotherapy, radiation therapy and hormone therapy. ThermoDox® in combination with mild hyperthermia was evaluated in these patients in up to six cycles. Both studies employed an open label 3+3 dose escalation study design to determine the Maximum Tolerated Dose, evaluate safety and determine early effects of ThermoDox® in combination with mild hyperthermia. There were 29 patients treated in the two trials, including 11 patients in the DIGNITY Study and 18 patients in the Duke study. Of the 29 patients, 23 were eligible for evaluation of efficacy. A local response rate of over 60 percent was reported in 14 of the 23 evaluable patients with five complete responses and nine partial responses.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Breast Cancer Phase II Clinical Trial - The Euro-DIGNITY Study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anticipates that a Phase II study of RadioTherapy, HyperThermia and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treat patients with local-regional recurrent chest wall breast cancer will be initiated by five to six clinical sites located in Italy, Israel, the Netherlands, Poland, and the Czech Republic (the Euro-DIGNITY Study). The Euro-DIGNITY Study is expected to commence in 2017 and is expected to enroll up to 70 patients affected by recurrent breast adenocarcinoma on the chest wall with/without nodes over a period of two years.</w:t>
      </w:r>
    </w:p>
    <w:p>
      <w:pPr>
        <w:spacing w:after="0" w:line="179" w:lineRule="exact"/>
        <w:rPr>
          <w:sz w:val="20"/>
          <w:szCs w:val="20"/>
          <w:color w:val="auto"/>
        </w:rPr>
      </w:pPr>
    </w:p>
    <w:p>
      <w:pPr>
        <w:jc w:val="both"/>
        <w:spacing w:after="0" w:line="196" w:lineRule="auto"/>
        <w:rPr>
          <w:sz w:val="20"/>
          <w:szCs w:val="20"/>
          <w:color w:val="auto"/>
        </w:rPr>
      </w:pPr>
      <w:r>
        <w:rPr>
          <w:rFonts w:ascii="Arial" w:cs="Arial" w:eastAsia="Arial" w:hAnsi="Arial"/>
          <w:sz w:val="18"/>
          <w:szCs w:val="18"/>
          <w:color w:val="auto"/>
        </w:rPr>
        <w:t>The primary objectives of the Euro-DIGNITY Study will be (i) to evaluate efficacy in patients after 3 cycles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plus Hyperthermia measuring tumor diameter as a response to therapy and (ii) to evaluate loco-regional breast tumor control in patients who undergo ThermoDox</w:t>
      </w:r>
      <w:r>
        <w:rPr>
          <w:rFonts w:ascii="Arial" w:cs="Arial" w:eastAsia="Arial" w:hAnsi="Arial"/>
          <w:sz w:val="30"/>
          <w:szCs w:val="30"/>
          <w:color w:val="auto"/>
          <w:vertAlign w:val="superscript"/>
        </w:rPr>
        <w:t>®</w:t>
      </w:r>
      <w:r>
        <w:rPr>
          <w:rFonts w:ascii="Arial" w:cs="Arial" w:eastAsia="Arial" w:hAnsi="Arial"/>
          <w:sz w:val="18"/>
          <w:szCs w:val="18"/>
          <w:color w:val="auto"/>
        </w:rPr>
        <w:t>/hyperthermia/radiotherapy as measured by target lesion clinical response rate combining a RECIST criteria with digital photography to gauge response.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ThermoDox®/Hyperthermia/Radiotherapy among patients with local-regional recurrence (LRR) breast cancer, (ii) to evaluate the duration of local control complete response, partial response and stable disease following treatment with ThermoDox®/Hyperthermia/Radiotherapy up to 24 months among patients with LRR breast cancer and (iii) to assess Patient Reported Quality of Life using the FACT-B and Brief Pain Inventory following treatment with ThermoDox®/Hyperthermia/Radiotherapy among patients with LRR breast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(IL-12 DNA PLASMID VECTOR ENCASED IN A NANOPARTICLE DELIVERY SYSTEM)</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20, 2014, we completed the acquisition of substantially all of the assets of EGEN. Pursuant to the Asset Purchase Agreement,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Asset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acquisition, we acquired GEN-1, an IL-12 DNA plasmid vector encased in a nanoparticle delivery system which enables cell transfection followed by persistent, local secretion of the IL-12 protein,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Ovarian cancer is the most lethal of gynecological malignancies among women with an overall five 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to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Celsion’s GEN-1 approach for IL-12 delivery is designed to achieve local concentrations of IL-12 at the tumor site with minimal increases in systemic circulation. This DNA-based approach involves intraperitoneal administration of an IL-12 plasmid formulated with a proprietary lipopolymer delivery system PEG-PEI-Cholesterol. In this approach, our GEN-1 immunotherapy is combined with standard chemotherapy drugs to achieve better clinical outcome than with chemotherapy alone. Increases in IL-12 concentrations at the tumor site for several days (up to one week) after a single administration will create a potent immune environment against the tumor and a direct killing of the tumor with concomitant use of cytotoxic chemotherapy together will result in more robust and durable antitumor response than chemotherapy alone. The activation of the body’s immune system will potentially eliminate the chemotherapy resistant cells and lower the risk of recurrence.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OVATION Study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initiated a Phase I dose-escalation clinical trial of GEN-1 in combination with the standard of care in neo-adjuvant ovarian cancer (the OVATION Study) at four clinical sites, including the University of Alabama at Birmingham, Oklahoma University Medical Center, Washington University in St. Louis and the Medical College of Wisconsin. The OVATION Study will seek to identify a safe, tolerable and therapeutically active dose of GEN-1 in newly diagnosed ovarian cancer patients who will be undergoing neo-adjuvant chemotherapy followed by surgical resection of their tumors. The trial is expected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affects ovarian cancer cells and the tumor microenvironment in newly diagnosed patients. The study is designed to characterize the nature of the immune response triggered by GEN-1 at various levels of the patient’s immune system, including:</w:t>
      </w:r>
    </w:p>
    <w:p>
      <w:pPr>
        <w:spacing w:after="0" w:line="179" w:lineRule="exact"/>
        <w:rPr>
          <w:sz w:val="20"/>
          <w:szCs w:val="20"/>
          <w:color w:val="auto"/>
        </w:rPr>
      </w:pPr>
    </w:p>
    <w:p>
      <w:pPr>
        <w:ind w:left="680" w:right="14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These extensive mechanistic studies will assist in the design of novel combination approaches with immunotherapies and other anti-cancer agents driven by potential synergistic action mechanisms, and define an enhanced patient population based on molecular characteristics inherent to tumor tissue or the immune system.</w:t>
      </w:r>
    </w:p>
    <w:p>
      <w:pPr>
        <w:spacing w:after="0" w:line="181" w:lineRule="exact"/>
        <w:rPr>
          <w:sz w:val="20"/>
          <w:szCs w:val="20"/>
          <w:color w:val="auto"/>
        </w:rPr>
      </w:pPr>
    </w:p>
    <w:p>
      <w:pPr>
        <w:jc w:val="both"/>
        <w:ind w:left="140"/>
        <w:spacing w:after="0" w:line="257" w:lineRule="auto"/>
        <w:rPr>
          <w:sz w:val="20"/>
          <w:szCs w:val="20"/>
          <w:color w:val="auto"/>
        </w:rPr>
      </w:pPr>
      <w:r>
        <w:rPr>
          <w:rFonts w:ascii="Arial" w:cs="Arial" w:eastAsia="Arial" w:hAnsi="Arial"/>
          <w:sz w:val="18"/>
          <w:szCs w:val="18"/>
          <w:color w:val="auto"/>
        </w:rPr>
        <w:t>In 2016 and early 2017, we announced data from the first four cohorts of patients in the OVATION Study. The OVATION Study is designed to enroll three to six patients per dose cohort and will continue into 2017 with the goal to identify a safe, tolerable and therapeutically active dose of GEN-1 by recruiting and maximizing an immune response. The first four cohorts each enrolled three patients. Enrollment of three additional patients in the fourth cohort is ongoing, and Celsion expects to complete the OVATION Study in the first half of 2017. Future studies of GEN-1 will include a Phase I/II study combining GEN-1 with Avastin® and Doxil®. The results of the OVATION Study to date are as follows: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Totality of Results in the First Four Cohorts</w:t>
      </w:r>
    </w:p>
    <w:p>
      <w:pPr>
        <w:spacing w:after="0" w:line="225" w:lineRule="exact"/>
        <w:rPr>
          <w:sz w:val="20"/>
          <w:szCs w:val="20"/>
          <w:color w:val="auto"/>
        </w:rPr>
      </w:pPr>
    </w:p>
    <w:p>
      <w:pPr>
        <w:jc w:val="both"/>
        <w:ind w:left="980" w:right="1500" w:hanging="373"/>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Of the first twelve patients dosed, one (1) patient demonstrated a complete response (“CR”), eight (8) patients demonstrated partial response (“PR”) and three patients demonstrated stable disease (“SD”), as measured by RECIST criteria. This translates to a 100% disease control rate (“DCR”) and 75% objective response rate (“ORR”).</w:t>
      </w:r>
    </w:p>
    <w:p>
      <w:pPr>
        <w:spacing w:after="0" w:line="165" w:lineRule="exact"/>
        <w:rPr>
          <w:rFonts w:ascii="Arial" w:cs="Arial" w:eastAsia="Arial" w:hAnsi="Arial"/>
          <w:sz w:val="17"/>
          <w:szCs w:val="17"/>
          <w:color w:val="auto"/>
        </w:rPr>
      </w:pPr>
    </w:p>
    <w:p>
      <w:pPr>
        <w:jc w:val="both"/>
        <w:ind w:left="980" w:right="1500" w:hanging="373"/>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Eleven patients had successful resections of their tumors, with six (6) patients having an R0 resection, which indicates a microscopically margin-negative resection in which no gross or microscopic tumor remains in the tumor bed, and four (4) patients with a R1 resection, indicating microscopic residual tumor. One patient had an R2, indicating macroscopic residual tumor. One patient in the second cohort was ineligible for debulking surgery due to a medical complication unrelated to the study or the study drug.</w:t>
      </w:r>
    </w:p>
    <w:p>
      <w:pPr>
        <w:spacing w:after="0" w:line="188" w:lineRule="exact"/>
        <w:rPr>
          <w:rFonts w:ascii="Arial" w:cs="Arial" w:eastAsia="Arial" w:hAnsi="Arial"/>
          <w:sz w:val="18"/>
          <w:szCs w:val="18"/>
          <w:color w:val="auto"/>
        </w:rPr>
      </w:pPr>
    </w:p>
    <w:p>
      <w:pPr>
        <w:jc w:val="both"/>
        <w:ind w:left="980" w:right="1500" w:hanging="373"/>
        <w:spacing w:after="0" w:line="293"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the eleven surgically treated and evaluable patients, one patient demonstrated a complete pathological response (“cPR”), five (5) patients demonstrated a micro pathological response (“microPR”), and five (5) patients demonstrated a macroPR. These data compare favorably to historical data, which indicate that cPRs are typically seen in less than 7% of patients receiving neoadjuvant chemotherapy followed by surgical resection. cPRs have been associated with a median overall survival of 72 months, which is more than three years longer than those who do not experience a cPR. In addition, microPRs are seen in approximately 30% of patients, and are associated with a median overall survival of 38 months.</w:t>
      </w:r>
    </w:p>
    <w:p>
      <w:pPr>
        <w:spacing w:after="0" w:line="164" w:lineRule="exact"/>
        <w:rPr>
          <w:rFonts w:ascii="Arial" w:cs="Arial" w:eastAsia="Arial" w:hAnsi="Arial"/>
          <w:sz w:val="16"/>
          <w:szCs w:val="16"/>
          <w:color w:val="auto"/>
        </w:rPr>
      </w:pPr>
    </w:p>
    <w:p>
      <w:pPr>
        <w:jc w:val="both"/>
        <w:ind w:left="980" w:right="1500" w:hanging="373"/>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eleven patients who completed treatment follow-up experienced a dramatic (greater than 90%) drop in their CA-125 protein levels as of their most recent study visit. CA-125 is used to monitor certain cancers during and after treatment. CA-125 is present in greater concentrations in ovarian cancer cells than in other cells. A 50% reduction in CA-125 levels is considered meaningful.</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Top Line Translational Data from First Two Cohorts</w:t>
      </w:r>
    </w:p>
    <w:p>
      <w:pPr>
        <w:spacing w:after="0" w:line="225" w:lineRule="exact"/>
        <w:rPr>
          <w:sz w:val="20"/>
          <w:szCs w:val="20"/>
          <w:color w:val="auto"/>
        </w:rPr>
      </w:pPr>
    </w:p>
    <w:p>
      <w:pPr>
        <w:jc w:val="both"/>
        <w:ind w:left="140" w:right="40"/>
        <w:spacing w:after="0" w:line="312" w:lineRule="auto"/>
        <w:rPr>
          <w:sz w:val="20"/>
          <w:szCs w:val="20"/>
          <w:color w:val="auto"/>
        </w:rPr>
      </w:pPr>
      <w:r>
        <w:rPr>
          <w:rFonts w:ascii="Arial" w:cs="Arial" w:eastAsia="Arial" w:hAnsi="Arial"/>
          <w:sz w:val="16"/>
          <w:szCs w:val="16"/>
          <w:color w:val="auto"/>
        </w:rPr>
        <w:t>Celsion also reported initial translational data from the first two cohorts of patients. Tumor and blood samples collected before the start of the neoadjuvant chemotherapy (“NACT”) and after the completion of GEN-1 treatment at debulking surgery are being analyzed for immune cell populations. Top line data demonstrates intriguing immunological changes in the tumor that are consistent with the activation of the immune system. Specifically,</w:t>
      </w:r>
    </w:p>
    <w:p>
      <w:pPr>
        <w:spacing w:after="0" w:line="147" w:lineRule="exact"/>
        <w:rPr>
          <w:sz w:val="20"/>
          <w:szCs w:val="20"/>
          <w:color w:val="auto"/>
        </w:rPr>
      </w:pPr>
    </w:p>
    <w:p>
      <w:pPr>
        <w:jc w:val="both"/>
        <w:ind w:left="1020" w:right="1420" w:hanging="386"/>
        <w:spacing w:after="0" w:line="25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tumor tissue, there was an increase in cytotoxic CD8+ T-cell density in three out of four evaluable patients at debulking surgery. There was a decrease in immunosuppressive FoxP3+ T-cells in two out of those 4 patients. The ratio of CD8+/FoxP3+ cells was increased in all four evaluable patients. High tumor infiltrating CD8+ T-cell density, low FoxP3+ T-cell density or high CD8+/FoxP3+ ratio demonstrate a potential shift in tumor environment to favoring immune stimulation following NACT + GEN-1 therapy. For the remaining two patients the post-treatment tumor tissue was not available. In one of those two patients there was complete pathological response hence no tumor tissue was present to provide a post-treatment comparison. In the other patient the debulking surgery was not performed due to disease related complications.</w:t>
      </w:r>
    </w:p>
    <w:p>
      <w:pPr>
        <w:spacing w:after="0" w:line="192" w:lineRule="exact"/>
        <w:rPr>
          <w:rFonts w:ascii="Arial" w:cs="Arial" w:eastAsia="Arial" w:hAnsi="Arial"/>
          <w:sz w:val="18"/>
          <w:szCs w:val="18"/>
          <w:color w:val="auto"/>
        </w:rPr>
      </w:pPr>
    </w:p>
    <w:p>
      <w:pPr>
        <w:jc w:val="both"/>
        <w:ind w:left="1020" w:right="1420" w:hanging="386"/>
        <w:spacing w:after="0" w:line="26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plasma samples, there was no significant change in T-cell density following the treatment. The density of myeloid derived suppressor cells that are associated with immunosuppression in ovarian cancer were either decreased or did not increase in post-treatment samples.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Additional immune analysis of biological tissue including cytokine ELISA from the first two patient cohorts and a complete analysis of the two higher dose cohorts is in progress. We expect to report the final clinical and translational data from the OVATION Study in mid-2017.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 Avastin® + Doxil Combination Study in Platinum Resistant Ovarian Cancer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2015, we announced plans to expand our ovarian cancer development program to include a Phase 1 dose escalating trial evaluating GEN-1 in combination with Avastin® and Doxil® in platinum-resistant ovarian cancer patients.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new combination study in platinum-resistant ovarian cancer is supported by three preclinical studies indicating that the combination of GEN-1 with Avastin® may result in clinical benefit with a favorable safety profile, as well as the prior Phase 1b trial of GEN-1 plus Doxil® in platinum resistant ovarian cancer patients. Specifically:</w:t>
      </w:r>
    </w:p>
    <w:p>
      <w:pPr>
        <w:spacing w:after="0" w:line="181" w:lineRule="exact"/>
        <w:rPr>
          <w:sz w:val="20"/>
          <w:szCs w:val="20"/>
          <w:color w:val="auto"/>
        </w:rPr>
      </w:pPr>
    </w:p>
    <w:p>
      <w:pPr>
        <w:jc w:val="both"/>
        <w:ind w:left="640" w:hanging="240"/>
        <w:spacing w:after="0" w:line="25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186" w:lineRule="exact"/>
        <w:rPr>
          <w:rFonts w:ascii="Arial" w:cs="Arial" w:eastAsia="Arial" w:hAnsi="Arial"/>
          <w:sz w:val="18"/>
          <w:szCs w:val="18"/>
          <w:color w:val="auto"/>
        </w:rPr>
      </w:pPr>
    </w:p>
    <w:p>
      <w:pPr>
        <w:jc w:val="both"/>
        <w:ind w:left="640" w:hanging="240"/>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preclinical studies indicated that no obvious overt toxicities were associated with the combined treatments.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181" w:lineRule="exact"/>
        <w:rPr>
          <w:rFonts w:ascii="Arial" w:cs="Arial" w:eastAsia="Arial" w:hAnsi="Arial"/>
          <w:sz w:val="18"/>
          <w:szCs w:val="18"/>
          <w:color w:val="auto"/>
        </w:rPr>
      </w:pPr>
    </w:p>
    <w:p>
      <w:pPr>
        <w:jc w:val="both"/>
        <w:ind w:left="640" w:hanging="240"/>
        <w:spacing w:after="0" w:line="25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makes a sound scientific rationale for this combination approach. Additionally, the anti-angiogenic activity of GEN-1 mediated through up regulation of the interferon gamma (IFN-g) pathway may help to explain the remarkable synergy between GEN-1 and Avastin® and potentially addresses the VEGF escape mechanisms associated with resistance to Avastin® therapy.</w:t>
      </w:r>
    </w:p>
    <w:p>
      <w:pPr>
        <w:spacing w:after="0" w:line="186" w:lineRule="exact"/>
        <w:rPr>
          <w:rFonts w:ascii="Arial" w:cs="Arial" w:eastAsia="Arial" w:hAnsi="Arial"/>
          <w:sz w:val="18"/>
          <w:szCs w:val="18"/>
          <w:color w:val="auto"/>
        </w:rPr>
      </w:pPr>
    </w:p>
    <w:p>
      <w:pPr>
        <w:jc w:val="both"/>
        <w:ind w:left="640" w:hanging="240"/>
        <w:spacing w:after="0" w:line="286"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 16-patient Phase 1b study of GEN-1 in combination study in platinum-resistant ovarian cancer, there were no overlapping toxicities between GEN-1 and pegylated doxorubicin (Doxil®). Biological activity and clinical efficacy results, including disease control rates, translational data and survival rates, have been submitted for presentation at the American Society of Clinical Oncologist (ASCO) Annual Meeting.</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12, 2015, we announced the results of an additional preclinical study to support an Investigational New Drug filing with the FDA for the planned Phase I/II combination study. The study will be designed to optimize the dosing regimen for GEN-1 in combination with Avastin® + Doxil® and is expected to enroll approximately 12 to 18 patients. Results from the comprehensive preclinical studies showed that GEN-1 when combined with Avastin® and Doxil®, standard of care for platinum resistant patients, indicated a greater than 98% reduction in tumor burden when compared to the untreated control group. The findings represent a reduction in tumor burden and disease progression when compared to the combination of Avastin® and Doxil® in a SKOV3 human cell line implanted into immunocompromised (nude) mice. The study was designed to evaluate in a mouse model of disseminated ovarian cancer, the efficacy of a combined treatment regimen that consisted of weekly administrations of GEN-1 with therapeutically relevant doses of Doxil® and Avastin®.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In the study, the combination of GEN-1 with Avastin® and Doxil® showed a robust anti-tumor advantage compared to untreated animals as well as a statistically significant improvement over the combination of Avastin® and Doxil® as summarized below:</w:t>
      </w:r>
    </w:p>
    <w:p>
      <w:pPr>
        <w:spacing w:after="0" w:line="166"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Reduction in Mean</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Animals</w:t>
            </w:r>
          </w:p>
        </w:tc>
      </w:tr>
      <w:tr>
        <w:trPr>
          <w:trHeight w:val="216"/>
        </w:trPr>
        <w:tc>
          <w:tcPr>
            <w:tcW w:w="39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Tumor Burden vs.</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with No Visible</w:t>
            </w:r>
          </w:p>
        </w:tc>
      </w:tr>
      <w:tr>
        <w:trPr>
          <w:trHeight w:val="234"/>
        </w:trPr>
        <w:tc>
          <w:tcPr>
            <w:tcW w:w="39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Untreated Control</w:t>
            </w:r>
          </w:p>
        </w:tc>
        <w:tc>
          <w:tcPr>
            <w:tcW w:w="2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Tumors</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GEN-1 Immunotherapy</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84%</w:t>
            </w: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Avastin® + LD Doxil®</w:t>
            </w: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77%</w:t>
            </w:r>
          </w:p>
        </w:tc>
        <w:tc>
          <w:tcPr>
            <w:tcW w:w="23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Avastin® + HD Doxil®</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88%</w:t>
            </w:r>
          </w:p>
        </w:tc>
        <w:tc>
          <w:tcPr>
            <w:tcW w:w="23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Avastin® + LD Doxil® + GEN-1</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&gt; 98%</w:t>
            </w:r>
          </w:p>
        </w:tc>
        <w:tc>
          <w:tcPr>
            <w:tcW w:w="23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75%</w:t>
            </w:r>
          </w:p>
        </w:tc>
      </w:tr>
      <w:tr>
        <w:trPr>
          <w:trHeight w:val="216"/>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Avastin® + HD Doxil® + GEN-1</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&gt; 98%</w:t>
            </w:r>
          </w:p>
        </w:tc>
        <w:tc>
          <w:tcPr>
            <w:tcW w:w="23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75%</w:t>
            </w:r>
          </w:p>
        </w:tc>
      </w:tr>
    </w:tbl>
    <w:p>
      <w:pPr>
        <w:spacing w:after="0" w:line="20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LD - Low Dose; HD - High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-121920</wp:posOffset>
            </wp:positionV>
            <wp:extent cx="528256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82565" cy="137160"/>
                    </a:xfrm>
                    <a:prstGeom prst="rect">
                      <a:avLst/>
                    </a:prstGeom>
                    <a:noFill/>
                  </pic:spPr>
                </pic:pic>
              </a:graphicData>
            </a:graphic>
          </wp:anchor>
        </w:drawing>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Analysis of serum chemistry and hematology suggested no overt toxicities associated with the combined treatments. The preclinical data are consistent with the mechanism of action for GEN-1, which exhibits certain anti-angiogenic properties in addition to its well-characterized immunomodulatory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is a viable alternative to current approaches to gene delivery due to several distinguishing characteristics, including enhanced molecular versatility that allows for complex modifications to improve activity and safety.</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design of TheraPlas delivery systems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escaped into systemic circulation. PPC is the delivery component of our lead TheraPlas product, GEN-1, which is in clinical development for the treatment ovarian cancer and in preclinical development for the treatment of glioblastoma. The PPC manufacturing process has been scaled up from bench scale (1-2 g) to 0.6Kg, and several cGMP lots have been produced with reproducible quality.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Another approach to improve PEI activity involved crosslinking low-molecular-weight PEIs through degradable linkages to create larger and degradable structures. Two cross-linked polymers have been synthesized with this approach and optimized for transfection activity. Both cross-linked polymers expressed several fold higher transfection activity than their respective monomers and lower cyotoxicity than a commercially available 25 kDa polymer. One embodiment of the polymer is being developed for in vivo delivery of plasmid DNA and mRNA. Intravenous administration of the nanoparticles carrying DNA or mRNA payload in mice has produced expression with high degree of lung specificity. The lung specificity and safety for mRNA delivery following intravenous administration in mice has been confirmed in non-human primates. These results demonstrate potential clinical utility for delivery of therapeutic DNA and RNA for lung diseases and pulmonary disorders.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TheraPlas has emerged as a viable alternative to current approaches due to several distinguishing characteristics such as excellent molecular versatility that allows for complex modifications to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an excellent position to capitalize on the technology.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BUSINESS STRATEGY AND DEVELOPMENT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not generated and do not expect to generate any revenue from product sales in the next several years, if at all. An element of our business strategy has been to pursue, as resources permit, the research and development of a range of product candidates for a variety of indications. We may also evaluate licensing cancer products from third parties for cancer treatments to expand our current product pipeline. This is intended to allow us to diversify the risks associated with our research and development expenditures.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We may also consider and evaluate strategic alternatives, including investment in, or acquisition of, complementary businesses, technologies or products. As demonstrated by the HEAT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2016, we have $4.3 million dollars in cash and short term investments. Given our development plans, we anticipate cash resources will be sufficient to fund our operations into mid-2017 and the Company has no committed sources of additional capital. The Company has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“ATM Agreement”) with Cantor Fitzgerald &amp; Co. (see Note 10). 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if one of our product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Based on the above, management has determined there is substantial doubt regarding our ability to continue as a going concern. The report of our independent registered public accounting firm for the year ended December 31, 2016 includes an explanatory paragraph which expresses substantial doubt about our ability to continue as a going concern. See </w:t>
      </w:r>
      <w:r>
        <w:rPr>
          <w:rFonts w:ascii="Arial" w:cs="Arial" w:eastAsia="Arial" w:hAnsi="Arial"/>
          <w:sz w:val="17"/>
          <w:szCs w:val="17"/>
          <w:b w:val="1"/>
          <w:bCs w:val="1"/>
          <w:i w:val="1"/>
          <w:iCs w:val="1"/>
          <w:color w:val="auto"/>
        </w:rPr>
        <w:t>Item 7 – Management’s Discussion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Analysis of Financial Condition and Results of Operations </w:t>
      </w:r>
      <w:r>
        <w:rPr>
          <w:rFonts w:ascii="Arial" w:cs="Arial" w:eastAsia="Arial" w:hAnsi="Arial"/>
          <w:sz w:val="17"/>
          <w:szCs w:val="17"/>
          <w:color w:val="auto"/>
        </w:rPr>
        <w:t>for additional information regarding the Company’s financial condition, liquidity and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engaged in a limited amount of research and development in our own facilities and have sponsored research programs in partnership with various research institutions, including the National Cancer Institute and Duke University. We are currently, with minimal cash expenditures, sponsoring clinical and pre-clinical research at the University of Oxford, University of Utrecht, Brigham and Women’s Hospital and the University of Washington. The majority of the spending in research and development is for the funding of ThermoDox® clinical trials. Research and development expenses were approximately $14.6 million and $14.7 million for the years ended December 31, 2016 and 2015, respectively. See </w:t>
      </w:r>
      <w:r>
        <w:rPr>
          <w:rFonts w:ascii="Arial" w:cs="Arial" w:eastAsia="Arial" w:hAnsi="Arial"/>
          <w:sz w:val="16"/>
          <w:szCs w:val="16"/>
          <w:b w:val="1"/>
          <w:bCs w:val="1"/>
          <w:i w:val="1"/>
          <w:iCs w:val="1"/>
          <w:color w:val="auto"/>
        </w:rPr>
        <w:t>Item 7 – Management’s Discussion and Analysis of Financial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Condition and Results of Operations </w:t>
      </w:r>
      <w:r>
        <w:rPr>
          <w:rFonts w:ascii="Arial" w:cs="Arial" w:eastAsia="Arial" w:hAnsi="Arial"/>
          <w:sz w:val="16"/>
          <w:szCs w:val="16"/>
          <w:color w:val="auto"/>
        </w:rPr>
        <w:t>for additional information regarding expenditures related to our research and development programs.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the United States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vehicle by which FDA approves a new pharmaceutical product for sale and marketing in the U.S. is a New Drug Application (“NDA”). The steps ordinarily required before a new drug can be marketed in the U.S. include (a) completion of pre-clinical and clinical studies; (b) submission and FDA acceptance of an Investigational New Drug application (IND), which must become effective before human clinical trials may commence; (c) completion of adequate and well-controlled human clinical trials to establish the safety and efficacy of the product to support each of its proposed indications; (d) submission and FDA acceptance of a NDA; and (e) FDA review and approval of the NDA.</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Pre-clinical tests include laboratory evaluations of product chemistry, toxicity, formulation and stability, as well as animal studies, to assess the potential safety and efficacy of the product. Pre-clinical safety tests must be conducted by laboratories that comply with FDA regulations regarding good laboratory practice. The results of pre-clinical tests are submitted to the FDA as part of an IND and are reviewed by the FDA before the commencement of human clinical trials. Submission of an IND will not necessarily result in FDA authorization to commence clinical trials, and the absence of FDA objection to an IND does not necessarily mean that the FDA will ultimately approve an NDA or that a product candidate otherwise will come to market.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patient informed consent. Also, each clinical trial must be approved by an Institutional Review Board (IRB), and is subject to ongoing IRB monitoring.</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any of our clinical trials will be completed successfully within any specified time period or at all. Either the FDA or we may suspend clinical trials at any time on various grounds, including among other things, if we, the FDA, or our independent DMC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pivotal clinical trial protocols of any of our current or future product candidates will be successful.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The results of pre-clinical studies and clinical trials, if successful, are submitted to FDA in the form of an NDA. The testing and approval process requires substantial time, effort, and financial resources, and there can be no assurance that any approval will be granted for any product at any time, according to any schedule, or at all. The FDA may refuse to accept or approve an application if it determines that applicable regulatory criteria are not satisfied. The FDA may also require additional testing for safety and efficacy. Even, if regulatory approval is granted, the approval will be limited to specific indications. There can be no assurance that any of our current product candidates will receive regulatory approvals for marketing or, if approved, that approval will be for any or all of the indications that we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2009, the FDA granted orphan drug designation for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HCC.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Exclusivity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FDCA provides a five-year period of non-patent data exclusivity within the U.S. to the first applicant to gain approval of an NDA for a new chemical entity. A drug is a new chemical entity if the FDA has not previously approved any other new drug containing the same active moiety. During the exclusivity period, the FDA generally may not accept for review an abbreviated new drug application (ANDA) or a 505(b)(2) NDA submitted by another company that references the previously approved drug. However, an ANDA or 505(b)(2) NDA referencing the new chemical entity may be submitted after four years if it contains a certification of patent invalidity or non-infringement.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and complying with requirements concerning advertising and promotional labeling. As a condition of approval of an NDA,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products in the event of material deficiencies or defects in manufacture. A governmentally mandated recall, or a voluntary recall by us, could result from a number of events or factors, including component failures, manufacturing errors, instability of product or defects in labeling.</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manufacturing establishments in the U.S. and abroad are subject to periodic inspections by the FDA and must comply with current good manufacturing practices (cGMP). To maintain compliance with cGMP, manufacturers must expend funds, time and effort in the areas of production and quality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Outside of the U.S.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regulations in the U.S., we will be subject to regulations of other countries governing any clinical trials and commercial sales and distribution of our product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and China,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91" w:lineRule="auto"/>
        <w:rPr>
          <w:sz w:val="20"/>
          <w:szCs w:val="20"/>
          <w:color w:val="auto"/>
        </w:rPr>
      </w:pPr>
      <w:r>
        <w:rPr>
          <w:rFonts w:ascii="Arial" w:cs="Arial" w:eastAsia="Arial" w:hAnsi="Arial"/>
          <w:sz w:val="16"/>
          <w:szCs w:val="16"/>
          <w:color w:val="auto"/>
        </w:rPr>
        <w:t>Under European Union regulatory systems, a company may submit marketing authorization applications either under a centralized or decentralized procedure. The centralized procedure, which is compulsory for medicines produced by biotechnology or those medicines intended to treat AIDS, cancer, neurodegenerative disorders or diabetes and is optional for those medicines that are highly innovative,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an application to the remaining member states. Within 90 days of receiving the applications and assessments report, each member state must decide whether to recognize approval. If a member state does not recognize the marketing authorization, the disputed points are eventually referred to the European Commission, whose decision is binding on all member states.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2011, the European Commission granted orphan drug designation for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HCC in Europe. As established by the European Medicines Agency (“EMA”), orphan drug designation provides for scientific advice and regulatory assistance from the EMA, direct access to centralized marketing authorization and certain financial incentives, such as reduction of fees associated with pre-authorization inspections and marketing authorization application fees. The orphan drug designation in Europe also provides 10 years of market exclusivity subsequent to product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preclinical, clinical or commercial quantities of any of our product candidates. We currently contract with third party contract manufacturing organizations (CMOs) for our preclinical and clinical trial supplies, and we expect to continue to do so to meet the preclinical and any clinical requirements of our product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Manufacturing is subject to extensive regulations that impose various procedural and documentation requirements, which govern record keeping, manufacturing processes and controls, personnel, quality control and quality assurance, among others. Our CMOs manufacture our product candidates under current Good Manufacturing Practice (cGMP) conditions. cGMP is a regulatory standard for the production of pharmaceuticals that will be used in humans.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current focus is on the development of our existing portfolio, the completion of clinical trials and, if and where appropriate, the registration of our product candidates. We currently do not have marketing, sales and distribution capabilities. If we receive marketing and commercialization approval for any of our product candidates, we intend to market the product either directly or through strategic alliances and distribution agreements with third parties. The ultimate implementation of our strategy for realizing the financial value of our product candidates is dependent on the results of clinical trials for our product candidates, the availability of regulatory approvals and the ability to negotiate acceptable commercial terms with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product candidates.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91" w:lineRule="auto"/>
        <w:rPr>
          <w:sz w:val="20"/>
          <w:szCs w:val="20"/>
          <w:color w:val="auto"/>
        </w:rPr>
      </w:pPr>
      <w:r>
        <w:rPr>
          <w:rFonts w:ascii="Arial" w:cs="Arial" w:eastAsia="Arial" w:hAnsi="Arial"/>
          <w:sz w:val="16"/>
          <w:szCs w:val="16"/>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obtaining FDA and other regulatory approvals of products,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ThermoDox®</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there are many drugs and devices marketed and under development for the treatment of cancer, the Company is not aware of any other heat activated drug delivery product either being marketed or in human clinical development. In addition, the Company is not aware of any other Phase III clinical trial for the treatment of HCC or primary liver cancer.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GEN-1</w:t>
      </w:r>
    </w:p>
    <w:p>
      <w:pPr>
        <w:spacing w:after="0" w:line="225" w:lineRule="exact"/>
        <w:rPr>
          <w:sz w:val="20"/>
          <w:szCs w:val="20"/>
          <w:color w:val="auto"/>
        </w:rPr>
      </w:pPr>
    </w:p>
    <w:p>
      <w:pPr>
        <w:jc w:val="both"/>
        <w:spacing w:after="0" w:line="191" w:lineRule="auto"/>
        <w:rPr>
          <w:sz w:val="20"/>
          <w:szCs w:val="20"/>
          <w:color w:val="auto"/>
        </w:rPr>
      </w:pPr>
      <w:r>
        <w:rPr>
          <w:rFonts w:ascii="Arial" w:cs="Arial" w:eastAsia="Arial" w:hAnsi="Arial"/>
          <w:sz w:val="18"/>
          <w:szCs w:val="18"/>
          <w:color w:val="auto"/>
        </w:rPr>
        <w:t>Studied indications for GEN-1 include ovarian cancer and glioblastoma multiforme (GBM) brain cancer. In evaluating the competitive landscape for both indications, early stage indications are treated with chemotherapy (temozolomide, BCNU, CCNU for brain cancer; docetaxel, doxil and cisplatinum for ovarian cancer), while later stage ovarian and GBM cancer are treated with Bevacizumab - Avastin</w:t>
      </w:r>
      <w:r>
        <w:rPr>
          <w:rFonts w:ascii="Arial" w:cs="Arial" w:eastAsia="Arial" w:hAnsi="Arial"/>
          <w:sz w:val="30"/>
          <w:szCs w:val="30"/>
          <w:color w:val="auto"/>
          <w:vertAlign w:val="superscript"/>
        </w:rPr>
        <w:t>®</w:t>
      </w:r>
      <w:r>
        <w:rPr>
          <w:rFonts w:ascii="Arial" w:cs="Arial" w:eastAsia="Arial" w:hAnsi="Arial"/>
          <w:sz w:val="18"/>
          <w:szCs w:val="18"/>
          <w:color w:val="auto"/>
        </w:rPr>
        <w:t>, an anti-angiogenesis inhibitor. Avastin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currently also being evaluated for early stage disease.</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product positioning for both indications, there currently is no direct immunotherapy competitor for GEN-1, which will be studied as an adjuvant to both chemotherapy standard of care regimens, as well as anti-angiogenesis compounds. To support these cases, we have conducted clinical studies in combination with chemotherapy for ovarian cancer, and preclinical studies in combination with both temozolomide and Bevacizumab-Avastin</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License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1999, we entered into a license agreement with Duke University under which we received exclusive rights, subject to certain exceptions, to commercialize and use Duke’s thermo-liposome technology. In relation to these liposome patents licensed from Duke University, we have filed two additional patents related to the formulation and use of liposomes. We have also licensed from Valentis, CA certain global rights covering the use of pegylation for temperature sensitive liposomes.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2003, our obligations under the license agreement with Duke University with respect to the testing and regulatory milestones and other licensed technology performance deadlines were eliminated in exchange for a payment of shares of our common stock. The license agreement continues to be subject to agreements to pay a royalty based upon future sales. In conjunction with the patent holder, we have filed international applications for a certain number of the U.S. patents.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rights under the license agreement with Duke University extend for the longer of 20 years or the end of any term for which any relevant patents are issued by the United States Patent and Trademark Office. Currently we have rights to Duke’s patent for its thermo-liposome technology in the U.S., which expires in 2018, and to future patents received by Duke in Canada, Europe, Japan and Australia, where it has patent applications have been granted. The European grant provides coverage in the European Community. For this technology, our license rights are worldwide, including the U.S., Canada, certain European countries, Australia, Hong Kong, and Japan.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and Proprietary Rights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Celsion holds an exclusive license agreement with Duke University for its temperature-sensitive liposome technology that covers the ThermoDox® formulation. Celsion also has issued patents which pertain specifically to methods of storing stabilized, temperature-sensitive liposomal formulations and will assist in the protection of global rights. These patents will extend the overall term of the ThermoDox® patent portfolio to 2026. These patents are the first in this family, which includes pending applications in the U.S., Europe and additional key commercial geographies in Asia. This extended patent runway to 2026 allows for the evaluation of future development activities for ThermoDox® and Celsion's heat-sensitive liposome technology platform.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308" w:lineRule="auto"/>
        <w:rPr>
          <w:sz w:val="20"/>
          <w:szCs w:val="20"/>
          <w:color w:val="auto"/>
        </w:rPr>
      </w:pPr>
      <w:r>
        <w:rPr>
          <w:rFonts w:ascii="Arial" w:cs="Arial" w:eastAsia="Arial" w:hAnsi="Arial"/>
          <w:sz w:val="17"/>
          <w:szCs w:val="17"/>
          <w:color w:val="auto"/>
        </w:rPr>
        <w:t>For the ThermoDox® technology, we either exclusively license or own U.S. and international patents with claims and methods and compositions of matters that cover various aspects of lysolipid thermally-sensitive liposomes technology, with expiration dates ranging from 2018 to 2026.</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TheraPlas technology, we own three U.S. and international patents and related applications with claims and methods and compositions of matters that cover various aspects of TheraPlas and GEN-1 technologies, with expiration dates ranging from 2020 to 2028.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 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 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Arial" w:cs="Arial" w:eastAsia="Arial" w:hAnsi="Arial"/>
          <w:sz w:val="16"/>
          <w:szCs w:val="16"/>
          <w:b w:val="1"/>
          <w:bCs w:val="1"/>
          <w:color w:val="auto"/>
        </w:rPr>
        <w:t>“Item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1A, Risk Factors,” </w:t>
      </w:r>
      <w:r>
        <w:rPr>
          <w:rFonts w:ascii="Arial" w:cs="Arial" w:eastAsia="Arial" w:hAnsi="Arial"/>
          <w:sz w:val="16"/>
          <w:szCs w:val="16"/>
          <w:color w:val="auto"/>
        </w:rPr>
        <w:t>including, but not limited to, “We rely on trade secret protection and other unpatented proprietary rights for important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Arial" w:cs="Arial" w:eastAsia="Arial" w:hAnsi="Arial"/>
          <w:sz w:val="16"/>
          <w:szCs w:val="16"/>
          <w:b w:val="1"/>
          <w:bCs w:val="1"/>
          <w:color w:val="auto"/>
        </w:rPr>
        <w:t>“Item 1A, Risk Factors,”</w:t>
      </w:r>
      <w:r>
        <w:rPr>
          <w:rFonts w:ascii="Arial" w:cs="Arial" w:eastAsia="Arial" w:hAnsi="Arial"/>
          <w:sz w:val="16"/>
          <w:szCs w:val="16"/>
          <w:color w:val="auto"/>
        </w:rPr>
        <w:t xml:space="preserve"> including, but not limited to, “Our business depends on licensing agreements with third parties to permit us to use patented technologies. The loss of any of our rights under these agreements could impair our ability to develop and market our products.”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23, 2017, we employed 19 full-time employees. We also maintain active independent contractor relationships with various individuals, most of whom have month-to-month or annual consulting agreements. None of our employees are covered by a collective bargaining agreement, and we consider our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Celsion was founded in 1982 and is a Delaware corporation. Our principal executive offices are located at 997 Lenox Drive, Suite 100, Lawrenceville, NJ 08648. Our telephone number is (609) 896-9100. The Company’s website is </w:t>
      </w:r>
      <w:r>
        <w:rPr>
          <w:rFonts w:ascii="Arial" w:cs="Arial" w:eastAsia="Arial" w:hAnsi="Arial"/>
          <w:sz w:val="18"/>
          <w:szCs w:val="18"/>
          <w:u w:val="single" w:color="auto"/>
          <w:color w:val="auto"/>
        </w:rPr>
        <w:t>www.celsion.com</w:t>
      </w:r>
      <w:r>
        <w:rPr>
          <w:rFonts w:ascii="Arial" w:cs="Arial" w:eastAsia="Arial" w:hAnsi="Arial"/>
          <w:sz w:val="18"/>
          <w:szCs w:val="18"/>
          <w:color w:val="auto"/>
        </w:rPr>
        <w:t>. The information contained in, or that can be accessed through, our website is not part of, and is not incorporated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available free of charge through our website, www.celsion.com, our Annual Report on Form 10-K, Quarterly Reports on Form 10-Q, Current Reports on Form 8-K, and all amendments to those reports as soon as reasonably practicable after such material is electronically filed with or furnished to the Securities and Exchange Commission (the SEC). In addition, our website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In addition, copies of these documents will be made available free of charge upon written request. The public may read and copy any materials filed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periodic and other reports electronically with the Securities and Exchange Commission. The address of that site is www.sec.gov. The information available on or through our website is not a part of this Annual Report on Form 10-K and should not be relied upon.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19,385,869 shares of common stock of the Company at an offering price of $0.23 per share. In addition, the Company sold Series</w:t>
      </w: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Warrants (the “Series AA Warrants”) to purchase up to 16,489,402 shares of common stock and Pre-Funded Series BB Warrants (the “Pre-Funded Series</w:t>
      </w:r>
    </w:p>
    <w:p>
      <w:pPr>
        <w:spacing w:after="0" w:line="32" w:lineRule="exact"/>
        <w:rPr>
          <w:rFonts w:ascii="Arial" w:cs="Arial" w:eastAsia="Arial" w:hAnsi="Arial"/>
          <w:sz w:val="16"/>
          <w:szCs w:val="16"/>
          <w:color w:val="auto"/>
        </w:rPr>
      </w:pPr>
    </w:p>
    <w:p>
      <w:pPr>
        <w:jc w:val="both"/>
        <w:ind w:firstLine="8"/>
        <w:spacing w:after="0" w:line="252" w:lineRule="auto"/>
        <w:tabs>
          <w:tab w:leader="none" w:pos="2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Warrants”) to purchase up to 2,600,000 shares of common stock. The Series AA Warrants have an exercise price of $0.23 per share, have a five year life and are immediately exercisable. The Pre-Funded Series BB Warrants were offered at $0.22 per share, are immediately exercisable for $0.01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(excluding the proceeds, if any, from the exercise of the warrants) in the February 14, 2017 Public Offering.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59" w:gutter="0" w:footer="0" w:header="0"/>
        </w:sectPr>
      </w:pPr>
    </w:p>
    <w:bookmarkStart w:id="25" w:name="page26"/>
    <w:bookmarkEnd w:id="25"/>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We are providing the following cautionary discussion of risk factors, uncertainties and assumptions that we believe are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(Exchange Act), and Section 27A of the Securities Act of 1933, as amended.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$241 million at December 31, 2016. For the years ended December 31, 2016 and 2015, we incurred a net loss of $22.1 million, and $22.5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our earlier Phase III clinical trial.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 dose escalating trial evaluating GEN-1 in combination with Avastin® and Doxil® in platinum-resistant ovarian cancer patients.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 If we are not able to raise additional capital when needed, there would continue to be substantial doubt as to our ability to continue as a going concern.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90" w:lineRule="auto"/>
        <w:rPr>
          <w:sz w:val="20"/>
          <w:szCs w:val="20"/>
          <w:color w:val="auto"/>
        </w:rPr>
      </w:pPr>
      <w:r>
        <w:rPr>
          <w:rFonts w:ascii="Arial" w:cs="Arial" w:eastAsia="Arial" w:hAnsi="Arial"/>
          <w:sz w:val="16"/>
          <w:szCs w:val="16"/>
          <w:color w:val="auto"/>
        </w:rPr>
        <w:t>We have not generated significant revenue and have incurred significant net losses in each year since our inception. For the year ended December 31, 2016, we had a net loss of $22.1 million and used $18.4 million to fund operations. We have incurred approximately $241 million of cumulated net losses. As of December 31, 2016, we had approximately $4.3 million in cash and cash equivalents. 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 Phase II clinical trial for the treatment of recurrent chest wall breast cancer and other preclinical studies.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continue to seek additional financial resources to fund the further development of our product candidates. 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As explained in the notes to our financial statements, if the Company is not able to raise additional funds when needed, there would continue to be substantial doubt as to the Company’s ability to continue as a going concern.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 Based on the above, management has determined there is substantial doubt regarding our ability to continue as a going concern. The report of our independent registered public accounting firm for the year ended December 31, 2016 includes an explanatory paragraph which expresses substantial doubt about our ability to continue as a going concern.</w:t>
      </w:r>
    </w:p>
    <w:p>
      <w:pPr>
        <w:spacing w:after="0" w:line="179"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39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240" w:hanging="189"/>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240" w:hanging="189"/>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240" w:hanging="189"/>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240" w:right="80" w:hanging="189"/>
        <w:spacing w:after="0" w:line="277"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240" w:hanging="189"/>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240" w:right="80" w:hanging="189"/>
        <w:spacing w:after="0" w:line="277"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240" w:right="540" w:hanging="189"/>
        <w:spacing w:after="0" w:line="277"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left="240" w:hanging="189"/>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240" w:hanging="189"/>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240" w:hanging="189"/>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240" w:right="420" w:hanging="189"/>
        <w:spacing w:after="0" w:line="277"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240" w:hanging="189"/>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240" w:hanging="189"/>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u w:val="single" w:color="auto"/>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our business strategy, we may seek Orphan Drug Designation for our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or our drug candidates may prove not to be effective in practice.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$3.15 and a low price of $1.65 in the 52-week period ended December 31, 2015 and a high price of $1.93 and a low price of $0.30 in the 52-week period ended December 31, 2016. Among the factors that may cause the market price of our common stock to fluctuate are the risks described in this “Risk Factors” section and other factors, including:</w:t>
      </w:r>
    </w:p>
    <w:p>
      <w:pPr>
        <w:spacing w:after="0" w:line="183" w:lineRule="exact"/>
        <w:rPr>
          <w:sz w:val="20"/>
          <w:szCs w:val="20"/>
          <w:color w:val="auto"/>
        </w:rPr>
      </w:pPr>
    </w:p>
    <w:p>
      <w:pPr>
        <w:ind w:left="840" w:hanging="413"/>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840" w:right="1320" w:hanging="413"/>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 especially changes in laws and regulations applicable to our product candidates;</w:t>
      </w:r>
    </w:p>
    <w:p>
      <w:pPr>
        <w:spacing w:after="0" w:line="170" w:lineRule="exact"/>
        <w:rPr>
          <w:rFonts w:ascii="Arial" w:cs="Arial" w:eastAsia="Arial" w:hAnsi="Arial"/>
          <w:sz w:val="18"/>
          <w:szCs w:val="18"/>
          <w:color w:val="auto"/>
        </w:rPr>
      </w:pPr>
    </w:p>
    <w:p>
      <w:pPr>
        <w:ind w:left="840" w:right="1320" w:hanging="413"/>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70" w:lineRule="exact"/>
        <w:rPr>
          <w:rFonts w:ascii="Arial" w:cs="Arial" w:eastAsia="Arial" w:hAnsi="Arial"/>
          <w:sz w:val="18"/>
          <w:szCs w:val="18"/>
          <w:color w:val="auto"/>
        </w:rPr>
      </w:pPr>
    </w:p>
    <w:p>
      <w:pPr>
        <w:ind w:left="840" w:right="1320" w:hanging="413"/>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170" w:lineRule="exact"/>
        <w:rPr>
          <w:rFonts w:ascii="Arial" w:cs="Arial" w:eastAsia="Arial" w:hAnsi="Arial"/>
          <w:sz w:val="18"/>
          <w:szCs w:val="18"/>
          <w:color w:val="auto"/>
        </w:rPr>
      </w:pPr>
    </w:p>
    <w:p>
      <w:pPr>
        <w:ind w:left="840" w:hanging="413"/>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840" w:right="1320" w:hanging="413"/>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23, 2017, we had 55,466,492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March 23, 2017, we have a significant number of securities convertible into, or allowing the purchase of, our common stock, including 35,062,319 shares of common stock issuable upon exercise of warrants outstanding, 2,547,289 options to purchase shares of our common stock and restricted stock awards outstanding, and 890,908 shares of common stock reserved for future issuance under our stock incentive plans. Under the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entered into with Cantor Fitzgerald &amp; Co. on February 1, 2013, we may offer and sell, from time to time through “at-the-market” offerings, up to an aggregate of $25 million of shares of our common stock. We have only sold $7.6 million in gross proceeds under the Sales Agreement as of March 23, 2017.</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March 23, 2017, the closing sale price per share of our common stock was $0.27, the total market value of our publicly held shares of our common stock (excluding shares held by our executive officers, directors and 10% or more stockholders) was approximately $14.8 million and the total market value of our listed securities was approximately $15.0 million. There is no assurance that we will continue to meet the minimum closing price requirement and other listing requirements. As of December 31, 2016, we had stockholders’ equity of approximately $6.7 million.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15, 2016, we received a letter from NASDAQ indicating that the closing bid price of our common stock fell below $1.00 per share for the previous 30 consecutive business days, and that we are therefore not in compliance with the minimum bid price requirement for continued inclusion on The NASDAQ Capital Market and our common stock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2016, 2015, 2014 and years prior, we performed analyses to determine if there were changes in ownership, as defined by Section 382 of the Internal Revenue Code that would limit our ability to utilize certain net operating loss and tax credit carry forwards. We determined we experienced an ownership change, as defined by Section 382, in connection with certain common stock offerings in 2011, 2013, and 2015.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3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2011, we entered into a lease with Brandywine Operating Partnership, L.P. (Brandywine), a Delaware limited partnership for a 10,870 square foot premises located in Lawrenceville, New Jersey. In October 2011, we relocated our offices to Lawrenceville, New Jersey from Columbia, Maryland. The lease has a remaining term of 4 months. As required by the lease, we provided the landlord with an irrevocable and unconditional standby letter of credit for $250,000, which we secured with an escrow deposit at our banking institution of this same amount. The lease stipulated standby letter of credit will be reduced by $50,000 on each of the 19th, 31st and 43rd months from the initial term, with the remaining $100,000 amount remaining until the term of the lease has expired. In connection with three $50,000 reductions of the standby letter of credit in April 2013, 2014 and 2015, we reduced the escrow deposit by $50,000 each time. In late 2015, Lenox Drive Office Park LLC, purchased the real estate and office building and assumed the lease. The Company is currently in negotiations with the landlord to extend the lease term and reduce the square footage by approximately 30%.</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substantially all of the assets of EGEN, Inc., an Alabama corporation, in June 2014, we assumed the existing lease with another landlord for an 11,500 square foot premises located in Huntsville Alabama. This lease has a remaining term of 13 months with monthly rent payments of approximately $23,200.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existing facilities are suitable and adequate to conduct our business.</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for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trades on The NASDAQ Capital Market under the symbol “CLSN”. The following table sets forth the high and low reported closing sale prices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2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8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 (January 1 – March 31, 2016)</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Second Quarter (April 1 – June 30, 2016)</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 (July 1 – September 30, 2016)</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Fourth Quarter (October 1 – December 31, 2016)</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0.99</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 (January 1 – March 31, 2015)</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Second Quarter (April 1 – June 30, 2015)</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 (July 1 – September 30, 2015)</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Fourth Quarter (October 1 – December 31, 2015)</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March 23, 2017, the last reported sale price for our common stock on the NASDAQ Capital Market was $0.27.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23, 2017, there were approximately 16,000 stockholders of record of our common stock. The actual number of stockholders is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23, 2016, we issued and sold approximately 5.1 million shares of our common stock to several institutional investors for an aggregate purchase price of approximately $1.8 million in a registered direct offering. In a concurrent private transaction, we sold to each investor warrants, each to purchase one share of our common stock. The warrants are initially exercisable six months following issuance, and terminate five and one-half years following issuance. The warrants have an exercise price of $0.46 per share and are exercisable to purchase an aggregate of approximately 5.1 million shares of our common stock, subject to limited exceptions.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discussions should be read in conjunction with our financial statements and related notes thereto included in this Annual Report on Form 10-</w:t>
      </w:r>
    </w:p>
    <w:p>
      <w:pPr>
        <w:spacing w:after="0" w:line="46" w:lineRule="exact"/>
        <w:rPr>
          <w:sz w:val="20"/>
          <w:szCs w:val="20"/>
          <w:color w:val="auto"/>
        </w:rPr>
      </w:pPr>
    </w:p>
    <w:p>
      <w:pPr>
        <w:jc w:val="both"/>
        <w:ind w:firstLine="8"/>
        <w:spacing w:after="0" w:line="290" w:lineRule="auto"/>
        <w:tabs>
          <w:tab w:leader="none" w:pos="268"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following discussion contains forward-looking statements made pursuant to the safe harbor provisions of Section 21E of the Securities Exchange Act of 1934 and the Private Securities Litigation Reform Act of 1995. These statements are based on our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Arial" w:cs="Arial" w:eastAsia="Arial" w:hAnsi="Arial"/>
          <w:sz w:val="16"/>
          <w:szCs w:val="16"/>
          <w:b w:val="1"/>
          <w:bCs w:val="1"/>
          <w:color w:val="auto"/>
        </w:rPr>
        <w:t>“Part I, Item 1A – Risk Factors”</w:t>
      </w:r>
      <w:r>
        <w:rPr>
          <w:rFonts w:ascii="Arial" w:cs="Arial" w:eastAsia="Arial" w:hAnsi="Arial"/>
          <w:sz w:val="16"/>
          <w:szCs w:val="16"/>
          <w:color w:val="auto"/>
        </w:rPr>
        <w:t xml:space="preserve"> appearing in this Annual Report on Form 10-K and factors described in other cautionary statements, cautionary language and risk factors set forth in other documents that we file with the Securities and Exchange Commission. We undertake no obligation to publicly update forward-looking statements, whether as a result of new information, future events or otherwise.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Celsion is a fully-integrated, development stage oncology drug company focused on developing a portfolio of innovative cancer treatments, including directed chemotherapies, DNA-mediated immunotherapy and RNA based therapies. Our lead product candidate is ThermoDox</w:t>
      </w:r>
      <w:r>
        <w:rPr>
          <w:rFonts w:ascii="Arial" w:cs="Arial" w:eastAsia="Arial" w:hAnsi="Arial"/>
          <w:sz w:val="30"/>
          <w:szCs w:val="30"/>
          <w:color w:val="auto"/>
          <w:vertAlign w:val="superscript"/>
        </w:rPr>
        <w:t>®</w:t>
      </w:r>
      <w:r>
        <w:rPr>
          <w:rFonts w:ascii="Arial" w:cs="Arial" w:eastAsia="Arial" w:hAnsi="Arial"/>
          <w:sz w:val="18"/>
          <w:szCs w:val="18"/>
          <w:color w:val="auto"/>
        </w:rPr>
        <w:t>,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a DNA-mediated immunotherapy for the localized treatment of ovarian and brain cancers.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TheraPlas, a novel nucleic acid-based treatment for local transfection of therapeutic plasmids, and TheraSilence, a systemic dosage form for lung directed anti-cancer RNA With these technologies we are working to develop and commercialize more efficient, effective and targeted oncology therapies that maximize efficacy while minimizing side-effects common to cancer treatments.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p>
    <w:p>
      <w:pPr>
        <w:spacing w:after="0" w:line="202"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being evaluated in a Phase III clinical trial for primary liver cancer (the “OPTIMA Study”) which was initiated in 2014 and a Phase II clinical trial for recurrent chest wall breast cancer (the “DIGNITY Study”).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 xml:space="preserve">The HEAT Study. </w:t>
      </w:r>
      <w:r>
        <w:rPr>
          <w:rFonts w:ascii="Arial" w:cs="Arial" w:eastAsia="Arial" w:hAnsi="Arial"/>
          <w:sz w:val="18"/>
          <w:szCs w:val="18"/>
          <w:color w:val="auto"/>
        </w:rPr>
        <w:t>On January 31, 2013, we announced that ThermoDox</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combination with radio frequency ablation (“RFA”) did not meet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endpoint of progression free survival (“PFS”) for the 701 patient clinical trial in patients with hepatocellular carcinoma (HCC), also known as primary liver cancer (the HEAT Study). We determined, after conferring with the HEAT Study’s independent Data Monitoring Committee (iDMC), that the HEAT Study did not meet the goal of demonstrating persuasive evidence of clinical effectiveness, that being a clinically meaningful improvement in progression free survival (PFS), that could form the basis for regulatory approval. In the trial,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was well-tolerated with no unexpected serious adverse events. Following the announcement of the HEAT Study results, we continued to follow patients for overall survival (OS), the secondary endpoint of the HEAT Study. We have conducted a comprehensive analysis of the data from the HEAT Study to assess the future strategic value and development strategy for ThermoDox</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both"/>
        <w:spacing w:after="0" w:line="241" w:lineRule="auto"/>
        <w:rPr>
          <w:sz w:val="20"/>
          <w:szCs w:val="20"/>
          <w:color w:val="auto"/>
        </w:rPr>
      </w:pPr>
      <w:r>
        <w:rPr>
          <w:rFonts w:ascii="Arial" w:cs="Arial" w:eastAsia="Arial" w:hAnsi="Arial"/>
          <w:sz w:val="17"/>
          <w:szCs w:val="17"/>
          <w:color w:val="auto"/>
        </w:rPr>
        <w:t>Findings from the HEAT Study post-hoc data analysis suggest that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may substantially improve overall survival, when compared to the control group, in patients if their lesions undergo a 45 minute RFA procedure standardized for a lesion greater than 3 cm in diameter. Data from nine OS sweeps have been conducted since the top line PFS data from the HEAT Study were announced in January 2013, with each data set demonstrating progressive improvement in clinical benefit and statistical significance. On August 15, 2016, the Company announced the most recent post-hoc OS analysis from the HEAT Study. These results demonstrated that in a large, well bounded subgroup of patients with a single lesion (n=285, 41% of the HEAT Study patients), the combination of ThermoDox® and optimized RFA provided an average 54% risk improvement in OS compared to optimized RFA alone. The Hazard Ratio at this latest OS analysis is 0.65 (95% CI 0.45 - 0.94) with a p-value of 0.02. Median OS for the ThermoDox® group has been reached which translates into a two year survival benefit over the optimized RFA group (projected to be greater than 80 months for the ThermoDox® plus optimized RFA group compared to less than 60 months projection for the optimized RFA only group). These data continue to strongly suggest that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may significantly improve Overall Survival compared to a RFA control in patients whose lesions undergo optimized RFA treatment for 45 minutes or more as well as support the protocol for our Phase III OPTIMA Study as described below.</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Findings from the HEAT Study post-hoc data analysis have shown to be well balanced and not diminished in anyway by other factors. Supplementary computational modeling and prospective preclinical animal studies have shown additional support the relationship between heating duration and clinical outcomes. These data have been presented, without objection, at multiple scientific and medical conferences in 2013 through 2016 by key HEAT Study investigators and leading liver cancer experts. The presentations include:</w:t>
      </w:r>
    </w:p>
    <w:p>
      <w:pPr>
        <w:spacing w:after="0" w:line="187" w:lineRule="exact"/>
        <w:rPr>
          <w:sz w:val="20"/>
          <w:szCs w:val="20"/>
          <w:color w:val="auto"/>
        </w:rPr>
      </w:pPr>
    </w:p>
    <w:p>
      <w:pPr>
        <w:ind w:left="1120" w:hanging="45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25" w:lineRule="exact"/>
        <w:rPr>
          <w:rFonts w:ascii="Arial" w:cs="Arial" w:eastAsia="Arial" w:hAnsi="Arial"/>
          <w:sz w:val="18"/>
          <w:szCs w:val="18"/>
          <w:color w:val="auto"/>
        </w:rPr>
      </w:pPr>
    </w:p>
    <w:p>
      <w:pPr>
        <w:ind w:left="1120" w:hanging="45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225" w:lineRule="exact"/>
        <w:rPr>
          <w:rFonts w:ascii="Arial" w:cs="Arial" w:eastAsia="Arial" w:hAnsi="Arial"/>
          <w:sz w:val="18"/>
          <w:szCs w:val="18"/>
          <w:color w:val="auto"/>
        </w:rPr>
      </w:pPr>
    </w:p>
    <w:p>
      <w:pPr>
        <w:ind w:left="1120" w:hanging="45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Liver Cancer Association (ILCA) Annual Conference in September 2013, 2014 and 2015;</w:t>
      </w:r>
    </w:p>
    <w:p>
      <w:pPr>
        <w:spacing w:after="0" w:line="201" w:lineRule="exact"/>
        <w:rPr>
          <w:rFonts w:ascii="Arial" w:cs="Arial" w:eastAsia="Arial" w:hAnsi="Arial"/>
          <w:sz w:val="18"/>
          <w:szCs w:val="18"/>
          <w:color w:val="auto"/>
        </w:rPr>
      </w:pPr>
    </w:p>
    <w:p>
      <w:pPr>
        <w:ind w:left="1120" w:hanging="45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American Society of Clinical Oncology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Meeting in June 2014;</w:t>
      </w:r>
    </w:p>
    <w:p>
      <w:pPr>
        <w:spacing w:after="0" w:line="110" w:lineRule="exact"/>
        <w:rPr>
          <w:rFonts w:ascii="Arial" w:cs="Arial" w:eastAsia="Arial" w:hAnsi="Arial"/>
          <w:sz w:val="18"/>
          <w:szCs w:val="18"/>
          <w:color w:val="auto"/>
        </w:rPr>
      </w:pPr>
    </w:p>
    <w:p>
      <w:pPr>
        <w:ind w:left="1120" w:hanging="451"/>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Asian Conference on Tumor Ablation in October 2015 and 2016; and</w:t>
      </w:r>
    </w:p>
    <w:p>
      <w:pPr>
        <w:spacing w:after="0" w:line="225" w:lineRule="exact"/>
        <w:rPr>
          <w:rFonts w:ascii="Arial" w:cs="Arial" w:eastAsia="Arial" w:hAnsi="Arial"/>
          <w:sz w:val="18"/>
          <w:szCs w:val="18"/>
          <w:color w:val="auto"/>
        </w:rPr>
      </w:pPr>
    </w:p>
    <w:p>
      <w:pPr>
        <w:ind w:left="1120" w:hanging="45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Asia-Pacific Primary Liver Cancer Expert (APPLE) Meeting in July 2016</w:t>
      </w:r>
    </w:p>
    <w:p>
      <w:pPr>
        <w:spacing w:after="0" w:line="22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The OPTIMA Study. </w:t>
      </w:r>
      <w:r>
        <w:rPr>
          <w:rFonts w:ascii="Arial" w:cs="Arial" w:eastAsia="Arial" w:hAnsi="Arial"/>
          <w:sz w:val="17"/>
          <w:szCs w:val="17"/>
          <w:color w:val="auto"/>
        </w:rPr>
        <w:t>On February 24, 2014, we announced that the United States Food and Drug Administration (FDA), after its customary 30 day review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accepted our IND without comment, subject to compliance with regulatory standards, for our pivotal, double-blind, placebo-controlled Phase III trial of ThermoDox</w:t>
      </w:r>
      <w:r>
        <w:rPr>
          <w:rFonts w:ascii="Arial" w:cs="Arial" w:eastAsia="Arial" w:hAnsi="Arial"/>
          <w:sz w:val="28"/>
          <w:szCs w:val="28"/>
          <w:color w:val="auto"/>
          <w:vertAlign w:val="superscript"/>
        </w:rPr>
        <w:t>®</w:t>
      </w:r>
      <w:r>
        <w:rPr>
          <w:rFonts w:ascii="Arial" w:cs="Arial" w:eastAsia="Arial" w:hAnsi="Arial"/>
          <w:sz w:val="17"/>
          <w:szCs w:val="17"/>
          <w:color w:val="auto"/>
        </w:rPr>
        <w:t>, our proprietary heat-activated liposomal encapsulation of doxorubicin in combination with RFA in primary liver cancer, also known as HCC (the OPTIMA Study). The OPTIMA Study trial design is based on the comprehensive analysis of data from the HEAT study, which, as described previously, demonstrated that treatment with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resulted in a 54% risk improvement in overall survival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75 sites in the U.S., Canada, European Union, China and elsewhere in the Asia Pacific region, and will evaluate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standardized RFA, which will require a minimum of 45 minutes across all investigators and clinical sites for treating lesions 3 to 7 centimeters, versus standardized RFA alone. The primary endpoint for the trial is OS, and the secondary endpoints for the trial are PFS and safety. The statistical plan calls for two interim efficacy analyses by an independent DMC.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now allow Celsion to enroll patients at up to 20 additional clinical sites in China. With the addition of these Chinese clinical sites, the Company expects to complete enrollment in the OPTIMA Study during the first quarter of 2018. Results from the OPTIMA Study, if successful, will provide the basis for a global registration filing and marketing approval.</w:t>
      </w:r>
    </w:p>
    <w:p>
      <w:pPr>
        <w:spacing w:after="0" w:line="18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41" w:name="page42"/>
    <w:bookmarkEnd w:id="41"/>
    <w:p>
      <w:pPr>
        <w:jc w:val="both"/>
        <w:spacing w:after="0" w:line="232"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the Phase I/II study of ThermoDox</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recurrent chest wall (RCW) breast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 (the DIGNITY Study) at the San Antonio Breast Cancer Symposium. The DIGNITY Study is designed to establish a safe therapeutic dose in Phase I, and in Phase II to demonstrate local control, including complete and partial responses, and stable disease as its primary endpoint. The DIGNITY Study is also planned to evaluate kinetics in ThermoDox® produced from more than one manufacturing site. Of the 28 patients enrolled and treated, 21 patients were eligible for evaluation of efficacy. Approximately 62% of evaluable patients experienced a local response, including six complete responses and seven partial responses.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data are consistent with the combined clinical data from two Phase I trials, our Phase I DIGNITY Study and the Duke University sponsored Phase I trial of ThermoDox® plus hyperthermia in RCW breast cancer in December 2013. The two similarly designed Phase I studies enrolled patients with highly resistant tumors found on the chest wall and who had progressed on previous therapy including chemotherapy, radiation therapy and hormone therapy. There were 29 patients treated in the two trials, including 11 patients in the DIGNITY Study and 18 patients in the Duke study. Of the 29 patients treated, 23 were eligible for evaluation of efficacy. A local response rate of over 60 percent was reported in 14 of the 23 evaluable patients with five complete responses and nine partial responses.</w:t>
      </w:r>
    </w:p>
    <w:p>
      <w:pPr>
        <w:spacing w:after="0" w:line="17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The Euro-DIGNITY Study. </w:t>
      </w:r>
      <w:r>
        <w:rPr>
          <w:rFonts w:ascii="Arial" w:cs="Arial" w:eastAsia="Arial" w:hAnsi="Arial"/>
          <w:sz w:val="18"/>
          <w:szCs w:val="18"/>
          <w:color w:val="auto"/>
        </w:rPr>
        <w:t>The Company anticipates a Phase II study of RadioTherapy, HyperThermia and ThermoDox</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treat patients with local-regional recurrent chest wall breast cancer will be initiated by five to six clinical sites located in Italy, Israel, the Netherlands, Poland, and the Czech Republic (the Euro-DIGNITY Study). The Euro-DIGNITY Study will be Phase II study enrolling up to 70 patients affected by recurrent breast adenocarcinoma on the chest wall with/without nodes over a period of two years.</w:t>
      </w:r>
    </w:p>
    <w:p>
      <w:pPr>
        <w:spacing w:after="0" w:line="179" w:lineRule="exact"/>
        <w:rPr>
          <w:sz w:val="20"/>
          <w:szCs w:val="20"/>
          <w:color w:val="auto"/>
        </w:rPr>
      </w:pPr>
    </w:p>
    <w:p>
      <w:pPr>
        <w:jc w:val="both"/>
        <w:spacing w:after="0" w:line="196" w:lineRule="auto"/>
        <w:rPr>
          <w:sz w:val="20"/>
          <w:szCs w:val="20"/>
          <w:color w:val="auto"/>
        </w:rPr>
      </w:pPr>
      <w:r>
        <w:rPr>
          <w:rFonts w:ascii="Arial" w:cs="Arial" w:eastAsia="Arial" w:hAnsi="Arial"/>
          <w:sz w:val="18"/>
          <w:szCs w:val="18"/>
          <w:color w:val="auto"/>
        </w:rPr>
        <w:t>The primary objectives of the Euro-DIGNITY Study will be (i) to evaluate efficacy in patients after 3 cycles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plus Hyperthermia measuring tumor diameter as a response to therapy and (ii) to evaluate loco-regional breast tumor control in patients who undergo ThermoDox</w:t>
      </w:r>
      <w:r>
        <w:rPr>
          <w:rFonts w:ascii="Arial" w:cs="Arial" w:eastAsia="Arial" w:hAnsi="Arial"/>
          <w:sz w:val="30"/>
          <w:szCs w:val="30"/>
          <w:color w:val="auto"/>
          <w:vertAlign w:val="superscript"/>
        </w:rPr>
        <w:t>®</w:t>
      </w:r>
      <w:r>
        <w:rPr>
          <w:rFonts w:ascii="Arial" w:cs="Arial" w:eastAsia="Arial" w:hAnsi="Arial"/>
          <w:sz w:val="18"/>
          <w:szCs w:val="18"/>
          <w:color w:val="auto"/>
        </w:rPr>
        <w:t>/hyperthermia/radiotherapy as measured by target lesion clinical response rate combining a RECIST criteria with digital photography to gauge response.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ThermoDox®/Hyperthermia/Radiotherapy among patients with local-regional recurrence (LRR) breast cancer, (ii) to evaluate the duration of local control complete response, partial response and stable disease following treatment with ThermoDox®/Hyperthermia/Radiotherapy up to 24 months among patients with LRR breast cancer and (iii) to assess Patient Reported Quality of Life using the FACT-B and Brief Pain Inventory following treatment with ThermoDox®/Hyperthermia/Radiotherapy among patients with LRR breast cancer.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(EGEN), pursuant to an Asset Purchase Agreement. CLSN Laboratories, Inc., a Delaware corporation and a wholly-owned subsidiary of ours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of the acquisition includes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achievement of three major milestone events as follows:</w:t>
      </w:r>
    </w:p>
    <w:p>
      <w:pPr>
        <w:spacing w:after="0" w:line="166" w:lineRule="exact"/>
        <w:rPr>
          <w:sz w:val="20"/>
          <w:szCs w:val="20"/>
          <w:color w:val="auto"/>
        </w:rPr>
      </w:pPr>
    </w:p>
    <w:p>
      <w:pPr>
        <w:ind w:left="660" w:right="380" w:hanging="28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660" w:right="380" w:hanging="28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glioblastoma multiforme brain cancer study of GEN-1 to be conducted by the Company or its subsidiary; and</w:t>
      </w:r>
    </w:p>
    <w:p>
      <w:pPr>
        <w:spacing w:after="0" w:line="170" w:lineRule="exact"/>
        <w:rPr>
          <w:rFonts w:ascii="Arial" w:cs="Arial" w:eastAsia="Arial" w:hAnsi="Arial"/>
          <w:sz w:val="18"/>
          <w:szCs w:val="18"/>
          <w:color w:val="auto"/>
        </w:rPr>
      </w:pPr>
    </w:p>
    <w:p>
      <w:pPr>
        <w:ind w:left="660" w:hanging="28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Our obligations to make the Earn-Out Payments will terminate on the seventh anniversary of the closing 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we borrowed an additional $5.0 million pursuant to a certain Loan and Security Agreement dated as of November 25, 2013, by and between Hercules Technology Growth Capital, Inc. and us. We used the loan proceeds to pay the upfront cash payment to EGEN at closing and certain transaction costs incurred in connection with the acquisition.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w:t>
      </w:r>
    </w:p>
    <w:p>
      <w:pPr>
        <w:spacing w:after="0" w:line="3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24,211,000</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(Covenant not to compete)</w:t>
            </w:r>
          </w:p>
        </w:tc>
        <w:tc>
          <w:tcPr>
            <w:tcW w:w="2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1,591,000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(235,000)</w:t>
            </w:r>
          </w:p>
        </w:tc>
      </w:tr>
      <w:tr>
        <w:trPr>
          <w:trHeight w:val="25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exceeds the estimated fair value of the net assets acquired by approximately $2.0 million which was recorded as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acquisition, we obtained GEN-1,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IPR&amp;D consists of EGEN's drug technology platforms: GEN-1, TheraPlas and TheraSilence. The fair value of the IPR&amp;D drug technology platforms was estimated to be $24.2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72" w:lineRule="auto"/>
        <w:rPr>
          <w:sz w:val="20"/>
          <w:szCs w:val="20"/>
          <w:color w:val="auto"/>
        </w:rPr>
      </w:pPr>
      <w:r>
        <w:rPr>
          <w:rFonts w:ascii="Arial" w:cs="Arial" w:eastAsia="Arial" w:hAnsi="Arial"/>
          <w:sz w:val="17"/>
          <w:szCs w:val="17"/>
          <w:color w:val="auto"/>
        </w:rPr>
        <w:t>At the closing of the acquisition, the IPR&amp;D was considered indefinite lived intangible assets and was not amortized. The IPR&amp;D is reviewed on an annual basis or more frequently if there appears to be an indication of impairment. At December 31, 2016, the Company determined one of the IPR&amp;D assets related to the development of its RNA delivery system being developed with collaborators using their RNA product candidates, valued at $1.4 million, was impaired. Therefore, the Company wrote off the value of this IPR&amp;D asset incurring a non-cash charge of $1.4 million in the fourth quarter of 2016. In connection with the write-off of this IPR&amp;D asset, the Company concluded there was no probability of payments of the earn-out milestones associated with this asset and therefore reduced the earn-out milestone liability by $0.7 million at the same time. The Company concluded none of the other IPR&amp;D assets from the EGEN acquisition were impaired at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Not To Compete (CNTC)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 end of 2016, the Company concluded the CNTC which was valued at approximately $1.6 million at the date of the EGEN acquisition had a definitive life and should be amortized on a straight line basis over its life of 7 years. Therefore, in the fourth quarter of 2016, the Company recorded a non-cash adjustment of $568,290 representing the cumulative amount of amortization expense from the date of acquisition through the end of 2016. The fair value of the CNTC was $1,022,924 net of $568,290 accumulated amortization as of December 31, 2016 and $1,591,214 as of December 31, 2015.</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GEN-1 OVATION Study. </w:t>
      </w:r>
      <w:r>
        <w:rPr>
          <w:rFonts w:ascii="Arial" w:cs="Arial" w:eastAsia="Arial" w:hAnsi="Arial"/>
          <w:sz w:val="18"/>
          <w:szCs w:val="18"/>
          <w:color w:val="auto"/>
        </w:rPr>
        <w:t>In February 2015, we announced that the FDA accepted, without objection, the Phase I dose-escalation clinical trial of GEN-1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the standard of care in neo-adjuvant ovarian cancer (the OVATION Study). On September 30, 2015, we announced enrollment of the first patient in the OVATION Study. The OVATION Study will seek to identify a safe, tolerable and potentially therapeutically active dose of GEN-1 by recruiting and maximizing an immune response and is designed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92" w:lineRule="exact"/>
        <w:rPr>
          <w:sz w:val="20"/>
          <w:szCs w:val="20"/>
          <w:color w:val="auto"/>
        </w:rPr>
      </w:pPr>
    </w:p>
    <w:p>
      <w:pPr>
        <w:ind w:left="1040" w:right="1600" w:hanging="330"/>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1040" w:right="1620" w:hanging="330"/>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1040" w:hanging="33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initiated the OVATION Study at four clinical sites at the University of Alabama at Birmingham, Oklahoma University Medical Center, Washington University in St. Louis and the Medical College of Wisconsin. During 2016 and 2017, we announced data from the first four cohorts of patients in the OVATION Study, respectively. The OVATION Study is designed to enroll three to six patients per dose cohort and will continue into 2017 with the goal to identify a safe, tolerable and therapeutically active dose of GEN-1 by recruiting and maximizing an immune response. The first four cohorts each enrolled three patients. Enrollment of three additional patients in the fourth cohort is ongoing, and Celsion expects to complete the OVATION Study in the first half of 2017. Future studies of GEN-1 will include a Phase I/II study combining GEN-1 with Avastin® and Doxil®. The results of the OVATION Study to date are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Totality of Results in the First Four Cohorts</w:t>
      </w:r>
    </w:p>
    <w:p>
      <w:pPr>
        <w:spacing w:after="0" w:line="225" w:lineRule="exact"/>
        <w:rPr>
          <w:sz w:val="20"/>
          <w:szCs w:val="20"/>
          <w:color w:val="auto"/>
        </w:rPr>
      </w:pPr>
    </w:p>
    <w:p>
      <w:pPr>
        <w:jc w:val="both"/>
        <w:ind w:left="1020" w:right="1360" w:hanging="386"/>
        <w:spacing w:after="0" w:line="286"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Of the first twelve patients dosed, one (1) patient demonstrated a complete response (“CR”), eight (8) patients demonstrated partial response (“PR”) and three patients demonstrated stable disease (“SD”), as measured by RECIST criteria. This translates to a 100% disease control rate (“DCR”) and 75% objective response rate (“ORR”).</w:t>
      </w:r>
    </w:p>
    <w:p>
      <w:pPr>
        <w:spacing w:after="0" w:line="165" w:lineRule="exact"/>
        <w:rPr>
          <w:rFonts w:ascii="Arial" w:cs="Arial" w:eastAsia="Arial" w:hAnsi="Arial"/>
          <w:sz w:val="17"/>
          <w:szCs w:val="17"/>
          <w:color w:val="auto"/>
        </w:rPr>
      </w:pPr>
    </w:p>
    <w:p>
      <w:pPr>
        <w:jc w:val="both"/>
        <w:ind w:left="1020" w:right="1340" w:hanging="386"/>
        <w:spacing w:after="0" w:line="25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Eleven patients had successful resections of their tumors, with six (6) patients having an R0 resection, which indicates a microscopically margin-negative resection in which no gross or microscopic tumor remains in the tumor bed, and four (4) patients with a R1 resection, indicating microscopic residual tumor. One patient had an R2, indicating macroscopic residual tumor. One patient in the second cohort was ineligible for debulking surgery due to a medical complication unrelated to the study or the study drug.</w:t>
      </w:r>
    </w:p>
    <w:p>
      <w:pPr>
        <w:spacing w:after="0" w:line="188" w:lineRule="exact"/>
        <w:rPr>
          <w:rFonts w:ascii="Arial" w:cs="Arial" w:eastAsia="Arial" w:hAnsi="Arial"/>
          <w:sz w:val="18"/>
          <w:szCs w:val="18"/>
          <w:color w:val="auto"/>
        </w:rPr>
      </w:pPr>
    </w:p>
    <w:p>
      <w:pPr>
        <w:jc w:val="both"/>
        <w:ind w:left="1020" w:right="1340" w:hanging="386"/>
        <w:spacing w:after="0" w:line="29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Of the eleven surgically treated and evaluable patients, one patient demonstrated a complete pathological response (“cPR”), five (5) patients demonstrated a micro pathological response (“microPR”), and five (5) patients demonstrated a macroPR. These data compare favorably to historical data, which indicate that cPRs are typically seen in less than 7% of patients receiving neoadjuvant chemotherapy followed by surgical resection. cPRs have been associated with a median overall survival of 72 months, which is more than three years longer than those who do not experience a cPR. In addition, microPRs are seen in approximately 30% of patients, and are associated with a median overall survival of 38 months.</w:t>
      </w:r>
    </w:p>
    <w:p>
      <w:pPr>
        <w:spacing w:after="0" w:line="164" w:lineRule="exact"/>
        <w:rPr>
          <w:rFonts w:ascii="Arial" w:cs="Arial" w:eastAsia="Arial" w:hAnsi="Arial"/>
          <w:sz w:val="16"/>
          <w:szCs w:val="16"/>
          <w:color w:val="auto"/>
        </w:rPr>
      </w:pPr>
    </w:p>
    <w:p>
      <w:pPr>
        <w:jc w:val="both"/>
        <w:ind w:left="1020" w:right="1340" w:hanging="386"/>
        <w:spacing w:after="0" w:line="25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eleven patients who completed treatment follow-up experienced a dramatic (greater than 90%) drop in their CA-125 protein levels as of their most recent study visit. CA-125 is used to monitor certain cancers during and after treatment. CA-125 is present in greater concentrations in ovarian cancer cells than in other cells. A 50% reduction in CA-125 levels is considered meaningful.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329"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auto"/>
        </w:rPr>
        <w:t>Top Line Translational Data from First Two Cohorts</w:t>
      </w:r>
    </w:p>
    <w:p>
      <w:pPr>
        <w:spacing w:after="0" w:line="225" w:lineRule="exact"/>
        <w:rPr>
          <w:sz w:val="20"/>
          <w:szCs w:val="20"/>
          <w:color w:val="auto"/>
        </w:rPr>
      </w:pPr>
    </w:p>
    <w:p>
      <w:pPr>
        <w:jc w:val="both"/>
        <w:ind w:left="140"/>
        <w:spacing w:after="0" w:line="312" w:lineRule="auto"/>
        <w:rPr>
          <w:sz w:val="20"/>
          <w:szCs w:val="20"/>
          <w:color w:val="auto"/>
        </w:rPr>
      </w:pPr>
      <w:r>
        <w:rPr>
          <w:rFonts w:ascii="Arial" w:cs="Arial" w:eastAsia="Arial" w:hAnsi="Arial"/>
          <w:sz w:val="16"/>
          <w:szCs w:val="16"/>
          <w:color w:val="auto"/>
        </w:rPr>
        <w:t>Celsion also reported initial translational data from the first two cohorts of patients. Tumor and blood samples collected before the start of the neoadjuvant chemotherapy (“NACT”) and after the completion of GEN-1 treatment at debulking surgery are being analyzed for immune cell populations. Top line data demonstrates intriguing immunological changes in the tumor that are consistent with the activation of the immune system. Specifically,</w:t>
      </w:r>
    </w:p>
    <w:p>
      <w:pPr>
        <w:spacing w:after="0" w:line="147" w:lineRule="exact"/>
        <w:rPr>
          <w:sz w:val="20"/>
          <w:szCs w:val="20"/>
          <w:color w:val="auto"/>
        </w:rPr>
      </w:pPr>
    </w:p>
    <w:p>
      <w:pPr>
        <w:jc w:val="both"/>
        <w:ind w:left="1020" w:right="1340" w:hanging="386"/>
        <w:spacing w:after="0" w:line="29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tumor tissue, there was an increase in cytotoxic CD8+ T-cell density in three out of four evaluable patients at debulking surgery. There was a decrease in immunosuppressive FoxP3+ T-cells in two out of those 4 patients. The ratio of CD8+/FoxP3+ cells was increased in all four evaluable patients. High tumor infiltrating CD8+ T-cell density, low FoxP3+ T-cell density or high CD8+/FoxP3+ ratio demonstrate a potential shift in tumor environment to favoring immune stimulation following NACT + GEN-1 therapy. For the remaining two patients the post-treatment tumor tissue was not available. In one of those two patients there was complete pathological response hence no tumor tissue was present to provide a post-treatment comparison. In the other patient the debulking surgery was not performed due to disease related complications.</w:t>
      </w:r>
    </w:p>
    <w:p>
      <w:pPr>
        <w:spacing w:after="0" w:line="167" w:lineRule="exact"/>
        <w:rPr>
          <w:rFonts w:ascii="Arial" w:cs="Arial" w:eastAsia="Arial" w:hAnsi="Arial"/>
          <w:sz w:val="16"/>
          <w:szCs w:val="16"/>
          <w:color w:val="auto"/>
        </w:rPr>
      </w:pPr>
    </w:p>
    <w:p>
      <w:pPr>
        <w:jc w:val="both"/>
        <w:ind w:left="1020" w:right="1360" w:hanging="386"/>
        <w:spacing w:after="0" w:line="264"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plasma samples, there was no significant change in T-cell density following the treatment. The density of myeloid derived suppressor cells that are associated with immunosuppression in ovarian cancer were either decreased or did not increase in post-treatment samples.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immune analysis of biological tissue including cytokine ELISA from the first two patient cohorts and a complete analysis of the two higher dose cohorts is in progress. We expect to report the final clinical and translational data from the OVATION Study in mid-2017.</w:t>
      </w:r>
    </w:p>
    <w:p>
      <w:pPr>
        <w:spacing w:after="0" w:line="14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GEN-1 Plus Doxil</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and Avastin</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Trial. </w:t>
      </w:r>
      <w:r>
        <w:rPr>
          <w:rFonts w:ascii="Arial" w:cs="Arial" w:eastAsia="Arial" w:hAnsi="Arial"/>
          <w:sz w:val="18"/>
          <w:szCs w:val="18"/>
          <w:color w:val="auto"/>
        </w:rPr>
        <w:t>On April 29, 2015, we announced the expansion of our ovarian cancer development program to include a Phase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 escalating trial to evaluate GEN-1 in combination with Avastin® and Doxil® in platinum-resistant ovarian cancer patients. This new combination study in platinum-resistant ovarian cancer is supported by three preclinical studies indicating that the combination of GEN-1 with Avastin® may result in significant clinical benefit with a favorable safety profile. Specifically:</w:t>
      </w:r>
    </w:p>
    <w:p>
      <w:pPr>
        <w:spacing w:after="0" w:line="202" w:lineRule="exact"/>
        <w:rPr>
          <w:sz w:val="20"/>
          <w:szCs w:val="20"/>
          <w:color w:val="auto"/>
        </w:rPr>
      </w:pPr>
    </w:p>
    <w:p>
      <w:pPr>
        <w:jc w:val="both"/>
        <w:ind w:left="620" w:right="220" w:hanging="342"/>
        <w:spacing w:after="0" w:line="259"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186" w:lineRule="exact"/>
        <w:rPr>
          <w:rFonts w:ascii="Arial" w:cs="Arial" w:eastAsia="Arial" w:hAnsi="Arial"/>
          <w:sz w:val="18"/>
          <w:szCs w:val="18"/>
          <w:color w:val="auto"/>
        </w:rPr>
      </w:pPr>
    </w:p>
    <w:p>
      <w:pPr>
        <w:jc w:val="both"/>
        <w:ind w:left="600" w:right="80"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preclinical studies indicated that no obvious overt toxicities were associated with the combined treatments.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181" w:lineRule="exact"/>
        <w:rPr>
          <w:rFonts w:ascii="Arial" w:cs="Arial" w:eastAsia="Arial" w:hAnsi="Arial"/>
          <w:sz w:val="18"/>
          <w:szCs w:val="18"/>
          <w:color w:val="auto"/>
        </w:rPr>
      </w:pPr>
    </w:p>
    <w:p>
      <w:pPr>
        <w:jc w:val="both"/>
        <w:ind w:left="600" w:right="80" w:hanging="322"/>
        <w:spacing w:after="0" w:line="259"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makes a sound scientific rationale for this combination approach. Additionally, the anti-angiogenic activity of GEN-1 mediated through up regulation of the interferon gamma (IFN-g) pathway may help to explain the remarkable synergy between GEN-1 and Avastin® and potentially addresses the VEGF escape mechanisms associated with resistance to Avastin® therapy.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Business Plan and Going Concern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 Item 1A. Risk Factors" in this Annual Report on Form 10-K.</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of December 31, 2016, we had $4.3 million in cash and short term investments. Given our development plans, we anticipate cash resources will be sufficient to fund our operations into mid-2017 and the Company has no committed sources of additional capital. The Company has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(the “ATM Agreement”) with Cantor Fitzgerald &amp; Co. (see Note 10). 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Based on the above, management has determined there is substantial doubt regarding our ability to continue as a going concern. The report of our independent registered public accounting firm for the year ended December 31, 2016 includes an explanatory paragraph which expresses substantial doubt about our ability to continue as a going concern.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and 2015, we issued a total of 11.0 million shares of common stock; in the following equity transactions for an aggregate $16.4 million in gross proceeds.</w:t>
      </w:r>
    </w:p>
    <w:p>
      <w:pPr>
        <w:spacing w:after="0" w:line="170" w:lineRule="exact"/>
        <w:rPr>
          <w:sz w:val="20"/>
          <w:szCs w:val="20"/>
          <w:color w:val="auto"/>
        </w:rPr>
      </w:pPr>
    </w:p>
    <w:p>
      <w:pPr>
        <w:jc w:val="both"/>
        <w:ind w:left="760" w:right="1580" w:hanging="374"/>
        <w:spacing w:after="0" w:line="279"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December 23, 2016, the Company entered into a Securities Purchase Agreement with certain institutional investors, pursuant to which the Company sold, in a registered direct offering, an aggregate of 5,142,843 shares of common stock for an aggregate purchase price of approximately $1.8 million. In a concurrent private placement, the Company issued to the same investors warrants to purchase up to 5,142,843 shares of common stock.</w:t>
      </w:r>
    </w:p>
    <w:p>
      <w:pPr>
        <w:spacing w:after="0" w:line="171" w:lineRule="exact"/>
        <w:rPr>
          <w:rFonts w:ascii="Arial" w:cs="Arial" w:eastAsia="Arial" w:hAnsi="Arial"/>
          <w:sz w:val="17"/>
          <w:szCs w:val="17"/>
          <w:color w:val="auto"/>
        </w:rPr>
      </w:pPr>
    </w:p>
    <w:p>
      <w:pPr>
        <w:jc w:val="both"/>
        <w:ind w:left="760" w:right="1560" w:hanging="374"/>
        <w:spacing w:after="0" w:line="297"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June 13, 2016, the Company entered into a Securities Purchase Agreement with an institutional investor, pursuant to which the Company sold, in a registered direct offering, an aggregate of 2,311,764 shares of common stock and Pre-funded Series B Warrants to purchase 2,100,000 shares of common stock for an aggregate purchase price of approximately $6.0 million. In a concurrent private placement, the Company issued to the same investor warrants to purchase up to 8,823,528 shares of common stock. As of March 15, 2017, the Pre-funded Series B Warrants were fully exercised.</w:t>
      </w:r>
    </w:p>
    <w:p>
      <w:pPr>
        <w:spacing w:after="0" w:line="158" w:lineRule="exact"/>
        <w:rPr>
          <w:rFonts w:ascii="Arial" w:cs="Arial" w:eastAsia="Arial" w:hAnsi="Arial"/>
          <w:sz w:val="16"/>
          <w:szCs w:val="16"/>
          <w:color w:val="auto"/>
        </w:rPr>
      </w:pPr>
    </w:p>
    <w:p>
      <w:pPr>
        <w:jc w:val="both"/>
        <w:ind w:left="760" w:right="1560" w:hanging="374"/>
        <w:spacing w:after="0" w:line="259" w:lineRule="auto"/>
        <w:tabs>
          <w:tab w:leader="none" w:pos="7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On May 27, 2015, the Company entered into a Securities Purchase Agreement with certain institutional investors, pursuant to which the Company sold, in a registered direct offering, an aggregate of 3,000,000 shares of common stock, for an aggregate purchase price of approximately $8.0 million. In a concurrent private placement, the Company issued to the same investors warrants to purchase up to 1,950,000 shares of common stock.</w:t>
      </w:r>
    </w:p>
    <w:p>
      <w:pPr>
        <w:spacing w:after="0" w:line="163" w:lineRule="exact"/>
        <w:rPr>
          <w:rFonts w:ascii="Arial" w:cs="Arial" w:eastAsia="Arial" w:hAnsi="Arial"/>
          <w:sz w:val="18"/>
          <w:szCs w:val="18"/>
          <w:b w:val="1"/>
          <w:bCs w:val="1"/>
          <w:color w:val="auto"/>
        </w:rPr>
      </w:pPr>
    </w:p>
    <w:p>
      <w:pPr>
        <w:jc w:val="both"/>
        <w:ind w:left="760" w:right="1600" w:hanging="374"/>
        <w:spacing w:after="0" w:line="252"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are a party 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February 25, 2013, the Company sold and issued an aggregate of 1,195,927 shares of common stock under the ATM, receiving approximately $6.8 million in net proceeds. The Company did not have any sales under the ATM from February 25, 2013 through September 30, 2015. On October 2, 2015, the Company filed a prospectus supplement whereby it registered $7.5 million of the remaining availability under the ATM. During the fourth quarter of 2015, the Company sold an aggregate of 283,608 shares for gross proceeds of $0.6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jc w:val="both"/>
        <w:spacing w:after="0" w:line="270" w:lineRule="auto"/>
        <w:rPr>
          <w:sz w:val="20"/>
          <w:szCs w:val="20"/>
          <w:color w:val="auto"/>
        </w:rPr>
      </w:pPr>
      <w:r>
        <w:rPr>
          <w:rFonts w:ascii="Arial" w:cs="Arial" w:eastAsia="Arial" w:hAnsi="Arial"/>
          <w:sz w:val="17"/>
          <w:szCs w:val="17"/>
          <w:color w:val="auto"/>
        </w:rPr>
        <w:t>Subsequent to December 31, 2016, the Company entered into a securities purchase agreement on February 14, 2017 whereby it sold, in a public offering (the February 14, 2017 Public Offering), an aggregate of 19,385,869 shares of common stock of the Company at an offering price of $0.23 per share. In addition, the Company sold Series AA Warrants (the Series AA Warrants) to purchase up to 16,489,402 shares of common stock and Pre-Funded Series BB Warrants (the Pre-Funded Series BB Warrants) to purchase up to 2,600,000 shares of common stock. The Series AA Warrants have an exercise price of $0.23 per share, have a five year life and are immediately exercisable. The Pre-Funded Series BB Warrants were offered at $0.22 per share, are immediately exercisable for $0.01 per share of common stock, do not have an expiration date and were issued in lieu of shares of common stock to the extent that the purchase of common stock would cause the beneficial ownership of the Purchaser, together with its affiliates and certain related parties, to exceed 9.99% of our common stock. The Company received approximately $5.0 million in gross proceeds (excluding the proceeds, if any, from the exercise of the warrants) in the February 14, 2017 Public Offering.</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20, 2014, we completed the acquisition of substantially all of the assets of EGEN, Inc. At the closing, we paid approximately $3.0 million in cash and issued 2,712,188 shares of its common stock to EGEN. In addition, 670,070 shares of common stock are issuable to EGEN pending satisfactory resolution of any post-closing adjustments of expenses and EGEN’s indemnification obligations under the EGEN Purchase Agreement</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 The obligations under the Hercules Credit Agreement are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30-month amortization period of principal and interest through the scheduled maturity date of June 1, 2017.</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Please refer to Note 2 of the Financial Statements contained in this Form 10-K. Also refer to </w:t>
      </w:r>
      <w:r>
        <w:rPr>
          <w:rFonts w:ascii="Arial" w:cs="Arial" w:eastAsia="Arial" w:hAnsi="Arial"/>
          <w:sz w:val="16"/>
          <w:szCs w:val="16"/>
          <w:b w:val="1"/>
          <w:bCs w:val="1"/>
          <w:color w:val="auto"/>
        </w:rPr>
        <w:t>Item IA, Risk Factors</w:t>
      </w:r>
      <w:r>
        <w:rPr>
          <w:rFonts w:ascii="Arial" w:cs="Arial" w:eastAsia="Arial" w:hAnsi="Arial"/>
          <w:sz w:val="16"/>
          <w:szCs w:val="16"/>
          <w:color w:val="auto"/>
        </w:rPr>
        <w:t>, including, but not limited to</w:t>
      </w:r>
      <w:r>
        <w:rPr>
          <w:rFonts w:ascii="Arial" w:cs="Arial" w:eastAsia="Arial" w:hAnsi="Arial"/>
          <w:sz w:val="16"/>
          <w:szCs w:val="16"/>
          <w:i w:val="1"/>
          <w:iCs w:val="1"/>
          <w:color w:val="auto"/>
        </w:rPr>
        <w:t>, “We will</w:t>
      </w:r>
      <w:r>
        <w:rPr>
          <w:rFonts w:ascii="Arial" w:cs="Arial" w:eastAsia="Arial" w:hAnsi="Arial"/>
          <w:sz w:val="16"/>
          <w:szCs w:val="16"/>
          <w:color w:val="auto"/>
        </w:rPr>
        <w:t xml:space="preserve"> </w:t>
      </w:r>
      <w:r>
        <w:rPr>
          <w:rFonts w:ascii="Arial" w:cs="Arial" w:eastAsia="Arial" w:hAnsi="Arial"/>
          <w:sz w:val="16"/>
          <w:szCs w:val="16"/>
          <w:i w:val="1"/>
          <w:iCs w:val="1"/>
          <w:color w:val="auto"/>
        </w:rPr>
        <w:t>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 If we were not able to raise additional capital when needed, there would be substantial doubt as to our ability to continue as a going concern.”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statements, which appear at Item 8 to this Annual Report on Form 10-K, have been prepared in accordance with accounting principles generally accepted in the U.S., which require that we make certain assumptions and estimates and, in connection therewith, adopt certain accounting policies. Our significant accounting policies are set forth in Note 1 to our financial statements. Of those policies, we believe that the policies discussed below may involve a higher degree of judgment and may be more critical to an accurate reflection of our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the provisions of ASC topic 718 “Compensation” which requires the expense recognition over a service period for the fair value of share based compensation awards, such as stock options, restricted stock and performance based shares. This standard allows us to establish modeling assumptions as to expected stock price volatility, option terms, forfeiture and dividend rates, which directly impact estimated fair value as determined. Our practice is to utilize reasonable and supportable assumptions which are reviewed with our Board of Directors and its appropriate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to our Consolidated Financial Statements,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accounting principles generally accepted in the U.S.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2016 and Fiscal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recognized revenue of $500,000 in each of the years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expenses remained unchanged at $14.6 million in 2016 and 2015. Costs associated with the Phase III OPTIMA Study were $5.6 million in 2016 compared to $3.6 million in 2015. Increased costs in the OPTIMA Study are due to higher patient enrollment costs, investigator grants and site initiation expenses. Costs associated with the HEAT Study decreased to $0.4 million in 2016 from $0.6 million in 2015. Costs associated with the HEAT Study are expected to be minimal as the Company has completed its final post-hoc overall survival analysis in 2016 and is in the process of closing out the study. Costs associated with our RCW breast cancer clinical trial were $0.3 million in 2016 compared to $0.5 million in 2015. Other clinical costs were $3.2 million in 2016 compared to $2.0 million in 2015. The increase of other clinical costs is associated with activities to support the Company’s ThermoDox® studies in Europe. Other research and development costs related to preclinical operations and regulatory affairs were $0.4 million in 2016 compared to $0.3 million in 2015. During 2015, the Company signed an amendment to a Cooperative Research and Development Agreement with the NIH which resulted in a $0.8 million downward adjustment to previously accrued contract liability costs in the current year.</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Costs associated with the production of ThermoDox® to support the OPTIMA Study decreased to $1.5 million in 2016 from $3.4 million incurred in 2015. Costs associated with CLSN Laboratories (which includes research and development activities and clinical studies for GEN-1, TheraPlas and TheraSilence) were $3.2 million in 2016 compared to $4.2 million in 2015. In 2015, the Company produced sufficient quantities of clinical supplies and the related components to fulfill its TheromDox® requirements in the OPTIMA Study through enrollment and its GEN-1 clinical study requirements into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decreased by $0.2 million to $6.5 million in 2016 compared to $6.7 million in 2015. This decrease is primarily the result of reductions in personnel costs of $0.4 million (including $0.1 million of non-cash stock compensation costs) and reductions in professional fees of $0.3 million offset by $0.6 million of non-cash amortization expense related to other intangible assets from the June 2014 EGEN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will be recognized in the financial statement. At December 31, 2016, the Company fair valued the earn-out milestone liability at $13.2 million and recognized a non-cash gain of $0.7 million during 2016 as a result of the change in the fair value of earn-out milestone liability of $13.9 million at December 31, 2015. Included in the non-cash gain during 2016, was the $0.7 million reduction of the liability during the fourth quarter of 2016 related to the write down of one of the in-process research and development assets (see Note 5) as the Company believes there is no probability of the payout of the related earn-out milestone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2016, the Company concluded one of the IPR&amp;D assets related to the development of its RNA delivery system being developed with collaborators using their RNA product candidates, valued at $1.4 million, was impaired. Therefore, the Company wrote off the value of this IPR&amp;D asset incurring a non-cash charge of $1.4 million in the fourth quarter of 2016. As previously mentioned above, the Company concluded there was no probability of payment of the earn-out milestones associated with this asset and therefore reduced the earn-out milestone liability by $0.7 million at the same time. The Company concluded none of the other IPR&amp;D assets were impaired at December 31,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its debt facilities the Company incurred $0.7 million and $1.4 million in interest expense in 2016 and 2015, respectively. This decrease was due to lower principle balances outstanding under the Company’s current debt facilities with Hercules Technology Growth Capital, Inc.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2016 and 2015 was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$241 million at December 31, 2016.</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2016, we had total current assets of $4.5 million (including cash, cash equivalents and short term investments and related interest receivable on short term investments of $4.3 million) and current liabilities of $8.4 million, resulting in net working deficit of $4.1 million. At December 31, 2015 we had total current assets of $20.3 million (including cash, cash equivalents and short term investments and related interest receivable on short term investments of $20.1 million) and current liabilities of $9.3 million, resulting in net working capital of $11.0 million.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for 2016 was $18.4 million. Our 2016 net loss included $1.5 million in non-cash stock-based compensation expense, $0.7 million in a non-cash benefit based on the change in the earn-out milestone liability and $0.6 million in non-cash amortization expense related to other intangible assets from the June 2014 EGEN acquisition. The $18.4 million net cash used in operating activities was mostly funded from cash and short term investments. At December 31, 2016, we had cash, cash equivalents and short term investments and related interest receivable on short term investments of $4.3 million.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jc w:val="both"/>
        <w:spacing w:after="0" w:line="308" w:lineRule="auto"/>
        <w:rPr>
          <w:sz w:val="20"/>
          <w:szCs w:val="20"/>
          <w:color w:val="auto"/>
        </w:rPr>
      </w:pPr>
      <w:r>
        <w:rPr>
          <w:rFonts w:ascii="Arial" w:cs="Arial" w:eastAsia="Arial" w:hAnsi="Arial"/>
          <w:sz w:val="17"/>
          <w:szCs w:val="17"/>
          <w:color w:val="auto"/>
        </w:rPr>
        <w:t>Net cash provided by financing activities was $6.8 million during 2016, $6.8 million of which resulted from net proceeds from sales of our common stock in June and December, 2016, which was partially offset by $4.1 million in debt service payments under the Hercules Credit Agreement.</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February 2013,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1,479,535 shares under the ATM Agreement so far, receiving approximately $7.6 million in gross proceeds.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19,385,869 shares of common stock of the Company at an offering price of $0.23 per share. In addition, the Company sold Series</w:t>
      </w:r>
    </w:p>
    <w:p>
      <w:pPr>
        <w:jc w:val="both"/>
        <w:ind w:firstLine="8"/>
        <w:spacing w:after="0" w:line="253" w:lineRule="auto"/>
        <w:tabs>
          <w:tab w:leader="none" w:pos="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Warrants (the Series AA Warrants) to purchase up to 16,489,402 shares of common stock and Pre-Funded Series BB Warrants (the Pre-Funded Series BB Warrants) to purchase up to 2,600,000 shares of common stock, which were issued in lieu of shares of common stock to the extent that the purchase of common stock would cause a beneficial ownership of such purchaser, together with its affiliates and certain related parties, to exceed 9.99% of our common stock. The Company received approximately $5.0 million in gross proceeds (excluding the proceeds, if any, from the exercise of the warrants) in the February 14, 2017 Public Offering.</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cash and investment resources of $4.3 million on hand at December 31, 2016 and have remaining availability of $17.4 million under the ATM.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above, Management has determined there is substantial doubt as to our ability to continue as a going concern. The report of our independent registered public accounting firm for the year ended December 31, 2016 includes an explanatory paragraph which expresses substantial doubt about our ability to continue as a going concern.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2011, we entered into a lease with Brandywine Operating Partnership, L.P. (Brandywine), a Delaware limited partnership for a 10,870 square foot premises located in Lawrenceville, New Jersey. In October 2011, we relocated our offices to Lawrenceville, New Jersey from Columbia, Maryland. The lease has a remaining term of 4 months. As required by the lease, we provided Brandywine with an irrevocable and unconditional standby letter of credit for $250,000, which we secured with an escrow deposit at our banking institution of this same amount. The lease stipulated standby letter of credit will be reduced by $50,000 on each of the 19th, 31st and 43rd months from the initial term, with the remaining $100,000 amount remaining until the term of the lease has expired. In connection with three $50,000 reductions of the standby letter of credit in April 2013, 2014 and 2015, we reduced the escrow deposit by $50,000 each time. In late 2015, Lenox Drive Office Park LLC, purchased the real estate and office building and assumed the lease. The Company is currently in negotiations with the landlord to extend the lease term and to reduce the square footage by approximately 30%.</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substantially all of the assets of EGEN, Inc., an Alabama corporation, in June 2014, we assumed the existing lease with another landlord for an 11,500 square foot premises located in Huntsville Alabama. This lease has a remaining term of 13 months with monthly rent payments of approximately $23,200.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the future minimum payments required under leases that have initial or remaining lease terms of one year or more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Operating</w:t>
            </w:r>
          </w:p>
        </w:tc>
      </w:tr>
      <w:tr>
        <w:trPr>
          <w:trHeight w:val="234"/>
        </w:trPr>
        <w:tc>
          <w:tcPr>
            <w:tcW w:w="922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Leases</w:t>
            </w:r>
          </w:p>
        </w:tc>
      </w:tr>
      <w:tr>
        <w:trPr>
          <w:trHeight w:val="210"/>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378,042</w:t>
            </w:r>
          </w:p>
        </w:tc>
        <w:tc>
          <w:tcPr>
            <w:tcW w:w="10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23,200</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2019 and beyond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9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401,242</w:t>
            </w:r>
          </w:p>
        </w:tc>
        <w:tc>
          <w:tcPr>
            <w:tcW w:w="100" w:type="dxa"/>
            <w:vAlign w:val="bottom"/>
            <w:tcBorders>
              <w:top w:val="single" w:sz="8" w:color="CCEEFF"/>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schedule of future principle payments and end of term fee net of debt discount due on the Hercules Credit Agreement:</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ending December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7768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2018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77685"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01"/>
        <w:spacing w:after="0"/>
        <w:rPr>
          <w:sz w:val="20"/>
          <w:szCs w:val="20"/>
          <w:color w:val="auto"/>
        </w:rPr>
      </w:pPr>
      <w:r>
        <w:rPr>
          <w:rFonts w:ascii="Arial" w:cs="Arial" w:eastAsia="Arial" w:hAnsi="Arial"/>
          <w:sz w:val="18"/>
          <w:szCs w:val="18"/>
          <w:b w:val="1"/>
          <w:bCs w:val="1"/>
          <w:color w:val="auto"/>
        </w:rPr>
        <w:t>Principle</w:t>
      </w:r>
    </w:p>
    <w:p>
      <w:pPr>
        <w:spacing w:after="0" w:line="27" w:lineRule="exact"/>
        <w:rPr>
          <w:sz w:val="20"/>
          <w:szCs w:val="20"/>
          <w:color w:val="auto"/>
        </w:rPr>
      </w:pPr>
    </w:p>
    <w:p>
      <w:pPr>
        <w:ind w:left="381"/>
        <w:spacing w:after="0"/>
        <w:rPr>
          <w:sz w:val="20"/>
          <w:szCs w:val="20"/>
          <w:color w:val="auto"/>
        </w:rPr>
      </w:pPr>
      <w:r>
        <w:rPr>
          <w:rFonts w:ascii="Arial" w:cs="Arial" w:eastAsia="Arial" w:hAnsi="Arial"/>
          <w:sz w:val="18"/>
          <w:szCs w:val="18"/>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0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4" w:lineRule="exact"/>
        <w:rPr>
          <w:sz w:val="20"/>
          <w:szCs w:val="20"/>
          <w:color w:val="auto"/>
        </w:rPr>
      </w:pPr>
    </w:p>
    <w:p>
      <w:pPr>
        <w:ind w:left="801" w:hanging="801"/>
        <w:spacing w:after="0"/>
        <w:tabs>
          <w:tab w:leader="none" w:pos="8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2,560,553</w:t>
      </w:r>
    </w:p>
    <w:p>
      <w:pPr>
        <w:spacing w:after="0" w:line="46" w:lineRule="exact"/>
        <w:rPr>
          <w:rFonts w:ascii="Arial" w:cs="Arial" w:eastAsia="Arial" w:hAnsi="Arial"/>
          <w:sz w:val="16"/>
          <w:szCs w:val="16"/>
          <w:color w:val="auto"/>
        </w:rPr>
      </w:pPr>
    </w:p>
    <w:p>
      <w:pPr>
        <w:ind w:left="1421"/>
        <w:spacing w:after="0"/>
        <w:rPr>
          <w:rFonts w:ascii="Arial" w:cs="Arial" w:eastAsia="Arial" w:hAnsi="Arial"/>
          <w:sz w:val="16"/>
          <w:szCs w:val="16"/>
          <w:color w:val="auto"/>
        </w:rPr>
      </w:pPr>
      <w:r>
        <w:rPr>
          <w:rFonts w:ascii="Arial" w:cs="Arial" w:eastAsia="Arial" w:hAnsi="Arial"/>
          <w:sz w:val="17"/>
          <w:szCs w:val="17"/>
          <w:color w:val="auto"/>
        </w:rPr>
        <w:t>–</w:t>
      </w:r>
    </w:p>
    <w:p>
      <w:pPr>
        <w:spacing w:after="0" w:line="21" w:lineRule="exact"/>
        <w:rPr>
          <w:sz w:val="20"/>
          <w:szCs w:val="20"/>
          <w:color w:val="auto"/>
        </w:rPr>
      </w:pPr>
    </w:p>
    <w:p>
      <w:pPr>
        <w:ind w:left="801" w:hanging="801"/>
        <w:spacing w:after="0"/>
        <w:tabs>
          <w:tab w:leader="none" w:pos="8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2,560,553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9607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555" w:lineRule="exact"/>
        <w:rPr>
          <w:sz w:val="20"/>
          <w:szCs w:val="20"/>
          <w:color w:val="auto"/>
        </w:rPr>
      </w:pPr>
    </w:p>
    <w:p>
      <w:pPr>
        <w:sectPr>
          <w:pgSz w:w="11900" w:h="16838" w:orient="portrait"/>
          <w:cols w:equalWidth="0" w:num="2">
            <w:col w:w="8499" w:space="720"/>
            <w:col w:w="2201"/>
          </w:cols>
          <w:pgMar w:left="240" w:top="580" w:right="239" w:bottom="1440" w:gutter="0" w:footer="0" w:header="0"/>
          <w:type w:val="continuous"/>
        </w:sectPr>
      </w:pP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objective of our cash investment activities is to preserve principal while at the same time maximizing the income we receive from our investments without significantly increasing risk. Some of the securities that we invest in may be subject to market risk. This means that a change in prevailing interest rates may cause the principal amount of the investment to fluctuate. For example, if we hold a security that was issued with a fixed interest rate at the then-prevailing rate and the interest rate later rises, the principal amount of our investment will probably decline. A hypothetical 50 basis point increase in interest rates reduces the fair value of our available-for-sale securities at December 31, 2016 by an immaterial amount. To minimize this risk in the future, we intend to maintain our portfolio of cash equivalents and marketable securities in a variety of securities, including commercial paper, government and non-government debt securities and/or money market funds that invest in such securities. We have no holdings of derivative financial or commodity instruments. As of December 31, 2016, our investments consisted of investments in corporate notes and obligations or in money market accounts and checking funds with variable market rates of interest. We believe our credit risk is immaterial.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51" w:name="page52"/>
    <w:bookmarkEnd w:id="51"/>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financial statements, supplementary data and report of independent registered public accounting firm are filed as part of this report on pages F-1 through F-32 and incorporated herein by reference.</w:t>
      </w:r>
    </w:p>
    <w:p>
      <w:pPr>
        <w:spacing w:after="0" w:line="166"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700" w:hanging="69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conducted an evaluation of the effectiveness of the design and operation of our disclosure controls and procedures (as such term is defined in Rules 13a-15(e) and 15d-15(e) under the Securities Exchange Act of 1934, as amended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2016, which is the end of the period covered by this Annual Report on Form 10-K, our disclosure controls and procedures are effective.</w:t>
      </w:r>
    </w:p>
    <w:p>
      <w:pPr>
        <w:spacing w:after="0" w:line="188" w:lineRule="exact"/>
        <w:rPr>
          <w:sz w:val="20"/>
          <w:szCs w:val="20"/>
          <w:color w:val="auto"/>
        </w:rPr>
      </w:pPr>
    </w:p>
    <w:p>
      <w:pPr>
        <w:ind w:left="720" w:hanging="71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2016. In making this assessment, management used the criteria set forth by the Committee of Sponsoring Organizations of the Treadway Commission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its evaluation, management has concluded that the Company’s internal control over financial reporting is effective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Regulation S-K Item 308(b), this Annual Report on Form 10-K does not include an attestation report of our company’s registered public accounting firm regarding internal control over financial reporting.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8" w:lineRule="exact"/>
        <w:rPr>
          <w:sz w:val="20"/>
          <w:szCs w:val="20"/>
          <w:color w:val="auto"/>
        </w:rPr>
      </w:pPr>
    </w:p>
    <w:p>
      <w:pPr>
        <w:ind w:left="700" w:hanging="69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in the fiscal quarter ended December 31, 2016, which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20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10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11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35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12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13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information required by this Item 14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3" w:name="page54"/>
    <w:bookmarkEnd w:id="53"/>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list of the consolidated financial statements of Celsion Corporation filed with this Annual Report on Form 10-K, together with the reports of our independent registered public accountants and Management’s Report on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760" w:type="dxa"/>
            <w:vAlign w:val="bottom"/>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F-1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Comprehensive Loss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2. FINANCIAL STATEMENT SCHEDULES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 financial statement schedules are omitted because the information is inapplicable or presented in the 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21"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29" w:lineRule="exact"/>
        <w:rPr>
          <w:sz w:val="20"/>
          <w:szCs w:val="20"/>
          <w:color w:val="auto"/>
        </w:rPr>
      </w:pPr>
    </w:p>
    <w:p>
      <w:pPr>
        <w:ind w:left="1160" w:hanging="730"/>
        <w:spacing w:after="0" w:line="277" w:lineRule="auto"/>
        <w:tabs>
          <w:tab w:leader="none" w:pos="1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Asset Purchase Agreement dated as of June 6, 2014, by and between Celsion Corporation and EGEN, Inc., incorporated herein by reference to Exhibit 2.1 to the Quarterly Report on Form 10-Q of the Company for the quarter ended June 30, 2014.</w:t>
      </w:r>
    </w:p>
    <w:p>
      <w:pPr>
        <w:spacing w:after="0" w:line="170" w:lineRule="exact"/>
        <w:rPr>
          <w:sz w:val="20"/>
          <w:szCs w:val="20"/>
          <w:color w:val="auto"/>
        </w:rPr>
      </w:pPr>
    </w:p>
    <w:p>
      <w:pPr>
        <w:jc w:val="both"/>
        <w:ind w:left="1160" w:right="20" w:hanging="685"/>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of Celsion, as amended, incorporated herein by reference to Exhibit 3.1 to the Quarterly Report on Form 10-Q of the Company for the quarter ended June 30, 2004.</w:t>
      </w:r>
    </w:p>
    <w:p>
      <w:pPr>
        <w:spacing w:after="0" w:line="170" w:lineRule="exact"/>
        <w:rPr>
          <w:sz w:val="20"/>
          <w:szCs w:val="20"/>
          <w:color w:val="auto"/>
        </w:rPr>
      </w:pPr>
    </w:p>
    <w:p>
      <w:pPr>
        <w:jc w:val="both"/>
        <w:ind w:left="1160" w:hanging="685"/>
        <w:spacing w:after="0" w:line="264" w:lineRule="auto"/>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Ownership and Merger of Celsion Corporation (a Maryland Corporation) into Celsion (Delaware) Corporation (inter alia, changing the Company’s name to “Celsion Corporation” from “Celsion (Delaware) Corporation”), incorporated herein by reference to Exhibit 3.1.3 to the Annual Report on Form 10-K of the Company for the year ended September 30, 2000.</w:t>
      </w:r>
    </w:p>
    <w:p>
      <w:pPr>
        <w:spacing w:after="0" w:line="181" w:lineRule="exact"/>
        <w:rPr>
          <w:sz w:val="20"/>
          <w:szCs w:val="20"/>
          <w:color w:val="auto"/>
        </w:rPr>
      </w:pPr>
    </w:p>
    <w:p>
      <w:pPr>
        <w:jc w:val="both"/>
        <w:ind w:left="1160" w:hanging="685"/>
        <w:spacing w:after="0" w:line="277" w:lineRule="auto"/>
        <w:tabs>
          <w:tab w:leader="none" w:pos="1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Amendment of the Certificate of Incorporation effective and filed on February 27, 2006, incorporated therein by reference to Exhibit 3.1 to the Current Report on Form 8-K of the Company filed on March 1, 2006.</w:t>
      </w:r>
    </w:p>
    <w:p>
      <w:pPr>
        <w:spacing w:after="0" w:line="170" w:lineRule="exact"/>
        <w:rPr>
          <w:sz w:val="20"/>
          <w:szCs w:val="20"/>
          <w:color w:val="auto"/>
        </w:rPr>
      </w:pPr>
    </w:p>
    <w:p>
      <w:pPr>
        <w:jc w:val="both"/>
        <w:ind w:left="1160" w:right="20" w:hanging="685"/>
        <w:spacing w:after="0" w:line="277" w:lineRule="auto"/>
        <w:tabs>
          <w:tab w:leader="none" w:pos="11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Certificate of Amendment to Certificate of Incorporation effective October 28, 2013, incorporated herein by reference to Exhibit 3.1 to the Current Report on Form 8-K of the Company filed on October 29, 2013.</w:t>
      </w:r>
    </w:p>
    <w:p>
      <w:pPr>
        <w:spacing w:after="0" w:line="170" w:lineRule="exact"/>
        <w:rPr>
          <w:sz w:val="20"/>
          <w:szCs w:val="20"/>
          <w:color w:val="auto"/>
        </w:rPr>
      </w:pPr>
    </w:p>
    <w:p>
      <w:pPr>
        <w:ind w:left="1160" w:right="540" w:hanging="685"/>
        <w:spacing w:after="0" w:line="277" w:lineRule="auto"/>
        <w:tabs>
          <w:tab w:leader="none" w:pos="11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Certificate of Amendment to Certificate of Incorporation effective June 15, 2016, incorporated herein by reference to Exhibit 3.1 to the Current Report on Form 8-K of the Company, filed on June 15, 2016.</w:t>
      </w:r>
    </w:p>
    <w:p>
      <w:pPr>
        <w:spacing w:after="0" w:line="170" w:lineRule="exact"/>
        <w:rPr>
          <w:sz w:val="20"/>
          <w:szCs w:val="20"/>
          <w:color w:val="auto"/>
        </w:rPr>
      </w:pPr>
    </w:p>
    <w:p>
      <w:pPr>
        <w:ind w:left="1160" w:right="20" w:hanging="685"/>
        <w:spacing w:after="0" w:line="277" w:lineRule="auto"/>
        <w:tabs>
          <w:tab w:leader="none" w:pos="11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Amended and Restated By-laws dated November 27, 2011, incorporated herein by reference to Exhibit 3.1 to the Current Report on Form 8-K of the Company, filed on December 1, 2011.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4" w:name="page55"/>
    <w:bookmarkEnd w:id="54"/>
    <w:p>
      <w:pPr>
        <w:ind w:left="740" w:right="200" w:hanging="685"/>
        <w:spacing w:after="0" w:line="277" w:lineRule="auto"/>
        <w:tabs>
          <w:tab w:leader="none" w:pos="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Common Stock Certificate, par value $0.01, incorporated herein by reference to Exhibit 4.1 to the Annual Report on Form 10-K of the Company for the year ended September 30, 2000.</w:t>
      </w:r>
    </w:p>
    <w:p>
      <w:pPr>
        <w:spacing w:after="0" w:line="170" w:lineRule="exact"/>
        <w:rPr>
          <w:sz w:val="20"/>
          <w:szCs w:val="20"/>
          <w:color w:val="auto"/>
        </w:rPr>
      </w:pPr>
    </w:p>
    <w:p>
      <w:pPr>
        <w:ind w:left="740" w:hanging="663"/>
        <w:spacing w:after="0" w:line="277" w:lineRule="auto"/>
        <w:tabs>
          <w:tab w:leader="none" w:pos="7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Registration Rights Agreement, dated June 17, 2010, by and between Celsion Corporation and Small Cap Biotech Value, Ltd., incorporated herein by reference to Exhibit 4.1 to the Current Report on Form 8-K of the Company filed on June 18, 2010.</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Common Stock Warrant, incorporated herein by reference to Exhibit 4.2 to the Current Report on Form 8-K of the Company filed on January 18,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Common Stock Warrant incorporated herein by reference to Exhibit 4.1 to the Current Report on Form 8-K of the Company filed on June 2,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Registration Rights Agreement, dated May 26, 2011, by and among Celsion Corporation and the purchasers named therein, incorporated herein by reference to Exhibit 10.2 to the Current Report on Form 8-K of the Company filed on June 2,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Common Stock Purchase Warrant, incorporated herein by reference to Exhibit 4.1 to the Current Report on Form 8-K of the Company filed on July 6, 2011.</w:t>
      </w:r>
    </w:p>
    <w:p>
      <w:pPr>
        <w:spacing w:after="0" w:line="170" w:lineRule="exact"/>
        <w:rPr>
          <w:sz w:val="20"/>
          <w:szCs w:val="20"/>
          <w:color w:val="auto"/>
        </w:rPr>
      </w:pPr>
    </w:p>
    <w:p>
      <w:pPr>
        <w:ind w:left="740" w:right="20" w:hanging="685"/>
        <w:spacing w:after="0" w:line="277" w:lineRule="auto"/>
        <w:tabs>
          <w:tab w:leader="none" w:pos="7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Registration Rights Agreement, dated July 25, 2011, by and between Celsion Corporation and the purchasers named therein, incorporated herein by reference to Exhibit 10.3 to the Current Report on Form 8-K of the Company filed on July 26,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Form of Common Stock Purchase Warrant, incorporated herein by reference to Exhibit 4.1 to the Current Report on Form 8-K of the Company filed on July 26, 2011.</w:t>
      </w:r>
    </w:p>
    <w:p>
      <w:pPr>
        <w:spacing w:after="0" w:line="170"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Form of Warrant to Purchase Common Stock, incorporated herein by reference to Exhibit 4.2 to the Current Report on Form 8-K of the Company filed on July 26, 2011.</w:t>
      </w:r>
    </w:p>
    <w:p>
      <w:pPr>
        <w:spacing w:after="0" w:line="170" w:lineRule="exact"/>
        <w:rPr>
          <w:sz w:val="20"/>
          <w:szCs w:val="20"/>
          <w:color w:val="auto"/>
        </w:rPr>
      </w:pPr>
    </w:p>
    <w:p>
      <w:pPr>
        <w:jc w:val="both"/>
        <w:ind w:left="740" w:right="20" w:hanging="727"/>
        <w:spacing w:after="0" w:line="277" w:lineRule="auto"/>
        <w:tabs>
          <w:tab w:leader="none" w:pos="7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Form Warrant to Purchase Common Stock Purchase, incorporated herein by reference to Exhibit 4.1 to the Current Report on Form 8-K filed on December 6, 2011.</w:t>
      </w:r>
    </w:p>
    <w:p>
      <w:pPr>
        <w:spacing w:after="0" w:line="170" w:lineRule="exact"/>
        <w:rPr>
          <w:sz w:val="20"/>
          <w:szCs w:val="20"/>
          <w:color w:val="auto"/>
        </w:rPr>
      </w:pPr>
    </w:p>
    <w:p>
      <w:pPr>
        <w:jc w:val="both"/>
        <w:ind w:left="740" w:hanging="730"/>
        <w:spacing w:after="0" w:line="308" w:lineRule="auto"/>
        <w:tabs>
          <w:tab w:leader="none" w:pos="7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Registration Rights Agreement, dated December 1, 2011, by and between Celsion Corporation and the purchasers named therein, incorporated herein by reference to Exhibit 10.2 to the Current Report on Form 8-K of the Company filed on December 6, 2011.</w:t>
      </w:r>
    </w:p>
    <w:p>
      <w:pPr>
        <w:spacing w:after="0" w:line="147"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Warrant to Purchase Stock, dated June 27, 2012, by and between Celsion Corporation and Oxford Financing LLC, incorporated herein by reference to Exhibit 4.1 to the Quarterly Report on Form 10-Q of the Company for the quarter ended June 30, 2012.</w:t>
      </w:r>
    </w:p>
    <w:p>
      <w:pPr>
        <w:spacing w:after="0" w:line="170" w:lineRule="exact"/>
        <w:rPr>
          <w:sz w:val="20"/>
          <w:szCs w:val="20"/>
          <w:color w:val="auto"/>
        </w:rPr>
      </w:pPr>
    </w:p>
    <w:p>
      <w:pPr>
        <w:jc w:val="both"/>
        <w:ind w:left="740" w:right="20" w:hanging="730"/>
        <w:spacing w:after="0" w:line="342" w:lineRule="auto"/>
        <w:tabs>
          <w:tab w:leader="none" w:pos="7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Warrant to Purchase Stock, dated June 27, 2012, by and between Celsion Corporation and Horizon Technology Finance Corporation, incorporated herein by reference to Exhibit 4.2 to the Quarterly Report on Form 10-Q of the Company for the quarter ended June 30, 2012.</w:t>
      </w:r>
    </w:p>
    <w:p>
      <w:pPr>
        <w:spacing w:after="0" w:line="124"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Form of Common Stock Purchase Warrant, incorporated herein by reference to Exhibit 4.1 to the Current Report on Form 8-K of the Company filed on February 26, 2013.</w:t>
      </w:r>
    </w:p>
    <w:p>
      <w:pPr>
        <w:spacing w:after="0" w:line="170"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Form of Series A Common Stock Purchase Warrant, incorporated herein by reference to Exhibit 4.1 to the Current Report on Form 8-K of the Company filed on January 21, 2014.</w:t>
      </w:r>
    </w:p>
    <w:p>
      <w:pPr>
        <w:spacing w:after="0" w:line="170"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Form of Series B Common Stock Purchase Warrant, incorporated herein by reference to Exhibit 4.2 to the Current Report on Form 8-K of the Company filed on January 21, 2014.</w:t>
      </w:r>
    </w:p>
    <w:p>
      <w:pPr>
        <w:spacing w:after="0" w:line="170" w:lineRule="exact"/>
        <w:rPr>
          <w:sz w:val="20"/>
          <w:szCs w:val="20"/>
          <w:color w:val="auto"/>
        </w:rPr>
      </w:pPr>
    </w:p>
    <w:p>
      <w:pPr>
        <w:jc w:val="both"/>
        <w:ind w:left="740" w:hanging="730"/>
        <w:spacing w:after="0" w:line="264" w:lineRule="auto"/>
        <w:tabs>
          <w:tab w:leader="none" w:pos="7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Warrant Agreement to Purchase Shares of the Common Stock dated as of November 25, 2013, by and between Celsion Corporation and Hercules Technology Growth Capital, Inc., incorporated herein by reference to Exhibit 4.2 to the Registration Statement on Form S-3 (File No.: 333-193936) filed on February 13, 2014.</w:t>
      </w:r>
    </w:p>
    <w:p>
      <w:pPr>
        <w:spacing w:after="0" w:line="200" w:lineRule="exact"/>
        <w:rPr>
          <w:sz w:val="20"/>
          <w:szCs w:val="20"/>
          <w:color w:val="auto"/>
        </w:rPr>
      </w:pPr>
    </w:p>
    <w:p>
      <w:pPr>
        <w:spacing w:after="0" w:line="27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660" w:top="800"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1020" w:type="dxa"/>
            <w:vAlign w:val="bottom"/>
          </w:tcPr>
          <w:p>
            <w:pPr>
              <w:jc w:val="right"/>
              <w:ind w:right="170"/>
              <w:spacing w:after="0"/>
              <w:rPr>
                <w:sz w:val="20"/>
                <w:szCs w:val="20"/>
                <w:color w:val="auto"/>
              </w:rPr>
            </w:pPr>
            <w:r>
              <w:rPr>
                <w:rFonts w:ascii="Arial" w:cs="Arial" w:eastAsia="Arial" w:hAnsi="Arial"/>
                <w:sz w:val="18"/>
                <w:szCs w:val="18"/>
                <w:color w:val="auto"/>
              </w:rPr>
              <w:t>4.19</w:t>
            </w:r>
          </w:p>
        </w:tc>
        <w:tc>
          <w:tcPr>
            <w:tcW w:w="10440" w:type="dxa"/>
            <w:vAlign w:val="bottom"/>
          </w:tcPr>
          <w:p>
            <w:pPr>
              <w:ind w:left="140"/>
              <w:spacing w:after="0"/>
              <w:rPr>
                <w:sz w:val="20"/>
                <w:szCs w:val="20"/>
                <w:color w:val="auto"/>
              </w:rPr>
            </w:pPr>
            <w:r>
              <w:rPr>
                <w:rFonts w:ascii="Arial" w:cs="Arial" w:eastAsia="Arial" w:hAnsi="Arial"/>
                <w:sz w:val="18"/>
                <w:szCs w:val="18"/>
                <w:color w:val="auto"/>
                <w:w w:val="91"/>
              </w:rPr>
              <w:t>Registration Agreement dated as of November 25, 2013, by and between Celsion Corporation and Hercules Technology Growth Capital, Inc.,</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w w:val="91"/>
              </w:rPr>
              <w:t>incorporated herein by reference to Exhibit 4.3 to the Registration Statement on Form S-3 (File No.: 333-193936) filed on February 13, 2014.</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4.20</w:t>
            </w:r>
          </w:p>
        </w:tc>
        <w:tc>
          <w:tcPr>
            <w:tcW w:w="10440" w:type="dxa"/>
            <w:vAlign w:val="bottom"/>
          </w:tcPr>
          <w:p>
            <w:pPr>
              <w:ind w:left="140"/>
              <w:spacing w:after="0"/>
              <w:rPr>
                <w:sz w:val="20"/>
                <w:szCs w:val="20"/>
                <w:color w:val="auto"/>
              </w:rPr>
            </w:pPr>
            <w:r>
              <w:rPr>
                <w:rFonts w:ascii="Arial" w:cs="Arial" w:eastAsia="Arial" w:hAnsi="Arial"/>
                <w:sz w:val="18"/>
                <w:szCs w:val="18"/>
                <w:color w:val="auto"/>
                <w:w w:val="96"/>
              </w:rPr>
              <w:t>Registration Rights Agreement dated as of June 20, 2014, by and between Celsion Corporation and Egen, Inc., incorporated herein by</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reference to Exhibit 4.1 to the Quarterly Report on Form 10-Q of the Company for the quarter ended June 30, 2014.</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4.21</w:t>
            </w:r>
          </w:p>
        </w:tc>
        <w:tc>
          <w:tcPr>
            <w:tcW w:w="10440" w:type="dxa"/>
            <w:vAlign w:val="bottom"/>
          </w:tcPr>
          <w:p>
            <w:pPr>
              <w:ind w:left="140"/>
              <w:spacing w:after="0"/>
              <w:rPr>
                <w:sz w:val="20"/>
                <w:szCs w:val="20"/>
                <w:color w:val="auto"/>
              </w:rPr>
            </w:pPr>
            <w:r>
              <w:rPr>
                <w:rFonts w:ascii="Arial" w:cs="Arial" w:eastAsia="Arial" w:hAnsi="Arial"/>
                <w:sz w:val="18"/>
                <w:szCs w:val="18"/>
                <w:color w:val="auto"/>
                <w:w w:val="98"/>
              </w:rPr>
              <w:t>Form of Common Stock Purchase Warrant, incorporated herein by reference to Exhibit 4.1 to the Current Report on Form 8-K of the</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Company filed on May 29, 2015.</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4.22</w:t>
            </w:r>
          </w:p>
        </w:tc>
        <w:tc>
          <w:tcPr>
            <w:tcW w:w="10440" w:type="dxa"/>
            <w:vAlign w:val="bottom"/>
          </w:tcPr>
          <w:p>
            <w:pPr>
              <w:ind w:left="140"/>
              <w:spacing w:after="0"/>
              <w:rPr>
                <w:sz w:val="20"/>
                <w:szCs w:val="20"/>
                <w:color w:val="auto"/>
              </w:rPr>
            </w:pPr>
            <w:r>
              <w:rPr>
                <w:rFonts w:ascii="Arial" w:cs="Arial" w:eastAsia="Arial" w:hAnsi="Arial"/>
                <w:sz w:val="18"/>
                <w:szCs w:val="18"/>
                <w:color w:val="auto"/>
                <w:w w:val="93"/>
              </w:rPr>
              <w:t>Form of Series A Warrant, incorporated by reference to Exhibit 4.1 to the Current report on Form 8-K of the Company filed with the SEC on</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June 17, 2016.</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4.23</w:t>
            </w:r>
          </w:p>
        </w:tc>
        <w:tc>
          <w:tcPr>
            <w:tcW w:w="10440" w:type="dxa"/>
            <w:vAlign w:val="bottom"/>
          </w:tcPr>
          <w:p>
            <w:pPr>
              <w:ind w:left="140"/>
              <w:spacing w:after="0"/>
              <w:rPr>
                <w:sz w:val="20"/>
                <w:szCs w:val="20"/>
                <w:color w:val="auto"/>
              </w:rPr>
            </w:pPr>
            <w:r>
              <w:rPr>
                <w:rFonts w:ascii="Arial" w:cs="Arial" w:eastAsia="Arial" w:hAnsi="Arial"/>
                <w:sz w:val="18"/>
                <w:szCs w:val="18"/>
                <w:color w:val="auto"/>
                <w:w w:val="93"/>
              </w:rPr>
              <w:t>Form of Series B Warrant, incorporated by reference to Exhibit 4.2 to the Current report on Form 8-K of the Company filed with the SEC on</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June 17, 2016.</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4.24</w:t>
            </w:r>
          </w:p>
        </w:tc>
        <w:tc>
          <w:tcPr>
            <w:tcW w:w="10440" w:type="dxa"/>
            <w:vAlign w:val="bottom"/>
          </w:tcPr>
          <w:p>
            <w:pPr>
              <w:ind w:left="140"/>
              <w:spacing w:after="0"/>
              <w:rPr>
                <w:sz w:val="20"/>
                <w:szCs w:val="20"/>
                <w:color w:val="auto"/>
              </w:rPr>
            </w:pPr>
            <w:r>
              <w:rPr>
                <w:rFonts w:ascii="Arial" w:cs="Arial" w:eastAsia="Arial" w:hAnsi="Arial"/>
                <w:sz w:val="18"/>
                <w:szCs w:val="18"/>
                <w:color w:val="auto"/>
                <w:w w:val="92"/>
              </w:rPr>
              <w:t>Form of Series C Warrant, incorporated by reference to Exhibit 4.3 to the Current report on Form 8-K of the Company filed with the SEC on</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June 17, 2016.</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4.25</w:t>
            </w:r>
          </w:p>
        </w:tc>
        <w:tc>
          <w:tcPr>
            <w:tcW w:w="10440" w:type="dxa"/>
            <w:vAlign w:val="bottom"/>
          </w:tcPr>
          <w:p>
            <w:pPr>
              <w:ind w:left="140"/>
              <w:spacing w:after="0"/>
              <w:rPr>
                <w:sz w:val="20"/>
                <w:szCs w:val="20"/>
                <w:color w:val="auto"/>
              </w:rPr>
            </w:pPr>
            <w:r>
              <w:rPr>
                <w:rFonts w:ascii="Arial" w:cs="Arial" w:eastAsia="Arial" w:hAnsi="Arial"/>
                <w:sz w:val="18"/>
                <w:szCs w:val="18"/>
                <w:color w:val="auto"/>
                <w:w w:val="92"/>
              </w:rPr>
              <w:t>Form of Series D Warrant, incorporated by reference to Exhibit 4.4 to the Current report on Form 8-K of the Company filed with the SEC on</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June 17, 2016.</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rPr>
              <w:t>10.1***</w:t>
            </w:r>
          </w:p>
        </w:tc>
        <w:tc>
          <w:tcPr>
            <w:tcW w:w="10440" w:type="dxa"/>
            <w:vAlign w:val="bottom"/>
          </w:tcPr>
          <w:p>
            <w:pPr>
              <w:ind w:left="140"/>
              <w:spacing w:after="0"/>
              <w:rPr>
                <w:sz w:val="20"/>
                <w:szCs w:val="20"/>
                <w:color w:val="auto"/>
              </w:rPr>
            </w:pPr>
            <w:r>
              <w:rPr>
                <w:rFonts w:ascii="Arial" w:cs="Arial" w:eastAsia="Arial" w:hAnsi="Arial"/>
                <w:sz w:val="18"/>
                <w:szCs w:val="18"/>
                <w:color w:val="auto"/>
                <w:w w:val="92"/>
              </w:rPr>
              <w:t>Celsion Corporation 2004 Stock Incentive Plan, incorporated herein by reference to Exhibit 10.1 to the Quarterly Report on Form 10-Q of the</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Company for the quarter ended June 30, 2004.</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rPr>
              <w:t>10.2***</w:t>
            </w:r>
          </w:p>
        </w:tc>
        <w:tc>
          <w:tcPr>
            <w:tcW w:w="10440" w:type="dxa"/>
            <w:vAlign w:val="bottom"/>
          </w:tcPr>
          <w:p>
            <w:pPr>
              <w:ind w:left="140"/>
              <w:spacing w:after="0"/>
              <w:rPr>
                <w:sz w:val="20"/>
                <w:szCs w:val="20"/>
                <w:color w:val="auto"/>
              </w:rPr>
            </w:pPr>
            <w:r>
              <w:rPr>
                <w:rFonts w:ascii="Arial" w:cs="Arial" w:eastAsia="Arial" w:hAnsi="Arial"/>
                <w:sz w:val="18"/>
                <w:szCs w:val="18"/>
                <w:color w:val="auto"/>
                <w:w w:val="92"/>
              </w:rPr>
              <w:t>Celsion Corporation 2007 Stock Incentive Plan, as amended, incorporated herein by reference to Exhibit 10.1 to the Current Report on Form</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8-K of the Company filed on June 19, 2015.</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rPr>
              <w:t>10.3***</w:t>
            </w:r>
          </w:p>
        </w:tc>
        <w:tc>
          <w:tcPr>
            <w:tcW w:w="10440" w:type="dxa"/>
            <w:vAlign w:val="bottom"/>
          </w:tcPr>
          <w:p>
            <w:pPr>
              <w:ind w:left="140"/>
              <w:spacing w:after="0"/>
              <w:rPr>
                <w:sz w:val="20"/>
                <w:szCs w:val="20"/>
                <w:color w:val="auto"/>
              </w:rPr>
            </w:pPr>
            <w:r>
              <w:rPr>
                <w:rFonts w:ascii="Arial" w:cs="Arial" w:eastAsia="Arial" w:hAnsi="Arial"/>
                <w:sz w:val="18"/>
                <w:szCs w:val="18"/>
                <w:color w:val="auto"/>
                <w:w w:val="93"/>
              </w:rPr>
              <w:t>Form of Restricted Stock Agreement for Celsion Corporation 2004 Stock Incentive Plan, incorporated herein by reference to Exhibit 10.1 to</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the Quarterly Report on Form 10-Q of the Company for the quarter ended September 30, 2006.</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rPr>
              <w:t>10.4***</w:t>
            </w:r>
          </w:p>
        </w:tc>
        <w:tc>
          <w:tcPr>
            <w:tcW w:w="10440" w:type="dxa"/>
            <w:vAlign w:val="bottom"/>
          </w:tcPr>
          <w:p>
            <w:pPr>
              <w:ind w:left="140"/>
              <w:spacing w:after="0"/>
              <w:rPr>
                <w:sz w:val="20"/>
                <w:szCs w:val="20"/>
                <w:color w:val="auto"/>
              </w:rPr>
            </w:pPr>
            <w:r>
              <w:rPr>
                <w:rFonts w:ascii="Arial" w:cs="Arial" w:eastAsia="Arial" w:hAnsi="Arial"/>
                <w:sz w:val="18"/>
                <w:szCs w:val="18"/>
                <w:color w:val="auto"/>
                <w:w w:val="92"/>
              </w:rPr>
              <w:t>Form of Stock Option Grant Agreement for Celsion Corporation 2004 Stock Incentive Plan, incorporated herein by reference to Exhibit 10.2</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to the Quarterly Report on Form 10-Q of the Company for the quarter ended September 30, 2006.</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rPr>
              <w:t>10.5***</w:t>
            </w:r>
          </w:p>
        </w:tc>
        <w:tc>
          <w:tcPr>
            <w:tcW w:w="10440" w:type="dxa"/>
            <w:vAlign w:val="bottom"/>
          </w:tcPr>
          <w:p>
            <w:pPr>
              <w:ind w:left="140"/>
              <w:spacing w:after="0"/>
              <w:rPr>
                <w:sz w:val="20"/>
                <w:szCs w:val="20"/>
                <w:color w:val="auto"/>
              </w:rPr>
            </w:pPr>
            <w:r>
              <w:rPr>
                <w:rFonts w:ascii="Arial" w:cs="Arial" w:eastAsia="Arial" w:hAnsi="Arial"/>
                <w:sz w:val="18"/>
                <w:szCs w:val="18"/>
                <w:color w:val="auto"/>
                <w:w w:val="91"/>
              </w:rPr>
              <w:t>Form of Restricted Stock Agreement for Celsion Corporation 2007 Stock Incentive Plan, incorporated herein by reference to Exhibit 10.1.5 to</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the Annual Report on Form 10-K of the Company for the year ended December 31, 2007.</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rPr>
              <w:t>10.6***</w:t>
            </w:r>
          </w:p>
        </w:tc>
        <w:tc>
          <w:tcPr>
            <w:tcW w:w="10440" w:type="dxa"/>
            <w:vAlign w:val="bottom"/>
          </w:tcPr>
          <w:p>
            <w:pPr>
              <w:ind w:left="140"/>
              <w:spacing w:after="0"/>
              <w:rPr>
                <w:sz w:val="20"/>
                <w:szCs w:val="20"/>
                <w:color w:val="auto"/>
              </w:rPr>
            </w:pPr>
            <w:r>
              <w:rPr>
                <w:rFonts w:ascii="Arial" w:cs="Arial" w:eastAsia="Arial" w:hAnsi="Arial"/>
                <w:sz w:val="18"/>
                <w:szCs w:val="18"/>
                <w:color w:val="auto"/>
              </w:rPr>
              <w:t>Form of Stock Option Grant Agreement for Celsion Corporation 2007 Stock Incentive Plan, incorporated herein by reference to</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Exhibit 10.1.6 to the Annual Report on Form 10-K of the Company for the year ended December 31, 2007.</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rPr>
              <w:t>10.7***</w:t>
            </w:r>
          </w:p>
        </w:tc>
        <w:tc>
          <w:tcPr>
            <w:tcW w:w="10440" w:type="dxa"/>
            <w:vAlign w:val="bottom"/>
          </w:tcPr>
          <w:p>
            <w:pPr>
              <w:ind w:left="140"/>
              <w:spacing w:after="0"/>
              <w:rPr>
                <w:sz w:val="20"/>
                <w:szCs w:val="20"/>
                <w:color w:val="auto"/>
              </w:rPr>
            </w:pPr>
            <w:r>
              <w:rPr>
                <w:rFonts w:ascii="Arial" w:cs="Arial" w:eastAsia="Arial" w:hAnsi="Arial"/>
                <w:sz w:val="18"/>
                <w:szCs w:val="18"/>
                <w:color w:val="auto"/>
                <w:w w:val="91"/>
              </w:rPr>
              <w:t>Stock Option Agreement effective January 3, 2007, between Celsion Corporation and Michael H. Tardugno, incorporated herein by reference</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Exhibit 10.1 to the Current Report on Form 8-K of the Company filed on January 3, 2007.</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rPr>
              <w:t>10.8***</w:t>
            </w:r>
          </w:p>
        </w:tc>
        <w:tc>
          <w:tcPr>
            <w:tcW w:w="10440" w:type="dxa"/>
            <w:vAlign w:val="bottom"/>
          </w:tcPr>
          <w:p>
            <w:pPr>
              <w:ind w:left="140"/>
              <w:spacing w:after="0"/>
              <w:rPr>
                <w:sz w:val="20"/>
                <w:szCs w:val="20"/>
                <w:color w:val="auto"/>
              </w:rPr>
            </w:pPr>
            <w:r>
              <w:rPr>
                <w:rFonts w:ascii="Arial" w:cs="Arial" w:eastAsia="Arial" w:hAnsi="Arial"/>
                <w:sz w:val="18"/>
                <w:szCs w:val="18"/>
                <w:color w:val="auto"/>
                <w:w w:val="95"/>
              </w:rPr>
              <w:t>Amended and Restated Employment Agreement, effective March 30, 2016, between Celsion Corporation and Mr. Michael H. Tardugno,</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incorporated by reference to Exhibit 10.8 to the Annual Report on Form 10-K of the Company filed on March 30. 2016.</w:t>
            </w:r>
          </w:p>
        </w:tc>
      </w:tr>
      <w:tr>
        <w:trPr>
          <w:trHeight w:val="418"/>
        </w:trPr>
        <w:tc>
          <w:tcPr>
            <w:tcW w:w="1020" w:type="dxa"/>
            <w:vAlign w:val="bottom"/>
          </w:tcPr>
          <w:p>
            <w:pPr>
              <w:jc w:val="center"/>
              <w:ind w:left="50"/>
              <w:spacing w:after="0"/>
              <w:rPr>
                <w:sz w:val="20"/>
                <w:szCs w:val="20"/>
                <w:color w:val="auto"/>
              </w:rPr>
            </w:pPr>
            <w:r>
              <w:rPr>
                <w:rFonts w:ascii="Arial" w:cs="Arial" w:eastAsia="Arial" w:hAnsi="Arial"/>
                <w:sz w:val="18"/>
                <w:szCs w:val="18"/>
                <w:color w:val="auto"/>
              </w:rPr>
              <w:t>10.9***</w:t>
            </w:r>
          </w:p>
        </w:tc>
        <w:tc>
          <w:tcPr>
            <w:tcW w:w="10440" w:type="dxa"/>
            <w:vAlign w:val="bottom"/>
          </w:tcPr>
          <w:p>
            <w:pPr>
              <w:ind w:left="140"/>
              <w:spacing w:after="0"/>
              <w:rPr>
                <w:sz w:val="20"/>
                <w:szCs w:val="20"/>
                <w:color w:val="auto"/>
              </w:rPr>
            </w:pPr>
            <w:r>
              <w:rPr>
                <w:rFonts w:ascii="Arial" w:cs="Arial" w:eastAsia="Arial" w:hAnsi="Arial"/>
                <w:sz w:val="18"/>
                <w:szCs w:val="18"/>
                <w:color w:val="auto"/>
                <w:w w:val="92"/>
              </w:rPr>
              <w:t>Employment Offer Letter, entered into on June 15, 2010, between the Company and Jeffrey W. Church, incorporated herein by reference to</w:t>
            </w:r>
          </w:p>
        </w:tc>
      </w:tr>
      <w:tr>
        <w:trPr>
          <w:trHeight w:val="230"/>
        </w:trPr>
        <w:tc>
          <w:tcPr>
            <w:tcW w:w="1020" w:type="dxa"/>
            <w:vAlign w:val="bottom"/>
          </w:tcPr>
          <w:p>
            <w:pPr>
              <w:spacing w:after="0"/>
              <w:rPr>
                <w:sz w:val="20"/>
                <w:szCs w:val="20"/>
                <w:color w:val="auto"/>
              </w:rPr>
            </w:pPr>
          </w:p>
        </w:tc>
        <w:tc>
          <w:tcPr>
            <w:tcW w:w="10440" w:type="dxa"/>
            <w:vAlign w:val="bottom"/>
          </w:tcPr>
          <w:p>
            <w:pPr>
              <w:ind w:left="140"/>
              <w:spacing w:after="0"/>
              <w:rPr>
                <w:sz w:val="20"/>
                <w:szCs w:val="20"/>
                <w:color w:val="auto"/>
              </w:rPr>
            </w:pPr>
            <w:r>
              <w:rPr>
                <w:rFonts w:ascii="Arial" w:cs="Arial" w:eastAsia="Arial" w:hAnsi="Arial"/>
                <w:sz w:val="18"/>
                <w:szCs w:val="18"/>
                <w:color w:val="auto"/>
              </w:rPr>
              <w:t>Exhibit 10.1 to the Current Report on Form 8-K of the Company filed on June 18, 2010.</w:t>
            </w:r>
          </w:p>
        </w:tc>
      </w:tr>
      <w:tr>
        <w:trPr>
          <w:trHeight w:val="729"/>
        </w:trPr>
        <w:tc>
          <w:tcPr>
            <w:tcW w:w="1020" w:type="dxa"/>
            <w:vAlign w:val="bottom"/>
          </w:tcPr>
          <w:p>
            <w:pPr>
              <w:spacing w:after="0"/>
              <w:rPr>
                <w:sz w:val="24"/>
                <w:szCs w:val="24"/>
                <w:color w:val="auto"/>
              </w:rPr>
            </w:pPr>
          </w:p>
        </w:tc>
        <w:tc>
          <w:tcPr>
            <w:tcW w:w="10440" w:type="dxa"/>
            <w:vAlign w:val="bottom"/>
          </w:tcPr>
          <w:p>
            <w:pPr>
              <w:ind w:left="4600"/>
              <w:spacing w:after="0"/>
              <w:rPr>
                <w:sz w:val="20"/>
                <w:szCs w:val="20"/>
                <w:color w:val="auto"/>
              </w:rPr>
            </w:pPr>
            <w:r>
              <w:rPr>
                <w:rFonts w:ascii="Arial" w:cs="Arial" w:eastAsia="Arial" w:hAnsi="Arial"/>
                <w:sz w:val="18"/>
                <w:szCs w:val="18"/>
                <w:color w:val="auto"/>
              </w:rPr>
              <w:t>52</w:t>
            </w:r>
          </w:p>
        </w:tc>
      </w:tr>
      <w:tr>
        <w:trPr>
          <w:trHeight w:val="105"/>
        </w:trPr>
        <w:tc>
          <w:tcPr>
            <w:tcW w:w="1020" w:type="dxa"/>
            <w:vAlign w:val="bottom"/>
          </w:tcPr>
          <w:p>
            <w:pPr>
              <w:spacing w:after="0"/>
              <w:rPr>
                <w:sz w:val="9"/>
                <w:szCs w:val="9"/>
                <w:color w:val="auto"/>
              </w:rPr>
            </w:pPr>
          </w:p>
        </w:tc>
        <w:tc>
          <w:tcPr>
            <w:tcW w:w="10440" w:type="dxa"/>
            <w:vAlign w:val="bottom"/>
          </w:tcPr>
          <w:p>
            <w:pPr>
              <w:spacing w:after="0"/>
              <w:rPr>
                <w:sz w:val="9"/>
                <w:szCs w:val="9"/>
                <w:color w:val="auto"/>
              </w:rPr>
            </w:pPr>
          </w:p>
        </w:tc>
      </w:tr>
      <w:tr>
        <w:trPr>
          <w:trHeight w:val="61"/>
        </w:trPr>
        <w:tc>
          <w:tcPr>
            <w:tcW w:w="1020" w:type="dxa"/>
            <w:vAlign w:val="bottom"/>
            <w:shd w:val="clear" w:color="auto" w:fill="808080"/>
          </w:tcPr>
          <w:p>
            <w:pPr>
              <w:spacing w:after="0"/>
              <w:rPr>
                <w:sz w:val="5"/>
                <w:szCs w:val="5"/>
                <w:color w:val="auto"/>
              </w:rPr>
            </w:pPr>
          </w:p>
        </w:tc>
        <w:tc>
          <w:tcPr>
            <w:tcW w:w="10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56" w:name="page57"/>
    <w:bookmarkEnd w:id="56"/>
    <w:p>
      <w:pPr>
        <w:ind w:left="100"/>
        <w:spacing w:after="0"/>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Patent License Agreement between the Company and Duke University dated November 10, 1999, incorporated herein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10.9 to the Annual Report on Form 10-K of the Company for the year ended September 30, 1999.</w:t>
      </w:r>
    </w:p>
    <w:p>
      <w:pPr>
        <w:spacing w:after="0" w:line="211" w:lineRule="exact"/>
        <w:rPr>
          <w:sz w:val="20"/>
          <w:szCs w:val="20"/>
          <w:color w:val="auto"/>
        </w:rPr>
      </w:pPr>
    </w:p>
    <w:p>
      <w:pPr>
        <w:jc w:val="both"/>
        <w:ind w:left="920" w:hanging="817"/>
        <w:spacing w:after="0" w:line="277"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License Agreement dated July 18, 2003, between the Company and Duke University, incorporated herein by reference to Exhibit 10.1 to the Registration Statement of the Company (File No. 333-108318) filed on August 28, 2003.</w:t>
      </w:r>
    </w:p>
    <w:p>
      <w:pPr>
        <w:spacing w:after="0" w:line="170" w:lineRule="exact"/>
        <w:rPr>
          <w:sz w:val="20"/>
          <w:szCs w:val="20"/>
          <w:color w:val="auto"/>
        </w:rPr>
      </w:pPr>
    </w:p>
    <w:p>
      <w:pPr>
        <w:jc w:val="both"/>
        <w:ind w:left="920" w:hanging="821"/>
        <w:spacing w:after="0" w:line="264"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Development, Product Supply and Commercialization Agreement, effective December 5, 2008, by and between the Company and Yakult Honsha Co., Ltd., incorporated herein by reference to Exhibit 10.15 to the Annual Report on Form 10-K of the Company for the year ended December 31, 2008.</w:t>
      </w:r>
    </w:p>
    <w:p>
      <w:pPr>
        <w:spacing w:after="0" w:line="235" w:lineRule="exact"/>
        <w:rPr>
          <w:sz w:val="20"/>
          <w:szCs w:val="20"/>
          <w:color w:val="auto"/>
        </w:rPr>
      </w:pPr>
    </w:p>
    <w:p>
      <w:pPr>
        <w:ind w:left="920" w:right="220" w:hanging="775"/>
        <w:spacing w:after="0" w:line="264" w:lineRule="auto"/>
        <w:tabs>
          <w:tab w:leader="none" w:pos="900" w:val="left"/>
        </w:tabs>
        <w:rPr>
          <w:sz w:val="20"/>
          <w:szCs w:val="20"/>
          <w:color w:val="auto"/>
        </w:rPr>
      </w:pPr>
      <w:r>
        <w:rPr>
          <w:rFonts w:ascii="Arial" w:cs="Arial" w:eastAsia="Arial" w:hAnsi="Arial"/>
          <w:sz w:val="18"/>
          <w:szCs w:val="18"/>
          <w:color w:val="auto"/>
        </w:rPr>
        <w:t>10.13*</w:t>
        <w:tab/>
        <w:t>The 2nd Amendment To The Development, Product Supply And Commercialization Agreement, effective January 7, 2011, by and between the Company and Yakult Honsha Co., Ltd. incorporated herein by reference to Exhibit 10.1 to the Current Report on Form 8-K of the Company filed on January 18, 2011.</w:t>
      </w:r>
    </w:p>
    <w:p>
      <w:pPr>
        <w:spacing w:after="0" w:line="181" w:lineRule="exact"/>
        <w:rPr>
          <w:sz w:val="20"/>
          <w:szCs w:val="20"/>
          <w:color w:val="auto"/>
        </w:rPr>
      </w:pPr>
    </w:p>
    <w:p>
      <w:pPr>
        <w:ind w:left="920" w:right="300" w:hanging="776"/>
        <w:spacing w:after="0" w:line="308"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Lease Agreement, executed July 21, 2011, by and between Celsion Corporation and Brandywine Operating Partnership, L.P., incorporated herein by reference to Exhibit 10.1 to the Current Report on Form 8-K of the Company filed on July 25, 2011.</w:t>
      </w:r>
    </w:p>
    <w:p>
      <w:pPr>
        <w:spacing w:after="0" w:line="147" w:lineRule="exact"/>
        <w:rPr>
          <w:sz w:val="20"/>
          <w:szCs w:val="20"/>
          <w:color w:val="auto"/>
        </w:rPr>
      </w:pPr>
    </w:p>
    <w:p>
      <w:pPr>
        <w:jc w:val="both"/>
        <w:ind w:left="920" w:right="180" w:hanging="821"/>
        <w:spacing w:after="0" w:line="264"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Technology Development Agreement effective as of May 7, 2012, by and between Celsion Corporation and Zhejiang Hisun Pharmaceutical Co. Ltd., incorporated herein by reference to Exhibit 10.2 to the Quarterly Report on Form 10-Q of the Company for the quarter ended June 30, 2012.</w:t>
      </w:r>
    </w:p>
    <w:p>
      <w:pPr>
        <w:spacing w:after="0" w:line="181" w:lineRule="exact"/>
        <w:rPr>
          <w:sz w:val="20"/>
          <w:szCs w:val="20"/>
          <w:color w:val="auto"/>
        </w:rPr>
      </w:pPr>
    </w:p>
    <w:p>
      <w:pPr>
        <w:ind w:left="920" w:right="40" w:hanging="776"/>
        <w:spacing w:after="0" w:line="264"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Loan and Security Agreement, dated June 27, 2012, by and among Celsion Corporation, Oxford Finance LLC, as collateral agent, and the lenders named therein, incorporated herein by reference to Exhibit 10.3 to the Quarterly Report on Form 10-Q of the Company for the quarter ended June 30, 2012.</w:t>
      </w:r>
    </w:p>
    <w:p>
      <w:pPr>
        <w:spacing w:after="0" w:line="158" w:lineRule="exact"/>
        <w:rPr>
          <w:sz w:val="20"/>
          <w:szCs w:val="20"/>
          <w:color w:val="auto"/>
        </w:rPr>
      </w:pPr>
    </w:p>
    <w:p>
      <w:pPr>
        <w:ind w:left="920" w:right="180" w:hanging="776"/>
        <w:spacing w:after="0" w:line="217"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dated February 1, 2013, by and between Celsion Corporation and Cantor Fitzgerald &amp; Co., incorporated herein by reference to Exhibit 10.1 to the Current Report on Form 8-K of the Company filed on February 1, 2013.</w:t>
      </w:r>
    </w:p>
    <w:p>
      <w:pPr>
        <w:spacing w:after="0" w:line="204" w:lineRule="exact"/>
        <w:rPr>
          <w:sz w:val="20"/>
          <w:szCs w:val="20"/>
          <w:color w:val="auto"/>
        </w:rPr>
      </w:pPr>
    </w:p>
    <w:p>
      <w:pPr>
        <w:ind w:left="920" w:right="100" w:hanging="776"/>
        <w:spacing w:after="0" w:line="308"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Securities Purchase Agreement, dated February 22, 2013, by and among Celsion Corporation and the purchasers named therein, incorporated herein by reference to Exhibit 10.1 to the Current Report on Form 8-K of the Company filed on February 26, 2013.</w:t>
      </w:r>
    </w:p>
    <w:p>
      <w:pPr>
        <w:spacing w:after="0" w:line="147" w:lineRule="exact"/>
        <w:rPr>
          <w:sz w:val="20"/>
          <w:szCs w:val="20"/>
          <w:color w:val="auto"/>
        </w:rPr>
      </w:pPr>
    </w:p>
    <w:p>
      <w:pPr>
        <w:ind w:left="920" w:right="60" w:hanging="821"/>
        <w:spacing w:after="0" w:line="264"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Technology Development Contract dated as of January 18, 2013, by and between Celsion Corporation and Zhejiang Hisun Pharmaceutical Co. Ltd., incorporated herein by reference to Exhibit 10.1 to the Quarterly Report on Form 10-Q of the Company for the quarter ended March 31, 2013.</w:t>
      </w:r>
    </w:p>
    <w:p>
      <w:pPr>
        <w:spacing w:after="0" w:line="181" w:lineRule="exact"/>
        <w:rPr>
          <w:sz w:val="20"/>
          <w:szCs w:val="20"/>
          <w:color w:val="auto"/>
        </w:rPr>
      </w:pPr>
    </w:p>
    <w:p>
      <w:pPr>
        <w:jc w:val="both"/>
        <w:ind w:left="920" w:right="540" w:hanging="776"/>
        <w:spacing w:after="0" w:line="264"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Loan and Security Agreement dated as of November 25, 2013, by and between Celsion Corporation and Hercules Technology Growth Capital, Inc., incorporated herein by reference to Exhibit 10.28 to the Annual Report on Form 10-K of the Company for the year ended December 31, 2013.</w:t>
      </w:r>
    </w:p>
    <w:p>
      <w:pPr>
        <w:spacing w:after="0" w:line="181" w:lineRule="exact"/>
        <w:rPr>
          <w:sz w:val="20"/>
          <w:szCs w:val="20"/>
          <w:color w:val="auto"/>
        </w:rPr>
      </w:pPr>
    </w:p>
    <w:p>
      <w:pPr>
        <w:ind w:left="920" w:right="680" w:hanging="731"/>
        <w:spacing w:after="0" w:line="342"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Securities Purchase Agreement dated as of January 15, 2014, by and between Celsion Corporation and the purchasers named therein, incorporated herein by reference to Exhibit 10.1 to the Current Report on Form 8-K of the Company filed on January 21, 2014.</w:t>
      </w:r>
    </w:p>
    <w:p>
      <w:pPr>
        <w:spacing w:after="0" w:line="124" w:lineRule="exact"/>
        <w:rPr>
          <w:sz w:val="20"/>
          <w:szCs w:val="20"/>
          <w:color w:val="auto"/>
        </w:rPr>
      </w:pPr>
    </w:p>
    <w:p>
      <w:pPr>
        <w:ind w:left="920" w:right="460" w:hanging="910"/>
        <w:spacing w:after="0" w:line="277" w:lineRule="auto"/>
        <w:tabs>
          <w:tab w:leader="none" w:pos="900" w:val="left"/>
        </w:tabs>
        <w:rPr>
          <w:sz w:val="20"/>
          <w:szCs w:val="20"/>
          <w:color w:val="auto"/>
        </w:rPr>
      </w:pPr>
      <w:r>
        <w:rPr>
          <w:rFonts w:ascii="Arial" w:cs="Arial" w:eastAsia="Arial" w:hAnsi="Arial"/>
          <w:sz w:val="18"/>
          <w:szCs w:val="18"/>
          <w:color w:val="auto"/>
        </w:rPr>
        <w:t>10.22***</w:t>
        <w:tab/>
        <w:t>Employment Offer Letter effective as of June 2, 2014, between the Company and Khursheed Anwer incorporated herein by reference to Exhibit 10.27 to the Annual Report on Form 10-K of the Company for the year ended December 31, 2014.</w:t>
      </w:r>
    </w:p>
    <w:p>
      <w:pPr>
        <w:spacing w:after="0" w:line="170" w:lineRule="exact"/>
        <w:rPr>
          <w:sz w:val="20"/>
          <w:szCs w:val="20"/>
          <w:color w:val="auto"/>
        </w:rPr>
      </w:pPr>
    </w:p>
    <w:p>
      <w:pPr>
        <w:ind w:left="920" w:right="40" w:hanging="821"/>
        <w:spacing w:after="0" w:line="277"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Early Access Agreement dated as of January 13, 2015, by and between the Company and Impatients N.V., incorporated herein by reference to Exhibit 10.1 to the Quarterly Report on Form 10-Q/A of the Company for the quarter ended March 31, 2015.</w:t>
      </w:r>
    </w:p>
    <w:p>
      <w:pPr>
        <w:spacing w:after="0" w:line="170" w:lineRule="exact"/>
        <w:rPr>
          <w:sz w:val="20"/>
          <w:szCs w:val="20"/>
          <w:color w:val="auto"/>
        </w:rPr>
      </w:pPr>
    </w:p>
    <w:p>
      <w:pPr>
        <w:ind w:left="920" w:right="60" w:hanging="776"/>
        <w:spacing w:after="0" w:line="308"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7"/>
          <w:szCs w:val="17"/>
          <w:color w:val="auto"/>
        </w:rPr>
        <w:t>Securities Purchase Agreement dated as of May 27, 2015, by and among Celsion Corporation and the purchasers named therein, incorporated herein by reference to Exhibit 10.1 to the Current Report on Form 8-K of the Company filed on May 29, 2015.</w:t>
      </w:r>
    </w:p>
    <w:p>
      <w:pPr>
        <w:spacing w:after="0" w:line="200" w:lineRule="exact"/>
        <w:rPr>
          <w:sz w:val="20"/>
          <w:szCs w:val="20"/>
          <w:color w:val="auto"/>
        </w:rPr>
      </w:pPr>
    </w:p>
    <w:p>
      <w:pPr>
        <w:spacing w:after="0" w:line="24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480" w:top="584" w:right="239" w:bottom="1440" w:gutter="0" w:footer="0" w:header="0"/>
        </w:sectPr>
      </w:pPr>
    </w:p>
    <w:bookmarkStart w:id="57" w:name="page58"/>
    <w:bookmarkEnd w:id="57"/>
    <w:tbl>
      <w:tblPr>
        <w:tblLayout w:type="fixed"/>
        <w:tblInd w:w="240" w:type="dxa"/>
        <w:tblCellMar>
          <w:top w:w="0" w:type="dxa"/>
          <w:left w:w="0" w:type="dxa"/>
          <w:bottom w:w="0" w:type="dxa"/>
          <w:right w:w="0" w:type="dxa"/>
        </w:tblCellMar>
      </w:tblPr>
      <w:tr>
        <w:trPr>
          <w:trHeight w:val="216"/>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10.25</w:t>
            </w:r>
          </w:p>
        </w:tc>
        <w:tc>
          <w:tcPr>
            <w:tcW w:w="10320" w:type="dxa"/>
            <w:vAlign w:val="bottom"/>
          </w:tcPr>
          <w:p>
            <w:pPr>
              <w:ind w:left="120"/>
              <w:spacing w:after="0"/>
              <w:rPr>
                <w:sz w:val="20"/>
                <w:szCs w:val="20"/>
                <w:color w:val="auto"/>
              </w:rPr>
            </w:pPr>
            <w:r>
              <w:rPr>
                <w:rFonts w:ascii="Arial" w:cs="Arial" w:eastAsia="Arial" w:hAnsi="Arial"/>
                <w:sz w:val="18"/>
                <w:szCs w:val="18"/>
                <w:color w:val="auto"/>
                <w:w w:val="89"/>
              </w:rPr>
              <w:t>Securities Purchase Agreement dated as of June 13, 2016, by and among Celsion Corporation and the purchasers named therein, incorporated</w:t>
            </w:r>
          </w:p>
        </w:tc>
      </w:tr>
      <w:tr>
        <w:trPr>
          <w:trHeight w:val="230"/>
        </w:trPr>
        <w:tc>
          <w:tcPr>
            <w:tcW w:w="80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herein by reference to Exhibit 10.1 to the Current Report on Form 8-K of the Company filed on June 17, 2016.</w:t>
            </w:r>
          </w:p>
        </w:tc>
      </w:tr>
      <w:tr>
        <w:trPr>
          <w:trHeight w:val="418"/>
        </w:trPr>
        <w:tc>
          <w:tcPr>
            <w:tcW w:w="800" w:type="dxa"/>
            <w:vAlign w:val="bottom"/>
          </w:tcPr>
          <w:p>
            <w:pPr>
              <w:jc w:val="center"/>
              <w:ind w:right="30"/>
              <w:spacing w:after="0"/>
              <w:rPr>
                <w:sz w:val="20"/>
                <w:szCs w:val="20"/>
                <w:color w:val="auto"/>
              </w:rPr>
            </w:pPr>
            <w:r>
              <w:rPr>
                <w:rFonts w:ascii="Arial" w:cs="Arial" w:eastAsia="Arial" w:hAnsi="Arial"/>
                <w:sz w:val="18"/>
                <w:szCs w:val="18"/>
                <w:color w:val="auto"/>
              </w:rPr>
              <w:t>10.26***</w:t>
            </w:r>
          </w:p>
        </w:tc>
        <w:tc>
          <w:tcPr>
            <w:tcW w:w="10320" w:type="dxa"/>
            <w:vAlign w:val="bottom"/>
          </w:tcPr>
          <w:p>
            <w:pPr>
              <w:ind w:left="120"/>
              <w:spacing w:after="0"/>
              <w:rPr>
                <w:sz w:val="20"/>
                <w:szCs w:val="20"/>
                <w:color w:val="auto"/>
              </w:rPr>
            </w:pPr>
            <w:r>
              <w:rPr>
                <w:rFonts w:ascii="Arial" w:cs="Arial" w:eastAsia="Arial" w:hAnsi="Arial"/>
                <w:sz w:val="18"/>
                <w:szCs w:val="18"/>
                <w:color w:val="auto"/>
                <w:w w:val="96"/>
              </w:rPr>
              <w:t>Amended and Restated Change in Control Agreement dated as of September 6, 2016, by and between the Company and Michael H.</w:t>
            </w:r>
          </w:p>
        </w:tc>
      </w:tr>
      <w:tr>
        <w:trPr>
          <w:trHeight w:val="216"/>
        </w:trPr>
        <w:tc>
          <w:tcPr>
            <w:tcW w:w="800" w:type="dxa"/>
            <w:vAlign w:val="bottom"/>
          </w:tcPr>
          <w:p>
            <w:pPr>
              <w:spacing w:after="0"/>
              <w:rPr>
                <w:sz w:val="18"/>
                <w:szCs w:val="18"/>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w w:val="94"/>
              </w:rPr>
              <w:t>Tardugno, incorporated herein by reference to Exhibit 10.1 to the Quarterly Report on Form 10-Q of the Company for the quarter ended</w:t>
            </w:r>
          </w:p>
        </w:tc>
      </w:tr>
      <w:tr>
        <w:trPr>
          <w:trHeight w:val="230"/>
        </w:trPr>
        <w:tc>
          <w:tcPr>
            <w:tcW w:w="80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September 30, 2016.</w:t>
            </w:r>
          </w:p>
        </w:tc>
      </w:tr>
      <w:tr>
        <w:trPr>
          <w:trHeight w:val="418"/>
        </w:trPr>
        <w:tc>
          <w:tcPr>
            <w:tcW w:w="800" w:type="dxa"/>
            <w:vAlign w:val="bottom"/>
          </w:tcPr>
          <w:p>
            <w:pPr>
              <w:jc w:val="center"/>
              <w:ind w:right="30"/>
              <w:spacing w:after="0"/>
              <w:rPr>
                <w:sz w:val="20"/>
                <w:szCs w:val="20"/>
                <w:color w:val="auto"/>
              </w:rPr>
            </w:pPr>
            <w:r>
              <w:rPr>
                <w:rFonts w:ascii="Arial" w:cs="Arial" w:eastAsia="Arial" w:hAnsi="Arial"/>
                <w:sz w:val="18"/>
                <w:szCs w:val="18"/>
                <w:color w:val="auto"/>
              </w:rPr>
              <w:t>10.27***</w:t>
            </w:r>
          </w:p>
        </w:tc>
        <w:tc>
          <w:tcPr>
            <w:tcW w:w="10320" w:type="dxa"/>
            <w:vAlign w:val="bottom"/>
          </w:tcPr>
          <w:p>
            <w:pPr>
              <w:ind w:left="120"/>
              <w:spacing w:after="0"/>
              <w:rPr>
                <w:sz w:val="20"/>
                <w:szCs w:val="20"/>
                <w:color w:val="auto"/>
              </w:rPr>
            </w:pPr>
            <w:r>
              <w:rPr>
                <w:rFonts w:ascii="Arial" w:cs="Arial" w:eastAsia="Arial" w:hAnsi="Arial"/>
                <w:sz w:val="18"/>
                <w:szCs w:val="18"/>
                <w:color w:val="auto"/>
                <w:w w:val="92"/>
              </w:rPr>
              <w:t>Amended and Restated Change in Control Agreement dated as of September 6, 2016, by and between the Company and Nicholas Borys,</w:t>
            </w:r>
          </w:p>
        </w:tc>
      </w:tr>
      <w:tr>
        <w:trPr>
          <w:trHeight w:val="216"/>
        </w:trPr>
        <w:tc>
          <w:tcPr>
            <w:tcW w:w="800" w:type="dxa"/>
            <w:vAlign w:val="bottom"/>
          </w:tcPr>
          <w:p>
            <w:pPr>
              <w:spacing w:after="0"/>
              <w:rPr>
                <w:sz w:val="18"/>
                <w:szCs w:val="18"/>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w w:val="98"/>
              </w:rPr>
              <w:t>M.D., incorporated herein by reference to Exhibit 10.2 to the Quarterly Report on Form 10-Q of the Company for the quarter ended</w:t>
            </w:r>
          </w:p>
        </w:tc>
      </w:tr>
      <w:tr>
        <w:trPr>
          <w:trHeight w:val="230"/>
        </w:trPr>
        <w:tc>
          <w:tcPr>
            <w:tcW w:w="80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September 30, 2016.</w:t>
            </w:r>
          </w:p>
        </w:tc>
      </w:tr>
      <w:tr>
        <w:trPr>
          <w:trHeight w:val="418"/>
        </w:trPr>
        <w:tc>
          <w:tcPr>
            <w:tcW w:w="800" w:type="dxa"/>
            <w:vAlign w:val="bottom"/>
          </w:tcPr>
          <w:p>
            <w:pPr>
              <w:jc w:val="center"/>
              <w:ind w:right="30"/>
              <w:spacing w:after="0"/>
              <w:rPr>
                <w:sz w:val="20"/>
                <w:szCs w:val="20"/>
                <w:color w:val="auto"/>
              </w:rPr>
            </w:pPr>
            <w:r>
              <w:rPr>
                <w:rFonts w:ascii="Arial" w:cs="Arial" w:eastAsia="Arial" w:hAnsi="Arial"/>
                <w:sz w:val="18"/>
                <w:szCs w:val="18"/>
                <w:color w:val="auto"/>
              </w:rPr>
              <w:t>10.28***</w:t>
            </w:r>
          </w:p>
        </w:tc>
        <w:tc>
          <w:tcPr>
            <w:tcW w:w="10320" w:type="dxa"/>
            <w:vAlign w:val="bottom"/>
          </w:tcPr>
          <w:p>
            <w:pPr>
              <w:ind w:left="120"/>
              <w:spacing w:after="0"/>
              <w:rPr>
                <w:sz w:val="20"/>
                <w:szCs w:val="20"/>
                <w:color w:val="auto"/>
              </w:rPr>
            </w:pPr>
            <w:r>
              <w:rPr>
                <w:rFonts w:ascii="Arial" w:cs="Arial" w:eastAsia="Arial" w:hAnsi="Arial"/>
                <w:sz w:val="18"/>
                <w:szCs w:val="18"/>
                <w:color w:val="auto"/>
                <w:w w:val="90"/>
              </w:rPr>
              <w:t>Amended and Restated Change in Control Agreement dated as of September 6, 2016, by and between the Company and Jeffrey W. Church,</w:t>
            </w:r>
          </w:p>
        </w:tc>
      </w:tr>
      <w:tr>
        <w:trPr>
          <w:trHeight w:val="216"/>
        </w:trPr>
        <w:tc>
          <w:tcPr>
            <w:tcW w:w="800" w:type="dxa"/>
            <w:vAlign w:val="bottom"/>
          </w:tcPr>
          <w:p>
            <w:pPr>
              <w:spacing w:after="0"/>
              <w:rPr>
                <w:sz w:val="18"/>
                <w:szCs w:val="18"/>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w w:val="91"/>
              </w:rPr>
              <w:t>incorporated herein by reference to Exhibit 10.3 to the Quarterly Report on Form 10-Q of the Company for the quarter ended September 30,</w:t>
            </w:r>
          </w:p>
        </w:tc>
      </w:tr>
      <w:tr>
        <w:trPr>
          <w:trHeight w:val="230"/>
        </w:trPr>
        <w:tc>
          <w:tcPr>
            <w:tcW w:w="80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2016.</w:t>
            </w:r>
          </w:p>
        </w:tc>
      </w:tr>
      <w:tr>
        <w:trPr>
          <w:trHeight w:val="418"/>
        </w:trPr>
        <w:tc>
          <w:tcPr>
            <w:tcW w:w="800" w:type="dxa"/>
            <w:vAlign w:val="bottom"/>
          </w:tcPr>
          <w:p>
            <w:pPr>
              <w:jc w:val="center"/>
              <w:ind w:right="30"/>
              <w:spacing w:after="0"/>
              <w:rPr>
                <w:sz w:val="20"/>
                <w:szCs w:val="20"/>
                <w:color w:val="auto"/>
              </w:rPr>
            </w:pPr>
            <w:r>
              <w:rPr>
                <w:rFonts w:ascii="Arial" w:cs="Arial" w:eastAsia="Arial" w:hAnsi="Arial"/>
                <w:sz w:val="18"/>
                <w:szCs w:val="18"/>
                <w:color w:val="auto"/>
              </w:rPr>
              <w:t>10.29***</w:t>
            </w:r>
          </w:p>
        </w:tc>
        <w:tc>
          <w:tcPr>
            <w:tcW w:w="10320" w:type="dxa"/>
            <w:vAlign w:val="bottom"/>
          </w:tcPr>
          <w:p>
            <w:pPr>
              <w:ind w:left="120"/>
              <w:spacing w:after="0"/>
              <w:rPr>
                <w:sz w:val="20"/>
                <w:szCs w:val="20"/>
                <w:color w:val="auto"/>
              </w:rPr>
            </w:pPr>
            <w:r>
              <w:rPr>
                <w:rFonts w:ascii="Arial" w:cs="Arial" w:eastAsia="Arial" w:hAnsi="Arial"/>
                <w:sz w:val="18"/>
                <w:szCs w:val="18"/>
                <w:color w:val="auto"/>
                <w:w w:val="96"/>
              </w:rPr>
              <w:t>Amended and Restated Change in Control Agreement dated as of September 6, 2016, by and between the Company and Timothy J.</w:t>
            </w:r>
          </w:p>
        </w:tc>
      </w:tr>
      <w:tr>
        <w:trPr>
          <w:trHeight w:val="216"/>
        </w:trPr>
        <w:tc>
          <w:tcPr>
            <w:tcW w:w="800" w:type="dxa"/>
            <w:vAlign w:val="bottom"/>
          </w:tcPr>
          <w:p>
            <w:pPr>
              <w:spacing w:after="0"/>
              <w:rPr>
                <w:sz w:val="18"/>
                <w:szCs w:val="18"/>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w w:val="93"/>
              </w:rPr>
              <w:t>Tumminello, incorporated herein by reference to Exhibit 10.4 to the Quarterly Report on Form 10-Q of the Company for the quarter ended</w:t>
            </w:r>
          </w:p>
        </w:tc>
      </w:tr>
      <w:tr>
        <w:trPr>
          <w:trHeight w:val="230"/>
        </w:trPr>
        <w:tc>
          <w:tcPr>
            <w:tcW w:w="80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September 30, 2016.</w:t>
            </w:r>
          </w:p>
        </w:tc>
      </w:tr>
      <w:tr>
        <w:trPr>
          <w:trHeight w:val="418"/>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10.30</w:t>
            </w:r>
          </w:p>
        </w:tc>
        <w:tc>
          <w:tcPr>
            <w:tcW w:w="10320" w:type="dxa"/>
            <w:vAlign w:val="bottom"/>
          </w:tcPr>
          <w:p>
            <w:pPr>
              <w:ind w:left="120"/>
              <w:spacing w:after="0"/>
              <w:rPr>
                <w:sz w:val="20"/>
                <w:szCs w:val="20"/>
                <w:color w:val="auto"/>
              </w:rPr>
            </w:pPr>
            <w:r>
              <w:rPr>
                <w:rFonts w:ascii="Arial" w:cs="Arial" w:eastAsia="Arial" w:hAnsi="Arial"/>
                <w:sz w:val="18"/>
                <w:szCs w:val="18"/>
                <w:color w:val="auto"/>
                <w:w w:val="94"/>
              </w:rPr>
              <w:t>Securities Purchase Agreement dated as of December 20, 2016, by and among Celsion Corporation and the purchasers named therein,</w:t>
            </w:r>
          </w:p>
        </w:tc>
      </w:tr>
      <w:tr>
        <w:trPr>
          <w:trHeight w:val="230"/>
        </w:trPr>
        <w:tc>
          <w:tcPr>
            <w:tcW w:w="80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w w:val="99"/>
              </w:rPr>
              <w:t>incorporated herein by reference to Exhibit 10.1 to the Current Report on Form 8-K of the Company foiled in December 23, 2016.</w:t>
            </w:r>
          </w:p>
        </w:tc>
      </w:tr>
      <w:tr>
        <w:trPr>
          <w:trHeight w:val="418"/>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10.31</w:t>
            </w:r>
          </w:p>
        </w:tc>
        <w:tc>
          <w:tcPr>
            <w:tcW w:w="10320" w:type="dxa"/>
            <w:vAlign w:val="bottom"/>
          </w:tcPr>
          <w:p>
            <w:pPr>
              <w:ind w:left="120"/>
              <w:spacing w:after="0"/>
              <w:rPr>
                <w:sz w:val="20"/>
                <w:szCs w:val="20"/>
                <w:color w:val="auto"/>
              </w:rPr>
            </w:pPr>
            <w:r>
              <w:rPr>
                <w:rFonts w:ascii="Arial" w:cs="Arial" w:eastAsia="Arial" w:hAnsi="Arial"/>
                <w:sz w:val="18"/>
                <w:szCs w:val="18"/>
                <w:color w:val="auto"/>
                <w:w w:val="91"/>
              </w:rPr>
              <w:t>Form of Securities Purchase Agreement incorporated herein by reference to Exhibit 10.33 to the Registration Statement on Form S-1 of the</w:t>
            </w:r>
          </w:p>
        </w:tc>
      </w:tr>
      <w:tr>
        <w:trPr>
          <w:trHeight w:val="230"/>
        </w:trPr>
        <w:tc>
          <w:tcPr>
            <w:tcW w:w="80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Company filed on February 14, 2017.</w:t>
            </w:r>
          </w:p>
        </w:tc>
      </w:tr>
    </w:tbl>
    <w:p>
      <w:pPr>
        <w:spacing w:after="0" w:line="202"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Celsion Corporation</w:t>
      </w:r>
    </w:p>
    <w:p>
      <w:pPr>
        <w:spacing w:after="0" w:line="23"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Dixon Hughes Goodman, LLP, independent registered public accounting firm for the Company.</w:t>
      </w:r>
    </w:p>
    <w:p>
      <w:pPr>
        <w:spacing w:after="0" w:line="9"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Stegman &amp; Company, independent registered public accounting firm for the Company.</w:t>
      </w:r>
    </w:p>
    <w:p>
      <w:pPr>
        <w:spacing w:after="0" w:line="9"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9"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ind w:left="380"/>
        <w:spacing w:after="0"/>
        <w:tabs>
          <w:tab w:leader="none" w:pos="1140" w:val="left"/>
        </w:tabs>
        <w:rPr>
          <w:sz w:val="20"/>
          <w:szCs w:val="20"/>
          <w:color w:val="auto"/>
        </w:rPr>
      </w:pPr>
      <w:r>
        <w:rPr>
          <w:rFonts w:ascii="Arial" w:cs="Arial" w:eastAsia="Arial" w:hAnsi="Arial"/>
          <w:sz w:val="26"/>
          <w:szCs w:val="26"/>
          <w:color w:val="auto"/>
          <w:vertAlign w:val="subscript"/>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ind w:left="1160"/>
        <w:spacing w:after="0"/>
        <w:rPr>
          <w:sz w:val="20"/>
          <w:szCs w:val="20"/>
          <w:color w:val="auto"/>
        </w:rPr>
      </w:pPr>
      <w:r>
        <w:rPr>
          <w:rFonts w:ascii="Arial" w:cs="Arial" w:eastAsia="Arial" w:hAnsi="Arial"/>
          <w:sz w:val="18"/>
          <w:szCs w:val="18"/>
          <w:color w:val="auto"/>
        </w:rPr>
        <w:t>2002.</w:t>
      </w:r>
    </w:p>
    <w:p>
      <w:pPr>
        <w:spacing w:after="0" w:line="7"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2002.</w:t>
      </w:r>
    </w:p>
    <w:p>
      <w:pPr>
        <w:spacing w:after="0" w:line="9" w:lineRule="exact"/>
        <w:rPr>
          <w:sz w:val="20"/>
          <w:szCs w:val="20"/>
          <w:color w:val="auto"/>
        </w:rPr>
      </w:pPr>
    </w:p>
    <w:p>
      <w:pPr>
        <w:jc w:val="both"/>
        <w:ind w:left="1160" w:hanging="799"/>
        <w:spacing w:after="0" w:line="281" w:lineRule="auto"/>
        <w:tabs>
          <w:tab w:leader="none" w:pos="114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Annual Report on Form 10-K for the fiscal year ended December 31, 2016, formatted in XBRL (Extensible Business Reporting Language): (i) the audited Consolidated Balance Sheets, (ii) the audited Consolidated Statements of Operations, (iii) the audited Consolidated Statements of Comprehensive Loss, (iv) the audited Consolidated Statements of Cash Flows, (v) the audited Consolidated Statements of Changes in Stockholders’ Equity and (vi) Notes to Consolidated Financial Statements.</w:t>
      </w:r>
    </w:p>
    <w:p>
      <w:pPr>
        <w:spacing w:after="0" w:line="3" w:lineRule="exact"/>
        <w:rPr>
          <w:sz w:val="20"/>
          <w:szCs w:val="20"/>
          <w:color w:val="auto"/>
        </w:rPr>
      </w:pPr>
    </w:p>
    <w:p>
      <w:pPr>
        <w:ind w:left="1160" w:hanging="601"/>
        <w:spacing w:after="0" w:line="265" w:lineRule="auto"/>
        <w:tabs>
          <w:tab w:leader="none" w:pos="11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ind w:left="1160" w:hanging="62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1160" w:hanging="620"/>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160" w:hanging="668"/>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9" w:lineRule="exact"/>
        <w:rPr>
          <w:sz w:val="20"/>
          <w:szCs w:val="20"/>
          <w:color w:val="auto"/>
        </w:rPr>
      </w:pPr>
    </w:p>
    <w:p>
      <w:pPr>
        <w:ind w:left="1160" w:hanging="713"/>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its annual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6620" w:type="dxa"/>
            <w:vAlign w:val="bottom"/>
            <w:gridSpan w:val="2"/>
          </w:tcPr>
          <w:p>
            <w:pPr>
              <w:ind w:left="2280"/>
              <w:spacing w:after="0"/>
              <w:rPr>
                <w:sz w:val="20"/>
                <w:szCs w:val="20"/>
                <w:color w:val="auto"/>
              </w:rPr>
            </w:pPr>
            <w:r>
              <w:rPr>
                <w:rFonts w:ascii="Arial" w:cs="Arial" w:eastAsia="Arial" w:hAnsi="Arial"/>
                <w:sz w:val="18"/>
                <w:szCs w:val="18"/>
                <w:color w:val="auto"/>
              </w:rPr>
              <w:t>CELSION CORPORATION</w:t>
            </w:r>
          </w:p>
        </w:tc>
      </w:tr>
      <w:tr>
        <w:trPr>
          <w:trHeight w:val="230"/>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March 24, 2017</w:t>
            </w:r>
          </w:p>
        </w:tc>
        <w:tc>
          <w:tcPr>
            <w:tcW w:w="662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tc>
      </w:tr>
      <w:tr>
        <w:trPr>
          <w:trHeight w:val="195"/>
        </w:trPr>
        <w:tc>
          <w:tcPr>
            <w:tcW w:w="34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7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16"/>
        </w:trPr>
        <w:tc>
          <w:tcPr>
            <w:tcW w:w="3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Chairman of the Board, President and Chief</w:t>
            </w:r>
          </w:p>
        </w:tc>
      </w:tr>
      <w:tr>
        <w:trPr>
          <w:trHeight w:val="230"/>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Executive Officer</w:t>
            </w:r>
          </w:p>
        </w:tc>
      </w:tr>
      <w:tr>
        <w:trPr>
          <w:trHeight w:val="864"/>
        </w:trPr>
        <w:tc>
          <w:tcPr>
            <w:tcW w:w="3440" w:type="dxa"/>
            <w:vAlign w:val="bottom"/>
          </w:tcPr>
          <w:p>
            <w:pPr>
              <w:spacing w:after="0"/>
              <w:rPr>
                <w:sz w:val="20"/>
                <w:szCs w:val="20"/>
                <w:color w:val="auto"/>
              </w:rPr>
            </w:pPr>
            <w:r>
              <w:rPr>
                <w:rFonts w:ascii="Arial" w:cs="Arial" w:eastAsia="Arial" w:hAnsi="Arial"/>
                <w:sz w:val="18"/>
                <w:szCs w:val="18"/>
                <w:color w:val="auto"/>
              </w:rPr>
              <w:t>March 24, 2017</w:t>
            </w:r>
          </w:p>
        </w:tc>
        <w:tc>
          <w:tcPr>
            <w:tcW w:w="662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tc>
      </w:tr>
      <w:tr>
        <w:trPr>
          <w:trHeight w:val="195"/>
        </w:trPr>
        <w:tc>
          <w:tcPr>
            <w:tcW w:w="34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7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3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Senior Vice President and</w:t>
            </w:r>
          </w:p>
        </w:tc>
      </w:tr>
      <w:tr>
        <w:trPr>
          <w:trHeight w:val="230"/>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 of the Securities Exchange Act of 1934, this report has been signed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1900"/>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0"/>
                <w:szCs w:val="20"/>
                <w:color w:val="auto"/>
              </w:rPr>
            </w:pPr>
          </w:p>
        </w:tc>
        <w:tc>
          <w:tcPr>
            <w:tcW w:w="4240" w:type="dxa"/>
            <w:vAlign w:val="bottom"/>
          </w:tcPr>
          <w:p>
            <w:pPr>
              <w:ind w:left="1800"/>
              <w:spacing w:after="0"/>
              <w:rPr>
                <w:sz w:val="20"/>
                <w:szCs w:val="20"/>
                <w:color w:val="auto"/>
              </w:rPr>
            </w:pPr>
            <w:r>
              <w:rPr>
                <w:rFonts w:ascii="Arial" w:cs="Arial" w:eastAsia="Arial" w:hAnsi="Arial"/>
                <w:sz w:val="18"/>
                <w:szCs w:val="18"/>
                <w:b w:val="1"/>
                <w:bCs w:val="1"/>
                <w:color w:val="auto"/>
              </w:rPr>
              <w:t>Position</w:t>
            </w:r>
          </w:p>
        </w:tc>
        <w:tc>
          <w:tcPr>
            <w:tcW w:w="300" w:type="dxa"/>
            <w:vAlign w:val="bottom"/>
          </w:tcPr>
          <w:p>
            <w:pPr>
              <w:spacing w:after="0"/>
              <w:rPr>
                <w:sz w:val="20"/>
                <w:szCs w:val="20"/>
                <w:color w:val="auto"/>
              </w:rPr>
            </w:pPr>
          </w:p>
        </w:tc>
        <w:tc>
          <w:tcPr>
            <w:tcW w:w="2340" w:type="dxa"/>
            <w:vAlign w:val="bottom"/>
          </w:tcPr>
          <w:p>
            <w:pPr>
              <w:ind w:left="980"/>
              <w:spacing w:after="0"/>
              <w:rPr>
                <w:sz w:val="20"/>
                <w:szCs w:val="20"/>
                <w:color w:val="auto"/>
              </w:rPr>
            </w:pPr>
            <w:r>
              <w:rPr>
                <w:rFonts w:ascii="Arial" w:cs="Arial" w:eastAsia="Arial" w:hAnsi="Arial"/>
                <w:sz w:val="18"/>
                <w:szCs w:val="18"/>
                <w:b w:val="1"/>
                <w:bCs w:val="1"/>
                <w:color w:val="auto"/>
              </w:rPr>
              <w:t>Date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4240" w:type="dxa"/>
            <w:vAlign w:val="bottom"/>
            <w:vMerge w:val="restart"/>
          </w:tcPr>
          <w:p>
            <w:pPr>
              <w:spacing w:after="0"/>
              <w:rPr>
                <w:sz w:val="20"/>
                <w:szCs w:val="20"/>
                <w:color w:val="auto"/>
              </w:rPr>
            </w:pPr>
            <w:r>
              <w:rPr>
                <w:rFonts w:ascii="Arial" w:cs="Arial" w:eastAsia="Arial" w:hAnsi="Arial"/>
                <w:sz w:val="18"/>
                <w:szCs w:val="18"/>
                <w:i w:val="1"/>
                <w:iCs w:val="1"/>
                <w:color w:val="auto"/>
              </w:rPr>
              <w:t>/s/ MICHAEL H. TARDUGNO</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w w:val="97"/>
              </w:rPr>
              <w:t>Chairman of the Board, President and Chief Executive</w:t>
            </w:r>
          </w:p>
        </w:tc>
        <w:tc>
          <w:tcPr>
            <w:tcW w:w="2640" w:type="dxa"/>
            <w:vAlign w:val="bottom"/>
            <w:gridSpan w:val="2"/>
            <w:vMerge w:val="restart"/>
          </w:tcPr>
          <w:p>
            <w:pPr>
              <w:ind w:left="300"/>
              <w:spacing w:after="0"/>
              <w:rPr>
                <w:sz w:val="20"/>
                <w:szCs w:val="20"/>
                <w:color w:val="auto"/>
              </w:rPr>
            </w:pPr>
            <w:r>
              <w:rPr>
                <w:rFonts w:ascii="Arial" w:cs="Arial" w:eastAsia="Arial" w:hAnsi="Arial"/>
                <w:sz w:val="18"/>
                <w:szCs w:val="18"/>
                <w:color w:val="auto"/>
              </w:rPr>
              <w:t>March 24,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240" w:type="dxa"/>
            <w:vAlign w:val="bottom"/>
            <w:vMerge w:val="continue"/>
          </w:tcPr>
          <w:p>
            <w:pPr>
              <w:spacing w:after="0"/>
              <w:rPr>
                <w:sz w:val="10"/>
                <w:szCs w:val="10"/>
                <w:color w:val="auto"/>
              </w:rPr>
            </w:pPr>
          </w:p>
        </w:tc>
        <w:tc>
          <w:tcPr>
            <w:tcW w:w="4540" w:type="dxa"/>
            <w:vAlign w:val="bottom"/>
            <w:gridSpan w:val="2"/>
            <w:vMerge w:val="restart"/>
          </w:tcPr>
          <w:p>
            <w:pPr>
              <w:ind w:left="300"/>
              <w:spacing w:after="0"/>
              <w:rPr>
                <w:sz w:val="20"/>
                <w:szCs w:val="20"/>
                <w:color w:val="auto"/>
              </w:rPr>
            </w:pPr>
            <w:r>
              <w:rPr>
                <w:rFonts w:ascii="Arial" w:cs="Arial" w:eastAsia="Arial" w:hAnsi="Arial"/>
                <w:sz w:val="18"/>
                <w:szCs w:val="18"/>
                <w:color w:val="auto"/>
              </w:rPr>
              <w:t>Officer</w:t>
            </w:r>
          </w:p>
        </w:tc>
        <w:tc>
          <w:tcPr>
            <w:tcW w:w="2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240" w:type="dxa"/>
            <w:vAlign w:val="bottom"/>
            <w:tcBorders>
              <w:bottom w:val="single" w:sz="8" w:color="auto"/>
            </w:tcBorders>
            <w:vMerge w:val="continue"/>
          </w:tcPr>
          <w:p>
            <w:pPr>
              <w:spacing w:after="0"/>
              <w:rPr>
                <w:sz w:val="8"/>
                <w:szCs w:val="8"/>
                <w:color w:val="auto"/>
              </w:rPr>
            </w:pPr>
          </w:p>
        </w:tc>
        <w:tc>
          <w:tcPr>
            <w:tcW w:w="45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(Michael H. Tardugno)</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(Principal Executive Officer)</w:t>
            </w: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Senior Vice President and Chief Financial</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24,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(Jeffrey W. Church)</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Officer (Principal Financial Officer)</w:t>
            </w: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TIMOTHY J. TUMMINELLO</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Controller and Chief Accounting Officer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24,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(Timothy J. Tumminello)</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AUGUSTINE CHOW</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24,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(Augustine Chow, Ph.D.)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FREDERICK J. FRITZ</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24,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(Frederick J. Fritz)</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W. HOOPER</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24,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60"/>
              <w:spacing w:after="0"/>
              <w:rPr>
                <w:sz w:val="20"/>
                <w:szCs w:val="20"/>
                <w:color w:val="auto"/>
              </w:rPr>
            </w:pPr>
            <w:r>
              <w:rPr>
                <w:rFonts w:ascii="Arial" w:cs="Arial" w:eastAsia="Arial" w:hAnsi="Arial"/>
                <w:sz w:val="18"/>
                <w:szCs w:val="18"/>
                <w:color w:val="auto"/>
              </w:rPr>
              <w:t>(Robert W. Hooper)</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ALBERTO R. MARTINEZ</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24,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(Alberto Martinez, M.D.)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DONALD BRAUN</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24,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(Donald Braun, Ph.D.)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ANDREAS VOSS</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24,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(Andreas Voss, M.D.)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4240" w:type="dxa"/>
            <w:vAlign w:val="bottom"/>
          </w:tcPr>
          <w:p>
            <w:pPr>
              <w:spacing w:after="0"/>
              <w:rPr>
                <w:sz w:val="24"/>
                <w:szCs w:val="24"/>
                <w:color w:val="auto"/>
              </w:rPr>
            </w:pPr>
          </w:p>
        </w:tc>
        <w:tc>
          <w:tcPr>
            <w:tcW w:w="4540" w:type="dxa"/>
            <w:vAlign w:val="bottom"/>
            <w:gridSpan w:val="2"/>
          </w:tcPr>
          <w:p>
            <w:pPr>
              <w:ind w:left="138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Celsion Corporation: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 of Celsion Corporation (the “Company”) as of December 31, 2016, and the related consolidated statements of operations, comprehensive loss, changes in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their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2016, and the results of its operations and its cash flows for the year then ended, in conformity with U.S. generally accepted accounting principles.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the Company will continue as a going concern. As discussed in Note 2, to the consolidated financial statements, the Company has suffered recurring losses from operations and has accumulated deficit that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Dixon Hughes Goodman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2017</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Celsion Corporation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 of Celsion Corporation (the “Company”) as of December 31, 2015, and the related consolidated statements of operations, comprehensive loss, changes in stockholders’ equity, and cash flows for the year then ended. The Company’s management is responsible for these financial statements. Our responsibility is to express an opinion on these consolidated financial statements based on our audit.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their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2015, and the results of its operations and its cash flows for the year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Stegman &amp;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7840" w:type="dxa"/>
            <w:vAlign w:val="bottom"/>
          </w:tcPr>
          <w:p>
            <w:pPr>
              <w:jc w:val="center"/>
              <w:ind w:left="3490"/>
              <w:spacing w:after="0"/>
              <w:rPr>
                <w:sz w:val="20"/>
                <w:szCs w:val="20"/>
                <w:color w:val="auto"/>
              </w:rPr>
            </w:pPr>
            <w:r>
              <w:rPr>
                <w:rFonts w:ascii="Arial" w:cs="Arial" w:eastAsia="Arial" w:hAnsi="Arial"/>
                <w:sz w:val="18"/>
                <w:szCs w:val="18"/>
                <w:b w:val="1"/>
                <w:bCs w:val="1"/>
                <w:color w:val="auto"/>
              </w:rPr>
              <w:t>CELSION CORPORATION</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40" w:type="dxa"/>
            <w:vAlign w:val="bottom"/>
          </w:tcPr>
          <w:p>
            <w:pPr>
              <w:jc w:val="center"/>
              <w:ind w:left="351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2,624,162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9,265,144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Investment securities – available for sale, at fair value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10,799,890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 on investment securities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Advances and deposits on clinical programs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89,186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100,367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4,512,578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20,281,316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(at cost, less accumulated depreciation and Amortization)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462,836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854,872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22,766,491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24,210,514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1,022,924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1,591,214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Security deposit on letter of credit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Pr>
          <w:p>
            <w:pPr>
              <w:ind w:left="180"/>
              <w:spacing w:after="0"/>
              <w:rPr>
                <w:sz w:val="20"/>
                <w:szCs w:val="20"/>
                <w:color w:val="auto"/>
              </w:rPr>
            </w:pPr>
            <w:r>
              <w:rPr>
                <w:rFonts w:ascii="Arial" w:cs="Arial" w:eastAsia="Arial" w:hAnsi="Arial"/>
                <w:sz w:val="18"/>
                <w:szCs w:val="18"/>
                <w:b w:val="1"/>
                <w:bCs w:val="1"/>
                <w:color w:val="auto"/>
              </w:rPr>
              <w:t>Total other assets</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25,874,277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27,892,215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30,849,691</w:t>
            </w:r>
          </w:p>
        </w:tc>
        <w:tc>
          <w:tcPr>
            <w:tcW w:w="12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49,028,403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3820"/>
              <w:spacing w:after="0"/>
              <w:rPr>
                <w:sz w:val="20"/>
                <w:szCs w:val="20"/>
                <w:color w:val="auto"/>
              </w:rPr>
            </w:pPr>
            <w:r>
              <w:rPr>
                <w:rFonts w:ascii="Arial" w:cs="Arial" w:eastAsia="Arial" w:hAnsi="Arial"/>
                <w:sz w:val="18"/>
                <w:szCs w:val="18"/>
                <w:color w:val="auto"/>
                <w:w w:val="94"/>
              </w:rPr>
              <w:t>See accompanying notes to the financial statements.</w:t>
            </w: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40" w:type="dxa"/>
            <w:vAlign w:val="bottom"/>
          </w:tcPr>
          <w:p>
            <w:pPr>
              <w:jc w:val="center"/>
              <w:ind w:left="3490"/>
              <w:spacing w:after="0"/>
              <w:rPr>
                <w:sz w:val="20"/>
                <w:szCs w:val="20"/>
                <w:color w:val="auto"/>
              </w:rPr>
            </w:pPr>
            <w:r>
              <w:rPr>
                <w:rFonts w:ascii="Arial" w:cs="Arial" w:eastAsia="Arial" w:hAnsi="Arial"/>
                <w:sz w:val="18"/>
                <w:szCs w:val="18"/>
                <w:color w:val="auto"/>
                <w:w w:val="96"/>
              </w:rPr>
              <w:t>F-3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jc w:val="center"/>
              <w:ind w:left="3290"/>
              <w:spacing w:after="0"/>
              <w:rPr>
                <w:sz w:val="20"/>
                <w:szCs w:val="20"/>
                <w:color w:val="auto"/>
              </w:rPr>
            </w:pPr>
            <w:r>
              <w:rPr>
                <w:rFonts w:ascii="Arial" w:cs="Arial" w:eastAsia="Arial" w:hAnsi="Arial"/>
                <w:sz w:val="18"/>
                <w:szCs w:val="18"/>
                <w:b w:val="1"/>
                <w:bCs w:val="1"/>
                <w:color w:val="auto"/>
              </w:rPr>
              <w:t>CELSION CORPORATION</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jc w:val="center"/>
              <w:ind w:left="3290"/>
              <w:spacing w:after="0"/>
              <w:rPr>
                <w:sz w:val="20"/>
                <w:szCs w:val="20"/>
                <w:color w:val="auto"/>
              </w:rPr>
            </w:pPr>
            <w:r>
              <w:rPr>
                <w:rFonts w:ascii="Arial" w:cs="Arial" w:eastAsia="Arial" w:hAnsi="Arial"/>
                <w:sz w:val="18"/>
                <w:szCs w:val="18"/>
                <w:b w:val="1"/>
                <w:bCs w:val="1"/>
                <w:color w:val="auto"/>
                <w:w w:val="93"/>
              </w:rPr>
              <w:t>(Continued)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trade</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2,878,978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2,483,756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1,919,769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 current portion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2,560,553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Deferred revenue – current portion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9,323,712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Earn-out milestone liability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13,188,226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13,921,412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Note payable – non-current portion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2,350,018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 non-current portion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Other liabilities – non-current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12,352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24,123,865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28,642,739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40" w:type="dxa"/>
            <w:vAlign w:val="bottom"/>
          </w:tcPr>
          <w:p>
            <w:pPr>
              <w:ind w:left="340"/>
              <w:spacing w:after="0" w:line="201" w:lineRule="exact"/>
              <w:rPr>
                <w:sz w:val="20"/>
                <w:szCs w:val="20"/>
                <w:color w:val="auto"/>
              </w:rPr>
            </w:pPr>
            <w:r>
              <w:rPr>
                <w:rFonts w:ascii="Arial" w:cs="Arial" w:eastAsia="Arial" w:hAnsi="Arial"/>
                <w:sz w:val="18"/>
                <w:szCs w:val="18"/>
                <w:color w:val="auto"/>
                <w:w w:val="95"/>
              </w:rPr>
              <w:t>Preferred Stock - $0.01 par value (100,000 shares authorized and no shares issued or outstanding at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00"/>
              <w:spacing w:after="0"/>
              <w:rPr>
                <w:sz w:val="20"/>
                <w:szCs w:val="20"/>
                <w:color w:val="auto"/>
              </w:rPr>
            </w:pPr>
            <w:r>
              <w:rPr>
                <w:rFonts w:ascii="Arial" w:cs="Arial" w:eastAsia="Arial" w:hAnsi="Arial"/>
                <w:sz w:val="18"/>
                <w:szCs w:val="18"/>
                <w:color w:val="auto"/>
              </w:rPr>
              <w:t>December 31, 2016 and 2015, respectively)</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 $0.01 par value (112,500,000 shares authorized; 31,226,336 and 23,395,211 shares</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issued at December 31, 2016 and 2015 and 31,221,657 and 23,319,287 shares outstanding at December</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31, 2016 and 2015, respectively)</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312,263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247,878,463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239,668,235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(241,379,712)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(218,130,360)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 before treasury stock</w:t>
            </w: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21,767,969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(4,679 and 75,924 shares at December 31, 2016 and 2015, respectively)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6,725,826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20,385,664</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30,849,691</w:t>
            </w:r>
          </w:p>
        </w:tc>
        <w:tc>
          <w:tcPr>
            <w:tcW w:w="14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49,028,403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jc w:val="center"/>
              <w:ind w:left="3310"/>
              <w:spacing w:after="0"/>
              <w:rPr>
                <w:sz w:val="20"/>
                <w:szCs w:val="20"/>
                <w:color w:val="auto"/>
              </w:rPr>
            </w:pPr>
            <w:r>
              <w:rPr>
                <w:rFonts w:ascii="Arial" w:cs="Arial" w:eastAsia="Arial" w:hAnsi="Arial"/>
                <w:sz w:val="18"/>
                <w:szCs w:val="18"/>
                <w:color w:val="auto"/>
                <w:w w:val="89"/>
              </w:rPr>
              <w:t>See accompanying notes to the financial statements.</w:t>
            </w: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040" w:type="dxa"/>
            <w:vAlign w:val="bottom"/>
          </w:tcPr>
          <w:p>
            <w:pPr>
              <w:jc w:val="center"/>
              <w:ind w:left="3290"/>
              <w:spacing w:after="0"/>
              <w:rPr>
                <w:sz w:val="20"/>
                <w:szCs w:val="20"/>
                <w:color w:val="auto"/>
              </w:rPr>
            </w:pPr>
            <w:r>
              <w:rPr>
                <w:rFonts w:ascii="Arial" w:cs="Arial" w:eastAsia="Arial" w:hAnsi="Arial"/>
                <w:sz w:val="18"/>
                <w:szCs w:val="18"/>
                <w:color w:val="auto"/>
                <w:w w:val="96"/>
              </w:rPr>
              <w:t>F-4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6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CELSION CORPORATION</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6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560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5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jc w:val="right"/>
              <w:ind w:right="670"/>
              <w:spacing w:after="0"/>
              <w:rPr>
                <w:sz w:val="20"/>
                <w:szCs w:val="20"/>
                <w:color w:val="auto"/>
              </w:rPr>
            </w:pPr>
            <w:r>
              <w:rPr>
                <w:rFonts w:ascii="Arial" w:cs="Arial" w:eastAsia="Arial" w:hAnsi="Arial"/>
                <w:sz w:val="18"/>
                <w:szCs w:val="18"/>
                <w:color w:val="auto"/>
                <w:w w:val="93"/>
              </w:rPr>
              <w:t>Research and development</w:t>
            </w:r>
          </w:p>
        </w:tc>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14,623,068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14,659,941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6"/>
              </w:rPr>
              <w:t>General and administrative</w:t>
            </w:r>
          </w:p>
        </w:tc>
        <w:tc>
          <w:tcPr>
            <w:tcW w:w="5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6,526,752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6,686,852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Pr>
          <w:p>
            <w:pPr>
              <w:jc w:val="right"/>
              <w:ind w:right="650"/>
              <w:spacing w:after="0"/>
              <w:rPr>
                <w:sz w:val="20"/>
                <w:szCs w:val="20"/>
                <w:color w:val="auto"/>
              </w:rPr>
            </w:pPr>
            <w:r>
              <w:rPr>
                <w:rFonts w:ascii="Arial" w:cs="Arial" w:eastAsia="Arial" w:hAnsi="Arial"/>
                <w:sz w:val="18"/>
                <w:szCs w:val="18"/>
                <w:color w:val="auto"/>
              </w:rPr>
              <w:t>Total operating expenses</w:t>
            </w:r>
          </w:p>
        </w:tc>
        <w:tc>
          <w:tcPr>
            <w:tcW w:w="5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21,149,820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21,346,793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(20,649,820)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(20,846,793)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60"/>
          </w:cols>
          <w:pgMar w:left="240" w:top="580" w:right="199" w:bottom="1440" w:gutter="0" w:footer="0" w:header="0"/>
        </w:sect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(loss) from valuation of earn-out milestone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Loss from impairment of in-process research and development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from valuation of common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Investment income,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720" w:type="dxa"/>
        <w:tblCellMar>
          <w:top w:w="0" w:type="dxa"/>
          <w:left w:w="0" w:type="dxa"/>
          <w:bottom w:w="0" w:type="dxa"/>
          <w:right w:w="0" w:type="dxa"/>
        </w:tblCellMar>
      </w:tblPr>
      <w:tr>
        <w:trPr>
          <w:trHeight w:val="207"/>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733,186</w:t>
            </w:r>
          </w:p>
        </w:tc>
        <w:tc>
          <w:tcPr>
            <w:tcW w:w="1200" w:type="dxa"/>
            <w:vAlign w:val="bottom"/>
          </w:tcPr>
          <w:p>
            <w:pPr>
              <w:jc w:val="right"/>
              <w:spacing w:after="0"/>
              <w:rPr>
                <w:sz w:val="20"/>
                <w:szCs w:val="20"/>
                <w:color w:val="auto"/>
              </w:rPr>
            </w:pPr>
            <w:r>
              <w:rPr>
                <w:rFonts w:ascii="Arial" w:cs="Arial" w:eastAsia="Arial" w:hAnsi="Arial"/>
                <w:sz w:val="18"/>
                <w:szCs w:val="18"/>
                <w:color w:val="auto"/>
              </w:rPr>
              <w:t>(257,702)</w:t>
            </w:r>
          </w:p>
        </w:tc>
      </w:tr>
      <w:tr>
        <w:trPr>
          <w:trHeight w:val="258"/>
        </w:trPr>
        <w:tc>
          <w:tcPr>
            <w:tcW w:w="1340" w:type="dxa"/>
            <w:vAlign w:val="bottom"/>
          </w:tcPr>
          <w:p>
            <w:pPr>
              <w:jc w:val="right"/>
              <w:ind w:right="410"/>
              <w:spacing w:after="0"/>
              <w:rPr>
                <w:sz w:val="20"/>
                <w:szCs w:val="20"/>
                <w:color w:val="auto"/>
              </w:rPr>
            </w:pPr>
            <w:r>
              <w:rPr>
                <w:rFonts w:ascii="Arial" w:cs="Arial" w:eastAsia="Arial" w:hAnsi="Arial"/>
                <w:sz w:val="18"/>
                <w:szCs w:val="18"/>
                <w:color w:val="auto"/>
                <w:w w:val="89"/>
              </w:rPr>
              <w:t>(1,444,023)</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2640" w:hanging="1244"/>
        <w:spacing w:after="0"/>
        <w:tabs>
          <w:tab w:leader="none" w:pos="2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(61,246)</w:t>
      </w:r>
    </w:p>
    <w:p>
      <w:pPr>
        <w:spacing w:after="0" w:line="38"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26,922</w:t>
      </w:r>
      <w:r>
        <w:rPr>
          <w:rFonts w:ascii="Arial" w:cs="Arial" w:eastAsia="Arial" w:hAnsi="Arial"/>
          <w:sz w:val="16"/>
          <w:szCs w:val="16"/>
          <w:color w:val="auto"/>
        </w:rPr>
        <w:t>63,588</w:t>
      </w:r>
    </w:p>
    <w:p>
      <w:pPr>
        <w:spacing w:after="0" w:line="7" w:lineRule="exact"/>
        <w:rPr>
          <w:sz w:val="20"/>
          <w:szCs w:val="20"/>
          <w:color w:val="auto"/>
        </w:rPr>
      </w:pPr>
    </w:p>
    <w:p>
      <w:pPr>
        <w:jc w:val="both"/>
        <w:ind w:left="860"/>
        <w:spacing w:after="0"/>
        <w:tabs>
          <w:tab w:leader="none" w:pos="2400" w:val="left"/>
        </w:tabs>
        <w:rPr>
          <w:sz w:val="20"/>
          <w:szCs w:val="20"/>
          <w:color w:val="auto"/>
        </w:rPr>
      </w:pPr>
      <w:r>
        <w:rPr>
          <w:rFonts w:ascii="Arial" w:cs="Arial" w:eastAsia="Arial" w:hAnsi="Arial"/>
          <w:sz w:val="18"/>
          <w:szCs w:val="18"/>
          <w:color w:val="auto"/>
        </w:rPr>
        <w:t>(722,993)</w:t>
      </w:r>
      <w:r>
        <w:rPr>
          <w:sz w:val="20"/>
          <w:szCs w:val="20"/>
          <w:color w:val="auto"/>
        </w:rPr>
        <w:tab/>
      </w:r>
      <w:r>
        <w:rPr>
          <w:rFonts w:ascii="Arial" w:cs="Arial" w:eastAsia="Arial" w:hAnsi="Arial"/>
          <w:sz w:val="18"/>
          <w:szCs w:val="18"/>
          <w:color w:val="auto"/>
        </w:rPr>
        <w:t>(1,357,182)</w:t>
      </w:r>
    </w:p>
    <w:p>
      <w:pPr>
        <w:spacing w:after="0" w:line="9" w:lineRule="exact"/>
        <w:rPr>
          <w:sz w:val="20"/>
          <w:szCs w:val="20"/>
          <w:color w:val="auto"/>
        </w:rPr>
      </w:pPr>
    </w:p>
    <w:p>
      <w:pPr>
        <w:jc w:val="both"/>
        <w:ind w:left="1100"/>
        <w:spacing w:after="0"/>
        <w:tabs>
          <w:tab w:leader="none" w:pos="2700" w:val="left"/>
        </w:tabs>
        <w:rPr>
          <w:sz w:val="20"/>
          <w:szCs w:val="20"/>
          <w:color w:val="auto"/>
        </w:rPr>
      </w:pPr>
      <w:r>
        <w:rPr>
          <w:rFonts w:ascii="Arial" w:cs="Arial" w:eastAsia="Arial" w:hAnsi="Arial"/>
          <w:sz w:val="18"/>
          <w:szCs w:val="18"/>
          <w:color w:val="auto"/>
        </w:rPr>
        <w:t>3,002</w:t>
      </w:r>
      <w:r>
        <w:rPr>
          <w:sz w:val="20"/>
          <w:szCs w:val="20"/>
          <w:color w:val="auto"/>
        </w:rPr>
        <w:tab/>
      </w:r>
      <w:r>
        <w:rPr>
          <w:rFonts w:ascii="Arial" w:cs="Arial" w:eastAsia="Arial" w:hAnsi="Arial"/>
          <w:sz w:val="18"/>
          <w:szCs w:val="18"/>
          <w:color w:val="auto"/>
        </w:rPr>
        <w:t>(1,749)</w:t>
      </w:r>
    </w:p>
    <w:p>
      <w:pPr>
        <w:spacing w:after="0" w:line="9" w:lineRule="exact"/>
        <w:rPr>
          <w:sz w:val="20"/>
          <w:szCs w:val="20"/>
          <w:color w:val="auto"/>
        </w:rPr>
      </w:pPr>
    </w:p>
    <w:p>
      <w:pPr>
        <w:jc w:val="both"/>
        <w:ind w:left="720"/>
        <w:spacing w:after="0"/>
        <w:tabs>
          <w:tab w:leader="none" w:pos="2400" w:val="left"/>
        </w:tabs>
        <w:rPr>
          <w:sz w:val="20"/>
          <w:szCs w:val="20"/>
          <w:color w:val="auto"/>
        </w:rPr>
      </w:pPr>
      <w:r>
        <w:rPr>
          <w:rFonts w:ascii="Arial" w:cs="Arial" w:eastAsia="Arial" w:hAnsi="Arial"/>
          <w:sz w:val="18"/>
          <w:szCs w:val="18"/>
          <w:color w:val="auto"/>
        </w:rPr>
        <w:t>(1,403,906)</w:t>
      </w:r>
      <w:r>
        <w:rPr>
          <w:sz w:val="20"/>
          <w:szCs w:val="20"/>
          <w:color w:val="auto"/>
        </w:rPr>
        <w:tab/>
      </w:r>
      <w:r>
        <w:rPr>
          <w:rFonts w:ascii="Arial" w:cs="Arial" w:eastAsia="Arial" w:hAnsi="Arial"/>
          <w:sz w:val="18"/>
          <w:szCs w:val="18"/>
          <w:color w:val="auto"/>
        </w:rPr>
        <w:t>(1,614,291)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023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620" w:val="left"/>
          <w:tab w:leader="none" w:pos="170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(22,053,726)</w:t>
        <w:tab/>
        <w:t>$</w:t>
      </w:r>
      <w:r>
        <w:rPr>
          <w:sz w:val="20"/>
          <w:szCs w:val="20"/>
          <w:color w:val="auto"/>
        </w:rPr>
        <w:tab/>
      </w:r>
      <w:r>
        <w:rPr>
          <w:rFonts w:ascii="Arial" w:cs="Arial" w:eastAsia="Arial" w:hAnsi="Arial"/>
          <w:sz w:val="16"/>
          <w:szCs w:val="16"/>
          <w:color w:val="auto"/>
        </w:rPr>
        <w:t>(22,461,084)</w:t>
      </w:r>
    </w:p>
    <w:p>
      <w:pPr>
        <w:spacing w:after="0" w:line="24" w:lineRule="exact"/>
        <w:rPr>
          <w:sz w:val="20"/>
          <w:szCs w:val="20"/>
          <w:color w:val="auto"/>
        </w:rPr>
      </w:pPr>
    </w:p>
    <w:p>
      <w:pPr>
        <w:sectPr>
          <w:pgSz w:w="11900" w:h="16838" w:orient="portrait"/>
          <w:cols w:equalWidth="0" w:num="2">
            <w:col w:w="7400" w:space="720"/>
            <w:col w:w="3340"/>
          </w:cols>
          <w:pgMar w:left="240" w:top="580" w:right="19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Net loss per common share – basic and diluted</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(0.85)</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 – basic and diluted</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25,956,751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21,813,228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jc w:val="center"/>
              <w:ind w:left="3490"/>
              <w:spacing w:after="0"/>
              <w:rPr>
                <w:sz w:val="20"/>
                <w:szCs w:val="20"/>
                <w:color w:val="auto"/>
              </w:rPr>
            </w:pPr>
            <w:r>
              <w:rPr>
                <w:rFonts w:ascii="Arial" w:cs="Arial" w:eastAsia="Arial" w:hAnsi="Arial"/>
                <w:sz w:val="18"/>
                <w:szCs w:val="18"/>
                <w:color w:val="auto"/>
                <w:w w:val="89"/>
              </w:rPr>
              <w:t>See accompanying notes to the financial statements.</w:t>
            </w: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60" w:type="dxa"/>
            <w:vAlign w:val="bottom"/>
          </w:tcPr>
          <w:p>
            <w:pPr>
              <w:jc w:val="center"/>
              <w:ind w:left="3470"/>
              <w:spacing w:after="0"/>
              <w:rPr>
                <w:sz w:val="20"/>
                <w:szCs w:val="20"/>
                <w:color w:val="auto"/>
              </w:rPr>
            </w:pPr>
            <w:r>
              <w:rPr>
                <w:rFonts w:ascii="Arial" w:cs="Arial" w:eastAsia="Arial" w:hAnsi="Arial"/>
                <w:sz w:val="18"/>
                <w:szCs w:val="18"/>
                <w:color w:val="auto"/>
                <w:w w:val="96"/>
              </w:rPr>
              <w:t>F-5</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type w:val="continuous"/>
        </w:sectPr>
      </w:pPr>
    </w:p>
    <w:bookmarkStart w:id="64" w:name="page65"/>
    <w:bookmarkEnd w:id="64"/>
    <w:p>
      <w:pPr>
        <w:jc w:val="center"/>
        <w:ind w:right="4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(22,053,726)</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(22,461,084)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Realized loss (gain) on investment securities recognized in investment income, net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 on investment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(22,049,868)</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(22,448,910)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jc w:val="center"/>
              <w:ind w:left="3470"/>
              <w:spacing w:after="0"/>
              <w:rPr>
                <w:sz w:val="20"/>
                <w:szCs w:val="20"/>
                <w:color w:val="auto"/>
              </w:rPr>
            </w:pPr>
            <w:r>
              <w:rPr>
                <w:rFonts w:ascii="Arial" w:cs="Arial" w:eastAsia="Arial" w:hAnsi="Arial"/>
                <w:sz w:val="18"/>
                <w:szCs w:val="18"/>
                <w:color w:val="auto"/>
                <w:w w:val="88"/>
              </w:rPr>
              <w:t>See accompanying notes to the financial statements</w:t>
            </w: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820" w:type="dxa"/>
            <w:vAlign w:val="bottom"/>
          </w:tcPr>
          <w:p>
            <w:pPr>
              <w:jc w:val="center"/>
              <w:ind w:left="3470"/>
              <w:spacing w:after="0"/>
              <w:rPr>
                <w:sz w:val="20"/>
                <w:szCs w:val="20"/>
                <w:color w:val="auto"/>
              </w:rPr>
            </w:pPr>
            <w:r>
              <w:rPr>
                <w:rFonts w:ascii="Arial" w:cs="Arial" w:eastAsia="Arial" w:hAnsi="Arial"/>
                <w:sz w:val="18"/>
                <w:szCs w:val="18"/>
                <w:color w:val="auto"/>
                <w:w w:val="96"/>
              </w:rPr>
              <w:t>F-6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8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1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(22,053,726)</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(22,461,084)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items included in net loss: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1,022,829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424,966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earn-out milestone liability</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(733,186)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Impairment of in-process 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1,444,023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common stock warrant liability</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1,511,023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1,849,811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out of treasury</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Amortization of deferred finance charges and debt discount associated with note payable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438,717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patent license fee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deferred rent liability</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(35,245)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realized on sale of investment securities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changes in:</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 on investments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(14,855)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246,401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accrued liabilities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563,987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(18,379,364)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(20,830,563)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 securities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(4,511,784)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(21,074,871)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13,635,000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34,460,825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Refund on security for letter of credit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(62,503)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(109,341)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9,060,713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13,326,613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6,775,016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7,736,443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note payable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(4,099,847)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(3,654,230)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2,677,669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4,082,213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(6,640,982)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(3,421,737)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9,265,144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12,686,881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2,624,162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9,265,144</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486,327</w:t>
            </w:r>
          </w:p>
        </w:tc>
        <w:tc>
          <w:tcPr>
            <w:tcW w:w="12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918,465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400" w:type="dxa"/>
            <w:vAlign w:val="bottom"/>
            <w:gridSpan w:val="2"/>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3800"/>
              <w:spacing w:after="0"/>
              <w:rPr>
                <w:sz w:val="20"/>
                <w:szCs w:val="20"/>
                <w:color w:val="auto"/>
              </w:rPr>
            </w:pPr>
            <w:r>
              <w:rPr>
                <w:rFonts w:ascii="Arial" w:cs="Arial" w:eastAsia="Arial" w:hAnsi="Arial"/>
                <w:sz w:val="18"/>
                <w:szCs w:val="18"/>
                <w:color w:val="auto"/>
              </w:rPr>
              <w:t>See accompanying notes to the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96"/>
              </w:rPr>
              <w:t>F-7</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3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Accum.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3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Additional</w:t>
            </w:r>
          </w:p>
        </w:tc>
        <w:tc>
          <w:tcPr>
            <w:tcW w:w="22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1"/>
              </w:rPr>
              <w:t>Paid in</w:t>
            </w: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1"/>
              </w:rPr>
              <w:t>Compr.</w:t>
            </w:r>
          </w:p>
        </w:tc>
        <w:tc>
          <w:tcPr>
            <w:tcW w:w="120" w:type="dxa"/>
            <w:vAlign w:val="bottom"/>
          </w:tcPr>
          <w:p>
            <w:pPr>
              <w:spacing w:after="0"/>
              <w:rPr>
                <w:sz w:val="16"/>
                <w:szCs w:val="16"/>
                <w:color w:val="auto"/>
              </w:rPr>
            </w:pPr>
          </w:p>
        </w:tc>
        <w:tc>
          <w:tcPr>
            <w:tcW w:w="13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Capital</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January 1, 2015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19,984,203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200,976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229,778,703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(2,064,609)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(195,073,702)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32,825,336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(22,461,084)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(22,461,084)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Registered Direct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ATM</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3,283,608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32,836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7,703,607</w:t>
            </w:r>
          </w:p>
        </w:tc>
        <w:tc>
          <w:tcPr>
            <w:tcW w:w="76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7,736,443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Expiration of reset</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provision of the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warrants issued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in connection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with the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November 2013</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Hercules Loan</w:t>
            </w: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336,254</w:t>
            </w: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336,254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Unrealized gain on</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expense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1,828,896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1,828,896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37,476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(37,476)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682,304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(595,574)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86,730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out of treasury</w:t>
            </w: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w:t>
            </w: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23,319,287</w:t>
            </w:r>
          </w:p>
        </w:tc>
        <w:tc>
          <w:tcPr>
            <w:tcW w:w="140" w:type="dxa"/>
            <w:vAlign w:val="bottom"/>
            <w:vMerge w:val="restart"/>
            <w:shd w:val="clear" w:color="auto" w:fill="CCEEFF"/>
          </w:tcPr>
          <w:p>
            <w:pPr>
              <w:spacing w:after="0"/>
              <w:rPr>
                <w:sz w:val="18"/>
                <w:szCs w:val="18"/>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233,952</w:t>
            </w:r>
          </w:p>
        </w:tc>
        <w:tc>
          <w:tcPr>
            <w:tcW w:w="30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95"/>
              </w:rPr>
              <w:t>239,668,235</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75,924</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5"/>
              </w:rPr>
              <w:t>(1,382,305)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(3,858)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4"/>
              </w:rPr>
              <w:t>(218,130,360)</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20,385,664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2015</w:t>
            </w:r>
          </w:p>
        </w:tc>
        <w:tc>
          <w:tcPr>
            <w:tcW w:w="9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Outstanding</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2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Paid in</w:t>
            </w: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Compr.</w:t>
            </w:r>
          </w:p>
        </w:tc>
        <w:tc>
          <w:tcPr>
            <w:tcW w:w="12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1, 2016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23,319,287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233,952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$ 239,668,235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(1,382,305)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(218,130,360)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20,385,664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(22,053,726)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(22,053,726)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Registered Direct common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offerings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7,454,607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74,546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6,700,470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6,775,016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Conversion of common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stock warrants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and losses, net, 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expense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1,332,838</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9"/>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71,245</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(71,245)</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7"/>
              </w:rPr>
              <w:t>1,297,117</w:t>
            </w: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(1,195,626)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101,491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out of treasury</w:t>
            </w: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2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31,221,657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312,263</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247,878,463</w:t>
            </w:r>
          </w:p>
        </w:tc>
        <w:tc>
          <w:tcPr>
            <w:tcW w:w="2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4,679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(85,188)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8"/>
              </w:rPr>
              <w:t>$ (241,379,712)</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6,725,826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2016</w:t>
            </w:r>
          </w:p>
        </w:tc>
        <w:tc>
          <w:tcPr>
            <w:tcW w:w="11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THE YEARS ENDED DECEMBER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development stage oncology drug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GEN-1,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of Celsion have been prepared in accordance with generally accepted accounting principles (“GAAP”) in the United States and include the accounts of the Company and CLSN Laboratories, Inc. All intercompany balances and transactions have been eliminated. The preparation of financial statements in conformity with GAAP requires management to make judgments, estimates, and assumptions that affect the amount reported in the Company’s financial statements and accompanying notes. Actual results could differ materially from these estimates.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Events and conditions arising subsequent to the most recent balance sheet date through the date of the issuance of these consolidated financial statements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each collaborative agreement that includes milestone payments, the Company evaluates whether each milestone is substantive on the basis of the contingent nature of the milestone, specifically reviewing factors such as the scientific and other risks that must be overcome to achieve the milestone, as well as the level of effort and investment required. Milestones that are not considered substantive and that do not meet the separation criteria are accounted for as license payments and recognized on a straight-line basis over the remaining period of performance. Payments received or reasonably assured after performance obligations are met completely are recognized as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and investments purchased with an original maturity of three months or less. A portion of these funds are not covered by FDIC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Investment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 securities approximate their respective fair values.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Short Term Investments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classifies its investments in marketable securities with readily determinable fair values as investments available-for-sale in accordance with Accounting Standards Codification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Available-for-sale securities consist of debt and equity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 term investments consist of corporate bonds and government agency bonds.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$455,000 and $425,000 for the years ended December 31, 2016 and 2015,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Deposits include real property security deposits and other deposits which are contractually required and of a long-term 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purchased several licenses for rights to patented technologies. Patent license costs of $75,000 have been capitalized and are amortized on a straight-line basis over the estimated life of the related patent. As of December 31, 2016 and 2015, the total accumulated amortization expense is $75,000 and $69,375, respectively. The weighted-average amortization period for these assets is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establishes standards for the reporting and display of comprehensive income (loss) and its components in the Company’s consolidated financial statements. The objective of ASC 220 is to report a measure (comprehensive income (loss)) of all changes in equity of an enterprise that result from transactions and other economic events in a period other than transactions with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year ended December 31, 2016, the total number of shares of common stock issuable upon exercise of warrants and equity awards was 23,831,883. The Pre-funded Series B Warrants (as more fully described in Note 10 of these financial statements) are convertible into shares of the Company’s common stock totaling 1,850,000 are considered issued in calculating basic loss per share. For the year ended December 31, 2016, diluted loss per common share was the same as basic loss per common share as the other 21,984,210 warrants and equity awards that were convertible into shares of the Company’s common stock were excluded from the calculation of diluted earnings per common share as their effect would have been anti-dilutive.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2015, the total number of shares of common stock issuable upon exercise of warrants and equity awards was 8,116,015. For the year ended December 31, 2015, diluted loss per common share was the same as basic loss per common share as all options and all warrants that were convertible into shares of the Company’s common stock were excluded from the calculation of diluted earnings attributable to common stockholders per common share as their effect would have been anti-dilutive.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costs for all stock-based awards are measured at fair value on the date of the grant and recognized over the service period for awards expected to vest. The estimation of stock-based awards that will ultimately vest requires judgment, and to the extent actual results or updated estimates differ from the current estimates, such amounts will be recorded as cumulative adjustments in the period estimates are revised. We consider many factors when estimating expected forfeitures, including types of awards, employee class, and historical experience.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Reclassifications</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reclassifications have been made to prior year financial statements to conform to classifications used in the current year. These classifications had no impact on net loss, stockholders’ equity or cash flows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8" w:lineRule="auto"/>
        <w:tabs>
          <w:tab w:leader="none" w:pos="381" w:val="left"/>
        </w:tabs>
        <w:numPr>
          <w:ilvl w:val="0"/>
          <w:numId w:val="38"/>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2016-8, “Revenue from Contracts with Customers (Topic 606): Principal versus Agent Considerations. The amendments in this ASU do not change the core principle of ASU No. 2014-09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The standard allows for either “full retrospective” adoption, meaning the standard is applied to all of the periods presented, or “modified retrospective” adoption, meaning the standard is applied only to the most current period presented in the financial statements. The Company is currently evaluating the impact of adopting these standards and at this point, nothing has come to the Company’s attention that would indicate the adoption of these standards will have a material impact on the Company’s consolidated financial statements, however the adoption of these standards may have a material impact on the Company’s disclosures.</w:t>
      </w:r>
    </w:p>
    <w:p>
      <w:pPr>
        <w:spacing w:after="0" w:line="23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In August 2014, the FASB issued </w:t>
      </w:r>
      <w:r>
        <w:rPr>
          <w:rFonts w:ascii="Arial" w:cs="Arial" w:eastAsia="Arial" w:hAnsi="Arial"/>
          <w:sz w:val="17"/>
          <w:szCs w:val="17"/>
          <w:i w:val="1"/>
          <w:iCs w:val="1"/>
          <w:color w:val="auto"/>
        </w:rPr>
        <w:t>ASU No. 2014-15, Presentation of Financial Statements – Going Concern</w:t>
      </w:r>
      <w:r>
        <w:rPr>
          <w:rFonts w:ascii="Arial" w:cs="Arial" w:eastAsia="Arial" w:hAnsi="Arial"/>
          <w:sz w:val="17"/>
          <w:szCs w:val="17"/>
          <w:color w:val="auto"/>
        </w:rPr>
        <w:t>. This ASU requires entities to evaluate for each annual and interim reporting period, whether there are conditions or events, considered in the aggregate, that raise substantial doubt about the entity’s ability to continue as a going concern within one year after the date that the financial statements are issued (or within one year after the date that the financial statements are available to be issued when applicable.) The ASU was effective for annual reporting periods after December 15, 2016. The adoption of this ASU did not have a material effect on the Company’s consolidated financial statements.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the FASB issued Accounting Standards Update No. 2015-03 Interest – Imputation of Interest (ASU Subtopic 835-30). The new standard requires that debt issuance costs related to a recognized debt liability be presented in the balance sheet as a direct deduction from the carrying amount of that debt liability, consistent with debt discounts. ASU Subtopic 835-30 became effective for the Company beginning January 1, 2016 and was applied retrospectively. This adoption resulted in the reclassification of unamortized deferred financing fees related to the Company’s notes payable from other assets totaling $3,517 and $26,131 as of December 31, 2016 and December 31, 2015, respectively.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the equity method of accounting). This guidance is effective for fiscal years, and interim periods within those years, beginning after December 15, 2017. The Company is currently assessing the impact of the adoption of this guidance on its consolidated financial statements and disclosures.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 and disclosures.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2016, the FASB issued Accounting Standards Update No 2016-09, Compensation – Stock Compensation (Topic 718). The new standard simplifies several aspects of the accounting for employee share-based payment transactions, including the accounting for income taxes, forfeitures, and statutory tax withholding requirements, as well as classification in the statement of cash flows. The new standard is effective for public companies for annual reporting periods beginning after December 15, 2016, including interim periods within those annual reporting periods; however, early adoption is allowed. The Company is currently evaluating the impact of the pending adoption of the new standard on the Company’s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2. FINANCIAL CONDITION AND GOING CONCERN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We have not generated significant revenue and have incurred significant net losses in each year since our inception. For the year ended December 31, 2016, we had a net loss of $22.1 million and used $18.4 million to fund operations. We have incurred approximately $241 million of cumulated net losses. As of December 31, 2016, we had approximately $4.3 million in cash and cash equivalents and investment securities.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The Company expects that its operating results will fluctuate significantly in the future and will depend on a number of factors, many of which are outside the Company’s control.</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need substantial additional funding in order to complete the development, testing and commercialization of its oncology product candidates and we have made a significant commitment to heat-activated liposome research and development projects. It is our intention at least to maintain the pace and scope of these development activities.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have been prepared on the going concern basis. In making this assessment, management conducted a comprehensive review of the Company’s business plan including, but not limited to:</w:t>
      </w:r>
    </w:p>
    <w:p>
      <w:pPr>
        <w:spacing w:after="0" w:line="1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financial position for the year ended December 31,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events and transaction the Company has entered into since December 31,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Company’s cash flow and cash usage forecasts for the period one year from the issuance date of the this Annual Report on Form 10-K;</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the monthly payments of the note payable totaling $2.6 million at December 31, 2016;</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capitalization structure including common stock outstanding and common stock issuable on exercise of warrants and equity awards, and other common stock issuable under equity plans;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support of the Company’s stockholders and lender.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uncertainties involved in our business,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 Our estimated future capital requirements are uncertain and could change materially as a result of many factors, including the progress of our research, development, clinical, manufacturing, and commercialization activities.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has determined the Company has suffered recurring losses from operations and has an accumulated deficit that raises substantial doubt about our ability to continue as a going concern for the next twelve months from our issuance date. The report of our independent registered public accounting firm for the year ended December 31, 2016 includes an explanatory paragraph, which expresses substantial doubt about our ability to continue as a going concern. The financial statements do not include any adjustments that might result from the outcome of the uncertainty.</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201"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February 14, 2017, the Company raised approximately $5.0 million in gross proceeds through a public offering of its common stock and warrants to purchase common stock (see Note 18);</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will request an increase of its authorized shares sufficient to allow for the funding of its clinical programs at its next Annual Meeting of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$7.5 million under a controlled equity offering facility (see Note 10)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has assessed its current expenditures and will be reducing the current spending requirements where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will pursue additional capital funding in the public and private markets through equity sales and/or debt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will pursue possible partnerships and collaborations;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will pursue potential out licensing for its drug candidates.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491" w:gutter="0" w:footer="0" w:header="0"/>
        </w:sectPr>
      </w:pPr>
    </w:p>
    <w:bookmarkStart w:id="73" w:name="page74"/>
    <w:bookmarkEnd w:id="73"/>
    <w:p>
      <w:pPr>
        <w:jc w:val="both"/>
        <w:ind w:right="40"/>
        <w:spacing w:after="0" w:line="286" w:lineRule="auto"/>
        <w:rPr>
          <w:sz w:val="20"/>
          <w:szCs w:val="20"/>
          <w:color w:val="auto"/>
        </w:rPr>
      </w:pPr>
      <w:r>
        <w:rPr>
          <w:rFonts w:ascii="Arial" w:cs="Arial" w:eastAsia="Arial" w:hAnsi="Arial"/>
          <w:sz w:val="17"/>
          <w:szCs w:val="17"/>
          <w:color w:val="auto"/>
        </w:rPr>
        <w:t>Our ability to continue as a going concern may depend on our ability to raise additional capital, attain further operating efficiencies, reduce expenditures, and, ultimately, to generate revenue. There are no assurances that these future funding and operating efforts will be successful. If management is unsuccessful in these efforts, our current capital is not expected to be sufficient to fund our operations for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 TERM INVESTMENTS AVAILABLE FOR SALE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Short term investments available for sale of $1,680,000 and $10,799,890 as of December 31, 2016 and 2015, respectively, consist of money market funds, commercial paper, corporate debt securities, and government agency debt securities. They are valued at estimated fair value, with unrealized gains and losses reported as a separate component of stockholders’ equity in accumulated other comprehensive loss.</w:t>
      </w:r>
    </w:p>
    <w:p>
      <w:pPr>
        <w:spacing w:after="0" w:line="18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ind w:left="280"/>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tcPr>
          <w:p>
            <w:pPr>
              <w:spacing w:after="0"/>
              <w:rPr>
                <w:sz w:val="20"/>
                <w:szCs w:val="20"/>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 2015</w:t>
            </w:r>
          </w:p>
        </w:tc>
      </w:tr>
      <w:tr>
        <w:trPr>
          <w:trHeight w:val="210"/>
        </w:trPr>
        <w:tc>
          <w:tcPr>
            <w:tcW w:w="60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1,680,000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1,680,000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4,798,810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Bonds - corporate issuances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6,003,748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6,001,080</w:t>
            </w:r>
          </w:p>
        </w:tc>
      </w:tr>
      <w:tr>
        <w:trPr>
          <w:trHeight w:val="20"/>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1,680,000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1,680,000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10,803,748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10,799,890</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ind w:left="280"/>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tcPr>
          <w:p>
            <w:pPr>
              <w:spacing w:after="0"/>
              <w:rPr>
                <w:sz w:val="20"/>
                <w:szCs w:val="20"/>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 2015</w:t>
            </w:r>
          </w:p>
        </w:tc>
      </w:tr>
      <w:tr>
        <w:trPr>
          <w:trHeight w:val="210"/>
        </w:trPr>
        <w:tc>
          <w:tcPr>
            <w:tcW w:w="60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Within 3 months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1,680,000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1,680,000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10,803,748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10,799,890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1,680,000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1,680,000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10,803,748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10,799,890</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18"/>
                <w:szCs w:val="18"/>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3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186,322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Accretion of investment premium</w:t>
            </w:r>
          </w:p>
        </w:tc>
        <w:tc>
          <w:tcPr>
            <w:tcW w:w="3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(3,808)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(122,998)</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(Losses) gains on investment maturity and sales, net</w:t>
            </w:r>
          </w:p>
        </w:tc>
        <w:tc>
          <w:tcPr>
            <w:tcW w:w="3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8"/>
                <w:szCs w:val="18"/>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660" w:type="dxa"/>
            <w:vAlign w:val="bottom"/>
          </w:tcPr>
          <w:p>
            <w:pPr>
              <w:ind w:left="180"/>
              <w:spacing w:after="0"/>
              <w:rPr>
                <w:sz w:val="20"/>
                <w:szCs w:val="20"/>
                <w:color w:val="auto"/>
              </w:rPr>
            </w:pPr>
            <w:r>
              <w:rPr>
                <w:rFonts w:ascii="Arial" w:cs="Arial" w:eastAsia="Arial" w:hAnsi="Arial"/>
                <w:sz w:val="18"/>
                <w:szCs w:val="18"/>
                <w:color w:val="auto"/>
              </w:rPr>
              <w:t>Investment income net</w:t>
            </w:r>
          </w:p>
        </w:tc>
        <w:tc>
          <w:tcPr>
            <w:tcW w:w="346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26,922</w:t>
            </w: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63,588</w:t>
            </w:r>
          </w:p>
        </w:tc>
        <w:tc>
          <w:tcPr>
            <w:tcW w:w="4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6"/>
        </w:trPr>
        <w:tc>
          <w:tcPr>
            <w:tcW w:w="4660" w:type="dxa"/>
            <w:vAlign w:val="bottom"/>
          </w:tcPr>
          <w:p>
            <w:pPr>
              <w:spacing w:after="0"/>
              <w:rPr>
                <w:sz w:val="24"/>
                <w:szCs w:val="24"/>
                <w:color w:val="auto"/>
              </w:rPr>
            </w:pPr>
          </w:p>
        </w:tc>
        <w:tc>
          <w:tcPr>
            <w:tcW w:w="4020" w:type="dxa"/>
            <w:vAlign w:val="bottom"/>
            <w:gridSpan w:val="2"/>
          </w:tcPr>
          <w:p>
            <w:pPr>
              <w:jc w:val="right"/>
              <w:ind w:right="2710"/>
              <w:spacing w:after="0"/>
              <w:rPr>
                <w:sz w:val="20"/>
                <w:szCs w:val="20"/>
                <w:color w:val="auto"/>
              </w:rPr>
            </w:pPr>
            <w:r>
              <w:rPr>
                <w:rFonts w:ascii="Arial" w:cs="Arial" w:eastAsia="Arial" w:hAnsi="Arial"/>
                <w:sz w:val="18"/>
                <w:szCs w:val="18"/>
                <w:color w:val="auto"/>
              </w:rPr>
              <w:t>F-15</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6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66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74" w:name="page75"/>
    <w:bookmarkEnd w:id="74"/>
    <w:p>
      <w:pPr>
        <w:jc w:val="both"/>
        <w:spacing w:after="0" w:line="279" w:lineRule="auto"/>
        <w:rPr>
          <w:sz w:val="20"/>
          <w:szCs w:val="20"/>
          <w:color w:val="auto"/>
        </w:rPr>
      </w:pPr>
      <w:r>
        <w:rPr>
          <w:rFonts w:ascii="Arial" w:cs="Arial" w:eastAsia="Arial" w:hAnsi="Arial"/>
          <w:sz w:val="17"/>
          <w:szCs w:val="17"/>
          <w:color w:val="auto"/>
        </w:rPr>
        <w:t>The following table shows the Company’s investment securities gross unrealized losses and fair value by investment category and length of time that individual securities have been in a continuous unrealized loss position at December 31, 2015. The fair value of the each short term investment at December 31, 2016, $1,680,000 in total, was equal to its cost. Therefore, no unrealized gains or losses existed at December 31, 2016. The Company has reviewed individual securities to determine whether a decline in fair value below the amortizable cost basis is other than temporary.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December 31, 2015</w:t>
            </w:r>
          </w:p>
        </w:tc>
      </w:tr>
      <w:tr>
        <w:trPr>
          <w:trHeight w:val="191"/>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6"/>
                <w:szCs w:val="16"/>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Holding Gains</w:t>
            </w:r>
          </w:p>
        </w:tc>
      </w:t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Description of Investment Securities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(Losses)</w:t>
            </w:r>
          </w:p>
        </w:tc>
      </w:tr>
      <w:tr>
        <w:trPr>
          <w:trHeight w:val="210"/>
        </w:trPr>
        <w:tc>
          <w:tcPr>
            <w:tcW w:w="80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1"/>
              </w:rPr>
              <w:t>Available for sale (all unrealized holding gains and losses are less than 12 months at date of measurement)</w:t>
            </w: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Short-term investments with unrealized gains – Certificates of deposit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240,024</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 with unrealized losses – Certificates of deposit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4,558,786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Short-term investments with unrealized losses – Bonds - corporate issuances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6,001,080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(2,668)</w:t>
            </w: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10,799,890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VALUES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FASB Accounting Standards Codification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tier level hierarchy for fair value measurements which requires an entity to maximize the use of observable inputs and minimize the use of unobservable inputs when measuring fair value. The standard describes three levels of inputs that may be used to measure fair value:</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sheets at their estimated fair values primarily due to their short-term nature. There were no transfers of assets of liabilities between Level 1 and Level 2 and no transfers in or out of Level 3 during 2016 or 2015 except for the change in the earn-out milestone liability included in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Assets and liabilities measured at fair value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Recurring items as of December 31, 2016</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tcPr>
          <w:p>
            <w:pPr>
              <w:ind w:left="180"/>
              <w:spacing w:after="0"/>
              <w:rPr>
                <w:sz w:val="20"/>
                <w:szCs w:val="20"/>
                <w:color w:val="auto"/>
              </w:rPr>
            </w:pPr>
            <w:r>
              <w:rPr>
                <w:rFonts w:ascii="Arial" w:cs="Arial" w:eastAsia="Arial" w:hAnsi="Arial"/>
                <w:sz w:val="18"/>
                <w:szCs w:val="18"/>
                <w:color w:val="auto"/>
              </w:rPr>
              <w:t>Investment securities, available for sale</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Recurring items as of December 31, 2015</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tcPr>
          <w:p>
            <w:pPr>
              <w:ind w:left="180"/>
              <w:spacing w:after="0"/>
              <w:rPr>
                <w:sz w:val="20"/>
                <w:szCs w:val="20"/>
                <w:color w:val="auto"/>
              </w:rPr>
            </w:pPr>
            <w:r>
              <w:rPr>
                <w:rFonts w:ascii="Arial" w:cs="Arial" w:eastAsia="Arial" w:hAnsi="Arial"/>
                <w:sz w:val="18"/>
                <w:szCs w:val="18"/>
                <w:color w:val="auto"/>
              </w:rPr>
              <w:t>Investment securities, available for sale</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Recurring items as of December 31, 2016</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Earn-out milestone liability (Note 12)</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60" w:type="dxa"/>
            <w:vAlign w:val="bottom"/>
          </w:tcPr>
          <w:p>
            <w:pPr>
              <w:spacing w:after="0"/>
              <w:rPr>
                <w:sz w:val="20"/>
                <w:szCs w:val="20"/>
                <w:color w:val="auto"/>
              </w:rPr>
            </w:pPr>
            <w:r>
              <w:rPr>
                <w:rFonts w:ascii="Arial" w:cs="Arial" w:eastAsia="Arial" w:hAnsi="Arial"/>
                <w:sz w:val="18"/>
                <w:szCs w:val="18"/>
                <w:color w:val="auto"/>
              </w:rPr>
              <w:t>Recurring items as of December 31, 2015</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Earn-out milestone liability (Note 12)</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60" w:type="dxa"/>
            <w:vAlign w:val="bottom"/>
          </w:tcPr>
          <w:p>
            <w:pPr>
              <w:spacing w:after="0"/>
              <w:rPr>
                <w:sz w:val="20"/>
                <w:szCs w:val="20"/>
                <w:color w:val="auto"/>
              </w:rPr>
            </w:pPr>
            <w:r>
              <w:rPr>
                <w:rFonts w:ascii="Arial" w:cs="Arial" w:eastAsia="Arial" w:hAnsi="Arial"/>
                <w:sz w:val="18"/>
                <w:szCs w:val="18"/>
                <w:b w:val="1"/>
                <w:bCs w:val="1"/>
                <w:color w:val="auto"/>
              </w:rPr>
              <w:t>5. ACQUISITION OF EGEN, INC.</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Quoted Prices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Total Fair</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 Active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Value on</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Markets For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the</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Identical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Observable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9"/>
              </w:rPr>
              <w:t>Unobservable</w:t>
            </w:r>
          </w:p>
        </w:tc>
      </w:tr>
      <w:tr>
        <w:trPr>
          <w:trHeight w:val="216"/>
        </w:trPr>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Assets/Liabilities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r>
      <w:tr>
        <w:trPr>
          <w:trHeight w:val="234"/>
        </w:trPr>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Sheet</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r>
      <w:tr>
        <w:trPr>
          <w:trHeight w:val="642"/>
        </w:trPr>
        <w:tc>
          <w:tcPr>
            <w:tcW w:w="1060" w:type="dxa"/>
            <w:vAlign w:val="bottom"/>
          </w:tcPr>
          <w:p>
            <w:pPr>
              <w:jc w:val="right"/>
              <w:ind w:right="170"/>
              <w:spacing w:after="0"/>
              <w:rPr>
                <w:sz w:val="20"/>
                <w:szCs w:val="20"/>
                <w:color w:val="auto"/>
              </w:rPr>
            </w:pPr>
            <w:r>
              <w:rPr>
                <w:rFonts w:ascii="Arial" w:cs="Arial" w:eastAsia="Arial" w:hAnsi="Arial"/>
                <w:sz w:val="18"/>
                <w:szCs w:val="18"/>
                <w:color w:val="auto"/>
                <w:w w:val="97"/>
              </w:rPr>
              <w:t>1,680,000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1,680,000</w:t>
            </w:r>
          </w:p>
        </w:tc>
        <w:tc>
          <w:tcPr>
            <w:tcW w:w="10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1060" w:type="dxa"/>
            <w:vAlign w:val="bottom"/>
          </w:tcPr>
          <w:p>
            <w:pPr>
              <w:jc w:val="right"/>
              <w:ind w:right="170"/>
              <w:spacing w:after="0"/>
              <w:rPr>
                <w:sz w:val="20"/>
                <w:szCs w:val="20"/>
                <w:color w:val="auto"/>
              </w:rPr>
            </w:pPr>
            <w:r>
              <w:rPr>
                <w:rFonts w:ascii="Arial" w:cs="Arial" w:eastAsia="Arial" w:hAnsi="Arial"/>
                <w:sz w:val="18"/>
                <w:szCs w:val="18"/>
                <w:color w:val="auto"/>
                <w:w w:val="86"/>
              </w:rPr>
              <w:t>10,799,890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10,799,890</w:t>
            </w:r>
          </w:p>
        </w:tc>
        <w:tc>
          <w:tcPr>
            <w:tcW w:w="10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1060" w:type="dxa"/>
            <w:vAlign w:val="bottom"/>
          </w:tcPr>
          <w:p>
            <w:pPr>
              <w:jc w:val="right"/>
              <w:ind w:right="170"/>
              <w:spacing w:after="0"/>
              <w:rPr>
                <w:sz w:val="20"/>
                <w:szCs w:val="20"/>
                <w:color w:val="auto"/>
              </w:rPr>
            </w:pPr>
            <w:r>
              <w:rPr>
                <w:rFonts w:ascii="Arial" w:cs="Arial" w:eastAsia="Arial" w:hAnsi="Arial"/>
                <w:sz w:val="18"/>
                <w:szCs w:val="18"/>
                <w:color w:val="auto"/>
                <w:w w:val="86"/>
              </w:rPr>
              <w:t>13,188,226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13,188,226</w:t>
            </w:r>
          </w:p>
        </w:tc>
      </w:tr>
      <w:tr>
        <w:trPr>
          <w:trHeight w:val="20"/>
        </w:trPr>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1060" w:type="dxa"/>
            <w:vAlign w:val="bottom"/>
          </w:tcPr>
          <w:p>
            <w:pPr>
              <w:jc w:val="right"/>
              <w:ind w:right="170"/>
              <w:spacing w:after="0"/>
              <w:rPr>
                <w:sz w:val="20"/>
                <w:szCs w:val="20"/>
                <w:color w:val="auto"/>
              </w:rPr>
            </w:pPr>
            <w:r>
              <w:rPr>
                <w:rFonts w:ascii="Arial" w:cs="Arial" w:eastAsia="Arial" w:hAnsi="Arial"/>
                <w:sz w:val="18"/>
                <w:szCs w:val="18"/>
                <w:color w:val="auto"/>
                <w:w w:val="86"/>
              </w:rPr>
              <w:t>13,921,412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13,921,412</w:t>
            </w:r>
          </w:p>
        </w:tc>
      </w:tr>
      <w:tr>
        <w:trPr>
          <w:trHeight w:val="20"/>
        </w:trPr>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-1894840</wp:posOffset>
            </wp:positionV>
            <wp:extent cx="72466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-1611630</wp:posOffset>
            </wp:positionV>
            <wp:extent cx="72466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-1311275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-1036955</wp:posOffset>
            </wp:positionV>
            <wp:extent cx="951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-1019810</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-736600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-462280</wp:posOffset>
            </wp:positionV>
            <wp:extent cx="951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-445135</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-162560</wp:posOffset>
            </wp:positionV>
            <wp:extent cx="724662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4860" w:space="540"/>
            <w:col w:w="6020"/>
          </w:cols>
          <w:pgMar w:left="240" w:top="584" w:right="239" w:bottom="1440" w:gutter="0" w:footer="0" w:header="0"/>
        </w:sectPr>
      </w:pP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expense adjustment and issued 2,712,188 shares of its common stock to EGEN. The shares of Celsion’s common stock were issued in a private transaction exempt from registration under the Securities Act of 1933, as amended, pursuant to Section 4(2) thereof. In addition, 670,070 shares of Celsion common stock are issuable to EGEN pending satisfactory resolution of any post-closing adjustments of expenses and EGEN’s indemnification obligations under the EGEN Purchase Agreement (Holdback Shares). A Registration Statement (File No. 333-198786) was filed on September 16, 2014 and declared effective on September 30, 2014 for the resale of the shares of common stock issued and issuable to EGEN under the EGEN Purchase Agreement.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840" w:right="800" w:hanging="292"/>
        <w:spacing w:after="0" w:line="277"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840" w:right="800" w:hanging="292"/>
        <w:spacing w:after="0" w:line="277"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glioblastoma multiforme brain cancer study of GEN-1 to be conducted by the Company or its subsidiary; and</w:t>
      </w:r>
    </w:p>
    <w:p>
      <w:pPr>
        <w:spacing w:after="0" w:line="170" w:lineRule="exact"/>
        <w:rPr>
          <w:rFonts w:ascii="Arial" w:cs="Arial" w:eastAsia="Arial" w:hAnsi="Arial"/>
          <w:sz w:val="18"/>
          <w:szCs w:val="18"/>
          <w:color w:val="auto"/>
        </w:rPr>
      </w:pPr>
    </w:p>
    <w:p>
      <w:pPr>
        <w:ind w:left="840" w:hanging="292"/>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76" w:name="page77"/>
    <w:bookmarkEnd w:id="76"/>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(see Note 8). Celsion used the loan proceeds to pay the upfront cash payment at closing and certain transaction costs incurred by Celsion in connection with the acquisition.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was approximately $27.6 million. Under the acquisition method of accounting, the total purchase price was allocated to EGEN’s net tangible and intangible assets and liabilities based on their estimated fair values as of the acquisition date. The following table summarizes the fair values of these assets acquired and liabilities assumed related to the acquisition.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3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24,211,000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(Covenant not to compete)</w:t>
            </w:r>
          </w:p>
        </w:tc>
        <w:tc>
          <w:tcPr>
            <w:tcW w:w="2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1,591,000</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2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Pr>
          <w:p>
            <w:pPr>
              <w:spacing w:after="0"/>
              <w:rPr>
                <w:sz w:val="18"/>
                <w:szCs w:val="18"/>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(235,000)</w:t>
            </w:r>
          </w:p>
        </w:tc>
      </w:tr>
      <w:tr>
        <w:trPr>
          <w:trHeight w:val="250"/>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is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w:t>
      </w:r>
    </w:p>
    <w:p>
      <w:pPr>
        <w:spacing w:after="0" w:line="171" w:lineRule="exact"/>
        <w:rPr>
          <w:sz w:val="20"/>
          <w:szCs w:val="20"/>
          <w:color w:val="auto"/>
        </w:rPr>
      </w:pPr>
    </w:p>
    <w:p>
      <w:pPr>
        <w:jc w:val="both"/>
        <w:ind w:left="800" w:hanging="333"/>
        <w:spacing w:after="0" w:line="264"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September 30, 2016, after our assessment of the totality of the events that could impair IPR&amp;D, it was the Company’s conclusion “it is not more likely than not” that the indefinite-lived intangible assets are impaired. Therefore, the Company was not required to calculate the fair value of the intangible assets and perform a quantitative impairment test.</w:t>
      </w:r>
    </w:p>
    <w:p>
      <w:pPr>
        <w:spacing w:after="0" w:line="181" w:lineRule="exact"/>
        <w:rPr>
          <w:rFonts w:ascii="Arial" w:cs="Arial" w:eastAsia="Arial" w:hAnsi="Arial"/>
          <w:sz w:val="18"/>
          <w:szCs w:val="18"/>
          <w:color w:val="auto"/>
        </w:rPr>
      </w:pPr>
    </w:p>
    <w:p>
      <w:pPr>
        <w:jc w:val="both"/>
        <w:ind w:left="800" w:hanging="333"/>
        <w:spacing w:after="0" w:line="293"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At December 31, 2016, the Company determined one of the IPR&amp;D assets related to the development of its RNA delivery system being developed with collaborators using their RNA product candidates may be impaired. After reassessment of the September 30, 2016 analysis above, the Company concluded that this asset, valued at $1.4 million, was impaired. Therefore, the Company wrote off the value of this IPR&amp;D asset incurring a non-cash charge of $1.4 million in the fourth quarter of 2016. In connection with the writeoff of this IPR&amp;D asset, the Company concluded there was no probability of payments of the earn-out milestones associated with this asset and therefore reduced the earn-out milestone liability by $0.7 million at the same time. The Company concluded none of the other IPR&amp;D assets were impaired at December 31, 2016.</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end of 2016, the Company concluded the Covenant Not To Compete which was valued at approximately $1.6 million at the date of the EGEN acquisition had a definitive life and should be amortized on a straight line basis over its life of 7 years. Therefore, in the fourth quarter of 2016, the Company recorded a non-cash adjustment of $568,290 representing the cumulative amount of amortization expense from the date of acquisition through the end of 2016. The fair value of the Covenant Not To Compete was $1,022,924 net of $568,290 accumulated amortization as of December 31, 2016 and $1,591,214 as of December 31, 2015.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Following is a schedule of future amortization amounts during the remaining life of the Covenant Not To Compete.</w:t>
            </w:r>
          </w:p>
        </w:tc>
        <w:tc>
          <w:tcPr>
            <w:tcW w:w="160" w:type="dxa"/>
            <w:vAlign w:val="bottom"/>
          </w:tcPr>
          <w:p>
            <w:pPr>
              <w:spacing w:after="0"/>
              <w:rPr>
                <w:sz w:val="20"/>
                <w:szCs w:val="20"/>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198"/>
        </w:trPr>
        <w:tc>
          <w:tcPr>
            <w:tcW w:w="9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w:t>
      </w:r>
    </w:p>
    <w:p>
      <w:pPr>
        <w:spacing w:after="0" w:line="187" w:lineRule="exact"/>
        <w:rPr>
          <w:sz w:val="20"/>
          <w:szCs w:val="20"/>
          <w:color w:val="auto"/>
        </w:rPr>
      </w:pPr>
    </w:p>
    <w:p>
      <w:pPr>
        <w:jc w:val="both"/>
        <w:ind w:left="66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of September 30, 2016, after our assessment of the totality of the events that could impair goodwill, it is the Company’s conclusion “it is not more likely than not” that the Goodwill is impaired. Therefore, the Company was not required to conduct a two-step quantitative goodwill impairment test.</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December 31, 2016, as a result of the substantial doubt in the Company’s ability to continue as a going concern (Note 2), we again reviewed Goodwill for impairment by comparing the Company’s fair value to see if it exceeded its carrying value, known as the Step 1 approach. We concluded that the Company’s fair value exceeded its carrying value, and that measurement for an amount of an impairment loss, known as Step 2, was not required as Goodwill is considered not to be impaired.</w:t>
      </w:r>
    </w:p>
    <w:p>
      <w:pPr>
        <w:sectPr>
          <w:pgSz w:w="11900" w:h="16838" w:orient="portrait"/>
          <w:cols w:equalWidth="0" w:num="1">
            <w:col w:w="11420"/>
          </w:cols>
          <w:pgMar w:left="240" w:top="584" w:right="239" w:bottom="129"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(5-7 year life)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2,459,532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Furniture and fixtures (3-5 year life)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246,507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244,923</w:t>
            </w:r>
          </w:p>
        </w:tc>
        <w:tc>
          <w:tcPr>
            <w:tcW w:w="0" w:type="dxa"/>
            <w:vAlign w:val="bottom"/>
          </w:tcPr>
          <w:p>
            <w:pPr>
              <w:spacing w:after="0"/>
              <w:rPr>
                <w:sz w:val="1"/>
                <w:szCs w:val="1"/>
                <w:color w:val="auto"/>
              </w:rPr>
            </w:pP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 (5-7 year life)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2,975,858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2,913,355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(2,513,022)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(2,058,483)</w:t>
            </w:r>
          </w:p>
        </w:tc>
        <w:tc>
          <w:tcPr>
            <w:tcW w:w="0" w:type="dxa"/>
            <w:vAlign w:val="bottom"/>
          </w:tcPr>
          <w:p>
            <w:pPr>
              <w:spacing w:after="0"/>
              <w:rPr>
                <w:sz w:val="1"/>
                <w:szCs w:val="1"/>
                <w:color w:val="auto"/>
              </w:rPr>
            </w:pPr>
          </w:p>
        </w:tc>
      </w:tr>
      <w:tr>
        <w:trPr>
          <w:trHeight w:val="20"/>
        </w:trPr>
        <w:tc>
          <w:tcPr>
            <w:tcW w:w="8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462,836</w:t>
            </w:r>
          </w:p>
        </w:tc>
        <w:tc>
          <w:tcPr>
            <w:tcW w:w="140" w:type="dxa"/>
            <w:vAlign w:val="bottom"/>
          </w:tcPr>
          <w:p>
            <w:pPr>
              <w:spacing w:after="0"/>
              <w:rPr>
                <w:sz w:val="18"/>
                <w:szCs w:val="18"/>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854,872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7. OTHER ACCRUED 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color w:val="auto"/>
              </w:rPr>
              <w:t>Other accrued liabilities at December 31, 2016 and 2015 include the following:</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1,066,751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947,078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319,200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22,241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62,136</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0"/>
        </w:trPr>
        <w:tc>
          <w:tcPr>
            <w:tcW w:w="8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2,483,756</w:t>
            </w:r>
          </w:p>
        </w:tc>
        <w:tc>
          <w:tcPr>
            <w:tcW w:w="140" w:type="dxa"/>
            <w:vAlign w:val="bottom"/>
          </w:tcPr>
          <w:p>
            <w:pPr>
              <w:spacing w:after="0"/>
              <w:rPr>
                <w:sz w:val="18"/>
                <w:szCs w:val="18"/>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1,919,769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obligations under the Hercules Credit Agreement are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30-month amortization period of principal and interest through the scheduled maturity date of June 1,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jc w:val="both"/>
        <w:ind w:right="40"/>
        <w:spacing w:after="0" w:line="268" w:lineRule="auto"/>
        <w:rPr>
          <w:sz w:val="20"/>
          <w:szCs w:val="20"/>
          <w:color w:val="auto"/>
        </w:rPr>
      </w:pPr>
      <w:r>
        <w:rPr>
          <w:rFonts w:ascii="Arial" w:cs="Arial" w:eastAsia="Arial" w:hAnsi="Arial"/>
          <w:sz w:val="17"/>
          <w:szCs w:val="17"/>
          <w:color w:val="auto"/>
        </w:rPr>
        <w:t>The Company valued the Hercules Warrant issued at the inception of the loan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warrants and concluded the original amount should be reclassified from deferred financing fees and equity. Therefore, other assets and additional paid in capital were both reduced by the $521,763. The Company then valued the warrant for the initial 97,493 shares of the Company’s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Company’s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Company’s common stock on June 10, 2014, the Company assumed a volatility rate of 104%, risk free interest rate of 1.69%, an expected remaining life of 4.5 years, a stock price of $3.07 (closing price June 9, 2014) and no expected forfeitures nor dividends. In 2014, the warrant liability was fair valued at the end of each quarter and the resulting change in fair value will be recognized in net income.</w:t>
      </w:r>
    </w:p>
    <w:p>
      <w:pPr>
        <w:spacing w:after="0" w:line="18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second quarter of 2015, the Company concluded the warrant provision which provided for the exercise price to be adjusted downward as described above had expired. Therefore, the Company valued the warrant at $336,254 immediately prior to this event and recorded non-cash charges to net income of $18,018 and $61,246 in the second quarter and year to date periods of 2015, respectively. The Company also reduced the liability to zero and increased equity by $336,254 at this time.</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the year ended December 31, 2016, the Company incurred $486,327 in interest expense and amortized $236,666 as interest expense for deferred fees, debt discount and end of term charges in connection with the Hercules Credit Agreement. For the year ended December 31, 2015, the Company incurred $918,465 in interest expense and amortized $438,717 as interest expense for deferred fees, debt discount and end of term charges in connection with the Hercules Credit Agreement.</w:t>
      </w:r>
    </w:p>
    <w:p>
      <w:pPr>
        <w:spacing w:after="0" w:line="187"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schedule of future principle payments and end of term fee net of debt discount due on the Hercules Credit Agreement: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62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620" w:type="dxa"/>
            <w:vAlign w:val="bottom"/>
          </w:tcPr>
          <w:p>
            <w:pPr>
              <w:spacing w:after="0"/>
              <w:rPr>
                <w:sz w:val="20"/>
                <w:szCs w:val="20"/>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2,560,553</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2018 and thereafter</w:t>
            </w:r>
          </w:p>
        </w:tc>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r>
      <w:tr>
        <w:trPr>
          <w:trHeight w:val="25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2,560,553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656"/>
        </w:trPr>
        <w:tc>
          <w:tcPr>
            <w:tcW w:w="3480" w:type="dxa"/>
            <w:vAlign w:val="bottom"/>
          </w:tcPr>
          <w:p>
            <w:pPr>
              <w:spacing w:after="0"/>
              <w:rPr>
                <w:sz w:val="24"/>
                <w:szCs w:val="24"/>
                <w:color w:val="auto"/>
              </w:rPr>
            </w:pPr>
          </w:p>
        </w:tc>
        <w:tc>
          <w:tcPr>
            <w:tcW w:w="5900" w:type="dxa"/>
            <w:vAlign w:val="bottom"/>
            <w:gridSpan w:val="2"/>
          </w:tcPr>
          <w:p>
            <w:pPr>
              <w:jc w:val="right"/>
              <w:ind w:right="3425"/>
              <w:spacing w:after="0"/>
              <w:rPr>
                <w:sz w:val="20"/>
                <w:szCs w:val="20"/>
                <w:color w:val="auto"/>
              </w:rPr>
            </w:pPr>
            <w:r>
              <w:rPr>
                <w:rFonts w:ascii="Arial" w:cs="Arial" w:eastAsia="Arial" w:hAnsi="Arial"/>
                <w:sz w:val="18"/>
                <w:szCs w:val="18"/>
                <w:color w:val="auto"/>
              </w:rPr>
              <w:t>F-20</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34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3480" w:type="dxa"/>
            <w:vAlign w:val="bottom"/>
            <w:shd w:val="clear" w:color="auto" w:fill="808080"/>
          </w:tcPr>
          <w:p>
            <w:pPr>
              <w:spacing w:after="0"/>
              <w:rPr>
                <w:sz w:val="5"/>
                <w:szCs w:val="5"/>
                <w:color w:val="auto"/>
              </w:rPr>
            </w:pPr>
          </w:p>
        </w:tc>
        <w:tc>
          <w:tcPr>
            <w:tcW w:w="57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Company’s statutory tax rate to the effective rate for the years ended December 31, 2016 and 2015 is as follows:</w:t>
      </w:r>
    </w:p>
    <w:p>
      <w:pPr>
        <w:sectPr>
          <w:pgSz w:w="11900" w:h="16838" w:orient="portrait"/>
          <w:cols w:equalWidth="0" w:num="1">
            <w:col w:w="11460"/>
          </w:cols>
          <w:pgMar w:left="240" w:top="580"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7768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State taxes, net of federal tax benefit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Recapture of alternative minimum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7768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7768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Company’s deferred tax asset as of December 31, 2016 and 2015 are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5" w:lineRule="exact"/>
        <w:rPr>
          <w:sz w:val="20"/>
          <w:szCs w:val="20"/>
          <w:color w:val="auto"/>
        </w:rPr>
      </w:pPr>
    </w:p>
    <w:p>
      <w:pPr>
        <w:spacing w:after="0"/>
        <w:tabs>
          <w:tab w:leader="none" w:pos="7480" w:val="left"/>
        </w:tabs>
        <w:rPr>
          <w:sz w:val="20"/>
          <w:szCs w:val="20"/>
          <w:color w:val="auto"/>
        </w:rPr>
      </w:pPr>
      <w:r>
        <w:rPr>
          <w:rFonts w:ascii="Arial" w:cs="Arial" w:eastAsia="Arial" w:hAnsi="Arial"/>
          <w:sz w:val="18"/>
          <w:szCs w:val="18"/>
          <w:color w:val="auto"/>
        </w:rPr>
        <w:t>Net operating loss carry forwards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7768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net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2016</w:t>
            </w: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1"/>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34.0%</w:t>
            </w:r>
          </w:p>
        </w:tc>
        <w:tc>
          <w:tcPr>
            <w:tcW w:w="72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Pr>
          <w:p>
            <w:pPr>
              <w:jc w:val="right"/>
              <w:ind w:right="170"/>
              <w:spacing w:after="0"/>
              <w:rPr>
                <w:sz w:val="20"/>
                <w:szCs w:val="20"/>
                <w:color w:val="auto"/>
              </w:rPr>
            </w:pPr>
            <w:r>
              <w:rPr>
                <w:rFonts w:ascii="Arial" w:cs="Arial" w:eastAsia="Arial" w:hAnsi="Arial"/>
                <w:sz w:val="18"/>
                <w:szCs w:val="18"/>
                <w:color w:val="auto"/>
                <w:w w:val="93"/>
              </w:rPr>
              <w:t>(39.5)</w:t>
            </w:r>
          </w:p>
        </w:tc>
        <w:tc>
          <w:tcPr>
            <w:tcW w:w="720" w:type="dxa"/>
            <w:vAlign w:val="bottom"/>
          </w:tcPr>
          <w:p>
            <w:pPr>
              <w:spacing w:after="0"/>
              <w:rPr>
                <w:sz w:val="20"/>
                <w:szCs w:val="20"/>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(39.5)</w:t>
            </w:r>
          </w:p>
        </w:tc>
      </w:tr>
      <w:tr>
        <w:trPr>
          <w:trHeight w:val="20"/>
        </w:trPr>
        <w:tc>
          <w:tcPr>
            <w:tcW w:w="7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40"/>
        </w:trPr>
        <w:tc>
          <w:tcPr>
            <w:tcW w:w="144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w w:val="95"/>
              </w:rPr>
              <w:t>December 31,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411"/>
        </w:trPr>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80,920</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71,557</w:t>
            </w:r>
          </w:p>
        </w:tc>
      </w:tr>
      <w:tr>
        <w:trPr>
          <w:trHeight w:val="230"/>
        </w:trPr>
        <w:tc>
          <w:tcPr>
            <w:tcW w:w="720" w:type="dxa"/>
            <w:vAlign w:val="bottom"/>
          </w:tcPr>
          <w:p>
            <w:pPr>
              <w:jc w:val="right"/>
              <w:ind w:right="130"/>
              <w:spacing w:after="0"/>
              <w:rPr>
                <w:sz w:val="20"/>
                <w:szCs w:val="20"/>
                <w:color w:val="auto"/>
              </w:rPr>
            </w:pPr>
            <w:r>
              <w:rPr>
                <w:rFonts w:ascii="Arial" w:cs="Arial" w:eastAsia="Arial" w:hAnsi="Arial"/>
                <w:sz w:val="18"/>
                <w:szCs w:val="18"/>
                <w:color w:val="auto"/>
              </w:rPr>
              <w:t>2,489</w:t>
            </w:r>
          </w:p>
        </w:tc>
        <w:tc>
          <w:tcPr>
            <w:tcW w:w="720" w:type="dxa"/>
            <w:vAlign w:val="bottom"/>
          </w:tcPr>
          <w:p>
            <w:pPr>
              <w:spacing w:after="0"/>
              <w:rPr>
                <w:sz w:val="20"/>
                <w:szCs w:val="20"/>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4,953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-2117725</wp:posOffset>
            </wp:positionV>
            <wp:extent cx="9607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-1423035</wp:posOffset>
            </wp:positionV>
            <wp:extent cx="960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-1139825</wp:posOffset>
            </wp:positionV>
            <wp:extent cx="9607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-1122680</wp:posOffset>
            </wp:positionV>
            <wp:extent cx="9607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-565150</wp:posOffset>
            </wp:positionV>
            <wp:extent cx="2058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58035"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-419735</wp:posOffset>
            </wp:positionV>
            <wp:extent cx="9607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780" w:space="720"/>
            <w:col w:w="2960"/>
          </w:cols>
          <w:pgMar w:left="240" w:top="580" w:right="19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5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83,409</w:t>
            </w: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76,510</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Valuation allowance</w:t>
            </w:r>
          </w:p>
        </w:tc>
        <w:tc>
          <w:tcPr>
            <w:tcW w:w="5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(83,409)</w:t>
            </w: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(76,510)</w:t>
            </w:r>
          </w:p>
        </w:tc>
      </w:tr>
      <w:tr>
        <w:trPr>
          <w:trHeight w:val="25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At this time, the Company has established a valuation reserve for all of its deferred tax assets. Such tax assets are available to be recognized and benefit future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schedule of net operating loss carry forwards and their year of expiration: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8"/>
                <w:szCs w:val="18"/>
                <w:b w:val="1"/>
                <w:bCs w:val="1"/>
                <w:color w:val="auto"/>
              </w:rPr>
              <w:t>Approximate Amount of Unused</w:t>
            </w:r>
          </w:p>
        </w:tc>
        <w:tc>
          <w:tcPr>
            <w:tcW w:w="5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8"/>
                <w:szCs w:val="18"/>
                <w:b w:val="1"/>
                <w:bCs w:val="1"/>
                <w:color w:val="auto"/>
              </w:rPr>
              <w:t>Operating Loss Carry Forwards</w:t>
            </w:r>
          </w:p>
        </w:tc>
        <w:tc>
          <w:tcPr>
            <w:tcW w:w="540" w:type="dxa"/>
            <w:vAlign w:val="bottom"/>
          </w:tcPr>
          <w:p>
            <w:pPr>
              <w:spacing w:after="0"/>
              <w:rPr>
                <w:sz w:val="18"/>
                <w:szCs w:val="18"/>
                <w:color w:val="auto"/>
              </w:rPr>
            </w:pPr>
          </w:p>
        </w:tc>
        <w:tc>
          <w:tcPr>
            <w:tcW w:w="5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Expiration During</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20" w:type="dxa"/>
            <w:vAlign w:val="bottom"/>
          </w:tcPr>
          <w:p>
            <w:pPr>
              <w:jc w:val="right"/>
              <w:spacing w:after="0"/>
              <w:rPr>
                <w:sz w:val="20"/>
                <w:szCs w:val="20"/>
                <w:color w:val="auto"/>
              </w:rPr>
            </w:pPr>
            <w:r>
              <w:rPr>
                <w:rFonts w:ascii="Arial" w:cs="Arial" w:eastAsia="Arial" w:hAnsi="Arial"/>
                <w:sz w:val="18"/>
                <w:szCs w:val="18"/>
                <w:b w:val="1"/>
                <w:bCs w:val="1"/>
                <w:color w:val="auto"/>
              </w:rPr>
              <w:t>(in $000s)</w:t>
            </w:r>
          </w:p>
        </w:tc>
        <w:tc>
          <w:tcPr>
            <w:tcW w:w="540" w:type="dxa"/>
            <w:vAlign w:val="bottom"/>
          </w:tcPr>
          <w:p>
            <w:pPr>
              <w:spacing w:after="0"/>
              <w:rPr>
                <w:sz w:val="20"/>
                <w:szCs w:val="20"/>
                <w:color w:val="auto"/>
              </w:rPr>
            </w:pPr>
          </w:p>
        </w:tc>
        <w:tc>
          <w:tcPr>
            <w:tcW w:w="5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Year Ended</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jc w:val="right"/>
              <w:ind w:right="1105"/>
              <w:spacing w:after="0"/>
              <w:rPr>
                <w:sz w:val="20"/>
                <w:szCs w:val="20"/>
                <w:color w:val="auto"/>
              </w:rPr>
            </w:pPr>
            <w:r>
              <w:rPr>
                <w:rFonts w:ascii="Arial" w:cs="Arial" w:eastAsia="Arial" w:hAnsi="Arial"/>
                <w:sz w:val="15"/>
                <w:szCs w:val="15"/>
                <w:color w:val="auto"/>
                <w:w w:val="71"/>
              </w:rPr>
              <w:t>$</w:t>
            </w:r>
          </w:p>
        </w:tc>
        <w:tc>
          <w:tcPr>
            <w:tcW w:w="3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540" w:type="dxa"/>
            <w:vAlign w:val="bottom"/>
            <w:shd w:val="clear" w:color="auto" w:fill="CCEEFF"/>
          </w:tcPr>
          <w:p>
            <w:pPr>
              <w:spacing w:after="0"/>
              <w:rPr>
                <w:sz w:val="18"/>
                <w:szCs w:val="18"/>
                <w:color w:val="auto"/>
              </w:rPr>
            </w:pPr>
          </w:p>
        </w:tc>
        <w:tc>
          <w:tcPr>
            <w:tcW w:w="4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15,647</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7,361</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18,547</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18,145</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21,386</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20,558</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10,321</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22,906</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21,338</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260" w:type="dxa"/>
            <w:vAlign w:val="bottom"/>
            <w:tcBorders>
              <w:bottom w:val="single" w:sz="8" w:color="auto"/>
            </w:tcBorders>
          </w:tcPr>
          <w:p>
            <w:pPr>
              <w:jc w:val="right"/>
              <w:ind w:right="1105"/>
              <w:spacing w:after="0"/>
              <w:rPr>
                <w:sz w:val="20"/>
                <w:szCs w:val="20"/>
                <w:color w:val="auto"/>
              </w:rPr>
            </w:pPr>
            <w:r>
              <w:rPr>
                <w:rFonts w:ascii="Arial" w:cs="Arial" w:eastAsia="Arial" w:hAnsi="Arial"/>
                <w:sz w:val="15"/>
                <w:szCs w:val="15"/>
                <w:color w:val="auto"/>
                <w:w w:val="71"/>
              </w:rPr>
              <w:t>$</w:t>
            </w:r>
          </w:p>
        </w:tc>
        <w:tc>
          <w:tcPr>
            <w:tcW w:w="3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204,862</w:t>
            </w:r>
          </w:p>
        </w:tc>
        <w:tc>
          <w:tcPr>
            <w:tcW w:w="5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5620" w:type="dxa"/>
            <w:vAlign w:val="bottom"/>
            <w:gridSpan w:val="3"/>
            <w:vMerge w:val="restart"/>
          </w:tcPr>
          <w:p>
            <w:pPr>
              <w:ind w:left="220"/>
              <w:spacing w:after="0"/>
              <w:rPr>
                <w:sz w:val="20"/>
                <w:szCs w:val="20"/>
                <w:color w:val="auto"/>
              </w:rPr>
            </w:pPr>
            <w:r>
              <w:rPr>
                <w:rFonts w:ascii="Arial" w:cs="Arial" w:eastAsia="Arial" w:hAnsi="Arial"/>
                <w:sz w:val="18"/>
                <w:szCs w:val="18"/>
                <w:color w:val="auto"/>
              </w:rPr>
              <w:t>F-21</w:t>
            </w: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2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37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type w:val="continuous"/>
        </w:sectPr>
      </w:pPr>
    </w:p>
    <w:bookmarkStart w:id="81" w:name="page82"/>
    <w:bookmarkEnd w:id="81"/>
    <w:p>
      <w:pPr>
        <w:jc w:val="both"/>
        <w:spacing w:after="0" w:line="268" w:lineRule="auto"/>
        <w:rPr>
          <w:sz w:val="20"/>
          <w:szCs w:val="20"/>
          <w:color w:val="auto"/>
        </w:rPr>
      </w:pPr>
      <w:r>
        <w:rPr>
          <w:rFonts w:ascii="Arial" w:cs="Arial" w:eastAsia="Arial" w:hAnsi="Arial"/>
          <w:sz w:val="17"/>
          <w:szCs w:val="17"/>
          <w:color w:val="auto"/>
        </w:rPr>
        <w:t>During 2016, 2015 and in prior years, the Company performed analyses to determine if there were changes in ownership, as defined by Section 382 of the Internal Revenue Code that would limit its ability to utilize certain net operating loss and tax credit carry forwards. The Company determined that it experienced an ownership change, as defined by Section 382, in connection with certain common stock offerings on July 25, 2011, February 5, 2013, June 3, 2013 and on June 1, 2015. As a result, the utilization of the Company's federal tax net operating loss carry forwards generated prior to the ownership changes are limited. As of December 31, 2016, the Company has net operating loss carry forwards for U.S. federal and state tax purposes of approximately $85.6 million, before excluding net operating losses that have been limited as a result of Section 382 limitations. The annual limitation due to Section 382 for net operating loss carry forward utilization is approximately $4.9 million per year for approximately $90 million in net operating loss carry forwards existing at the ownership change occurring on July 25, 2011, approximately $1.4 million per year for approximately $34 million of additional net operating losses occurring from July 2011 to the ownership change that occurred on February 5, 2013, and approximately $1.5 million per year for approximately $34 million of additional net operating losses occurring from February 5, 2013 to the ownership change that occurred on June 3, 2013 and approximately $1.6 million per year for approximately $31 million of additional net operating losses occurring from June 3, 2013 to the ownership change that occurred on June 1, 2015. The utilization of these net operating loss carry forwards may be further limited if the Company experiences future ownership changes as defined in Section 382 of the Internal Revenue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September 2015, the Company filed with the Securities and Exchange Commission (the SEC) a $75 million shelf registration statement on Form S-3 (the 2015 Shelf Registration Statement) (File No. 333-206789) that allows the Company to issue any combination of common stock, preferred stock or warrants to purchase common stock or preferred stock. This shelf registration was declared effective on September 25, 2015.</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2016 Annual Meeting of Stockholders of the Company in June 2016, the Company’s stockholders of the Company approved an increase in the number of the authorized shares of the Company’s common stock from 75,000,000 shares to 112,500,000 shares. The number of the authorized shares of preferred stock remains 100,000 shares. The aggregate number of shares of all classes of stock that the Company may issue, after giving effect to such amendment as approved by the stockholders, will be 112,600,000 shares.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option or warrant exercises during 2015 through 2016 other than the Pre-funded Series B Warrants as discussed in more detail below.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2016 Common Stock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13, 2016, the Company entered into a securities purchase agreement (the June 2016 Purchase Agreement) with an investor, pursuant to which the Company issued and sold, in a registered direct offering (the June 2016 Offering), an aggregate of 2,311,764 shares of common stock of the Company at an offering price of $1.36 per share. In addition, the Company sold Pre-Funded Series B Warrants (the Pre-Funded Series B Warrants) to purchase 2,100,000 shares of common stock in lieu of shares of common stock to the extent that the purchase of common stock would cause the beneficial ownership of the purchaser of such shares of common stock, together with its affiliates and certain related parties, to exceed 9.99% of our common stock. The Company offered these shares and warrants under the June 2016 Purchase Agreement pursuant to the 2015 Shelf Registration Statement. The Company received gross proceeds of approximately $6.0 million before the deduction of placement agent fees and offering expenses in the June 2016 Offering. During the third quarter of 2016, 250,000 shares of common stock were issued in connection with the exercise of some of the Pre-Funded Series B Warrants. As of December 31, 2016, 1,850,000 of the Series B Pre-Funded warrants remain outstanding. Subsequent to December 31, 2016, all Series B Pre-funded warrants were exercised in full.</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 concurrent private placement (the June 2016 Private Placement), the Company issued to the investor Series A warrants (the June 2016 Series A Warrants), each to purchase 0.5 share of common stock, Series C warrants (the June 2016 Series C Warrants), each to purchase one share of common stock, and Series D warrants (the June 2016 Series D Warrants), each to purchase 0.5 share of common stock (collectively the June 2016 Warrants). The June 2016 Series A Warrants are initially exercisable six months following issuance and terminate five and one-half years following issuance. The June 2016 Series C Warrants are initially exercisable six months following issuance and terminate one year following issuance. The June 2016 Series D Warrants only become exercisable ratably upon the exercise of the June 2016 Series C Warrants, are initially exercisable six months following issuance, and terminate five and one-half years following issuance. The June 2016 Warrants have an exercise price of $1.40 per share and are exercisable to purchase an aggregate of 8,823,528 shares of common stock. Subject to limited exceptions, a holder of a June 2016 Warrant will not have the right to exercise any portion of its warrants if the holder, together with its affiliates, would beneficially own in excess of 4.99% of the number of shares of common stock outstanding immediately after giving effect to such exercise (the “Beneficial Ownership Limitation”); provided, however, that upon 61 days’ prior notice to the Company, the holder may increase or decrease the Beneficial Ownership Limitation, provided that in no event shall the Beneficial Ownership Limitation exceed 9.99%. The June 2016 Warrants and the shares of our common stock issuable upon the exercise of the June 2016 Warrants are not being registered under the Securities Act of 1933, as amended (the “Securities Act”), are not being offered pursuant to the 2015 Shelf Registration Statement and are being offered pursuant to the exemption provided in Section 4(a)(2) under the Securities Act and Rule 506(b) promulgated thereunder. On October 31, 2016 we filed a registration statement on Form S-1 to provide for the resale of the shares of common stock issuable upon the exercise of the June 2016 Warrants and will be obligated to use our commercially reasonable efforts to keep such registration statement effective until the earliest of (i) the date on which all of the shares of commons stock issuable upon the exercise of the June 2016 Warrants have been sold under the registration statement or Rule 144 under the Securities Act, (ii) the date on which the shares of common stock issuable upon the exercise of the June 2016 Warrants may be sold without volume or manner-of-sale restrictions pursuant to Rule 144 under the Securities Act and (iii) the termination of the June 2016 Warrants.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auto"/>
        </w:rPr>
        <w:t>Under the June 2016 Purchase Agreement, the Company was prohibited, for a period of six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December 2016 Common Stock Offering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20, 2016, Company, entered into a securities purchase agreement (the December 2016 Purchase Agreement) with several investors, pursuant to which the Company sold, in a registered direct offering (the December 2016 Offering), an aggregate of 5,142,843 shares of common stock of the Company at an offering price of $0.35 per share for gross proceeds of approximately $1.8 million before the deduction of the placement agent fee and offering expenses. The shares were offered by the Company pursuant to the 2015 Shelf Registration Statement.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 concurrent private placement (the December 2016 Private Placement), the Company agreed to issue to the investors warrants, each to purchase one share of common stock (the December 2016 Warrants). The December 2016 Warrants are initially exercisable six months following issuance, and terminate five and one-half years following issuance. The December 2016 Warrants have an exercise price of $0.46 per share and are exercisable to purchase an aggregate of 5,142,843 shares of common stock. Subject to limited exceptions, a holder of a December 2016 Warrant will not have the right to exercise any portion of its warrants if the holder, together with its affiliates, would beneficially own in excess of 9.99% of the Beneficial Ownership Limitation; provided, however, that upon 61 days’ prior notice to the Company, the holder may increase or decrease the Beneficial Ownership Limitation, provided that in no event shall the Beneficial Ownership Limitation exceed 9.99%.</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December 2016 Warrants and the shares of our common stock issuable upon the exercise of the December 2016 Warrants are not being registered the Securities Act, are not being offered pursuant to the 2015 Shelf Registration Statement and are being offered pursuant to the exemption provided in Section 4(a)(2) under the Securities Act and Rule 506(b) promulgated thereunder. We are required to file a registration statement on Form S-1 to provide for the resale of the shares of common stock issuable upon the exercise of the December 2016 Warrants and will be obligated to use our commercially reasonable efforts to keep such registration statement effective until the earliest of (i) the date on which all of the shares of common stock issuable upon the exercise of the December 2016 Warrants have been sold under the registration statement or Rule 144 under the Securities Act, (ii) the date on which the shares of common stock issuable upon the exercise of the December 2016 Warrants may be sold without volume or manner-of-sale restrictions pursuant to Rule 144 under the Securities Act and (iii) the termination of the December 2016 Warrants.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December 2016 Purchase Agreement, the Company was prohibited, for a period of three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 except for the filing of and conducting a financing, pursuant to a registration statement on a Form S-1.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u w:val="single" w:color="auto"/>
          <w:color w:val="auto"/>
        </w:rPr>
        <w:t>May 2015 Common Stock Offering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27, 2015, the Company entered into a Securities Purchase Agreement with certain investors, pursuant to which the Company sold and issued on June 1, 2015, in a registered direct offering (the May 2015 Offering), an aggregate of 3,000,000 shares of common stock at an offering price of $2.675 per share for gross proceeds of $8.0 million before the deduction of the placement agent fee and offering expenses. The Shares were offered by the Company pursuant to a registration statement on Form S-3 (File No. 333-183286), which was initially filed with the SEC on August 13, 2012, as amended on August 20, 2012, and was declared effective by the SEC on September 14, 2012 (the Shelf Registration Statement).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concurrent private placement closed on June 1, 2015, the Company issued to the investors in the May 2015 Offering certain warrants (the May 2015 Warrants) at an exercise price of $2.60 per share. The May 2015 Warrants are exercisable to purchase 0.65 share of common stock for each share of common stock purchased in the May 2015 Offering for an aggregate of 1,950,000 shares of common stock. Each May 2015 Warrant will be exercisable on the date of its issuance until the five-year anniversary of the date of issuance. On July 10, 2015, the Company filed a registration statement for the resale of any shares of common stock issuable upon the exercise of the May 2015 Warrants on Form S-3 (File No. 333-205608) which was declared effective by the SEC on July 30, 2015.</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this purchase agreement, the Company was prohibited, for the period from the date of closing and ending September 1, 2015, from effecting or entering into an agreement to issue common stock or, for a period of five months after the closing,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2014 Common Stock Offering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15, 2014, the Company entered into a Securities Purchase Agreement with certain institutional investors, pursuant to which the Company sold, in a registered offering, an aggregate of 3,603,604 shares of its common stock, par value $0.01 per share, and warrants to purchase up to 1,801,802 shares of common stock, for an aggregate purchase price of approximately $15 million (the January 2014 Common Stock Offering).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at any time on or after its issuance date and until the five-year anniversary of the issuance date. Each Series B warrant will be exercisable at any time on or after its issuance date and until the one-year anniversary of the issuance date. The Series B warrants expired in January 2015. Each warrant has an exercise price of $4.10 per share. Under the purchase agreement, the Company was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Shares issued in acquisition of EGEN, Inc.</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issued 2,712,188 shares of its common stock to the stockholders of EGEN, Inc. to acquire certain assets of EGEN. The shares of Celsion’s common stock were issued in a private transaction exempt from registration under the Securities Act of 1933, as amended (the Securities Act), pursuant to Section 4(2) thereof. In addition, 670,070 shares of Celsion common stock are issuable to EGEN stockholders pending satisfactory resolution of any post-closing adjustments of expenses and EGEN’s indemnification obligations under the EGEN Purchase Agreement (Holdback Shares). The common stock issued and issuable to EGEN pursuant to the Asset Purchase Agreement were filed pursuant to Rule 415 under the Securities Act of 1933, as amended, on the Prospectus for Registration Statement No. 333-198786 and was declared effective on September 30,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February 1, 2013,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December 31, 2016, the Company sold and issued an aggregate of 1,479,535 shares of common stock under the ATM Agreement, receiving approximately $7.6 million in gross proceeds.</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January 2014 common stock offering, the Company agreed to not sell any ATM Shares until June 23, 2017.</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 2015, we filed a prospectus supplement to the base prospectus that forms a part of the 2015 Shelf Registration Statement, pursuant to which we may offer and sell up to $7,500,000 of shares of common stock from time to time under the ATM Agreement. The Company currently has approximately $17.4 million remaining under the ATM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generally vest over various time frames or upon milestone accomplishments. Some vest immediately. Others vest over a period between one and five years. The options generally expire ten years from the date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2001 Stock Option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2001, the Board of Directors adopted a stock plan for directors, officers and employees (the “2001 Plan”) under which 148,148 shares were reserved for future issuance. The purpose of the 2001 Plan was to promote long-term growth and profitability of Celsion by providing key people with incentives to improve stockholder value and contribute to the growth and financial success of Celsion, and to enable the company to attract, retain and reward the best available persons for positions of substantial responsibility.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2004, the Board of Directors adopted a stock plan for directors, officers and employees (the “2004 Plan”) under which 148,148 shares were reserved for future issuance. The 2004 Plan provides for stock instruments to be issued enabling the holder thereof to acquire common stock of the Company at prices determined by the Company’s Board of Directors. The purpose of the 2004 Plan was to promote the long-term growth and financial success of the Company and enable the Company to attract, retain and reward the best available persons for positions of substantial responsibility. The 2004 Plan permitted the granting of awards in the form of incentive stock options, restricted stock, restricted stock units, stock appreciation rights, phantom stock, and performance awards, or in any combination of the foregoing. The 2004 Plan terminated in 2014, 10 years from the date of the Plan’s adoption by the Company’s stockholders.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Any options forfeited or terminated under the 2001 Plan and 2004 Plan are rolled into the 2007 Stock Incentive Plan for future issuance.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Stock Incentive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2007 Plan. The only material difference between the original 2007 Plan and the amended 2007 Plan was the number of shares of common stock available for issuance under the amended 2007 Plan which was increased by 222,222 to a total of 444,444 shares in 2010, by 500,000 to a total of 944,444 shares in 2012 and by 2,500,000 to a total of 3,444,444 shares in 2014.</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issued stock awards to employees, directors and vendors out of the stock option plans. Options are generally granted with strike prices equal to the market value on the date of the grant.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Incentive stock options may be granted to purchase shares of common stock at a price not less than 100% of the fair market value of the underlying shares on the date of grant, provided that the exercise price of any incentive option granted to an eligible employee owning more than 10% of the outstanding stock must be at least 110% of the such fair market value on the date of grant. Only officers and key employees may receive incentive stock options; all other qualified participants may receive non-qualified stock options.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Option awards vest upon terms determined by the Board of Directors. Restricted stock awards, performance stock awards and stock options are subject to accelerated vesting in the event of a change of control. The Company issues new shares to satisfy its obligations from the exercise of options.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2007 an option to purchase 95,555 shares of the Company's common stock was issued to the Company's Chief Executive Officer. This option vested in equal installments over four years and was separately registered with the Securities and Exchange Commission (the "SEC") and was not issued under any of the Employee Stock Incentive Plans. All of these options expired in January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there were a total of 3,533,752 shares reserved, which were comprised of 2,999,663 equity awards granted and 534,089 equity awards available for future issuance.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Total compensation cost charged related to employee stock options and non-vested restricted stock awards amounted to $1.5 million and $1.8 million for the years ended December 31, 2016 and 2015, respectively. No compensation cost related to stock-based payments arrangements was capitalized as part of the cost of any asset at these same periods. As of December 31, 2016, there was $0.3 million of total unrecognized compensation cost related to non-vested stock-based compensation arrangements. That cost is expected to be recognized over a weighted-average period of 0.7 years. The weighted average grant-date fair values of the equity awards granted during the years ended December 31, 2016 and 2015 were $1.16 and $2.05,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Issued to Consultants for Services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periodically issues equity awards to consultants in exchange for services provided. The fair value of options granted is measured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using the Black-Scholes option pricing model and recorded as an expense in the period in which such services are received. Generally, the terms of these plans require that the exercise price of such awards may not be less than the fair market value of the Company’s common stock on the date the equity awards are granted. Consultant equity awards generally vest over various time frames or upon milestone accomplishments. Some vest immediately upon issuance. The equity awards generally expire within 10 years from the date of grant. No equity awards were granted to consultants during the years ended December 31, 2016 and 2015.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 summary of stock option awards as of December 31, 2016 and changes during the two years ended December 31, 2016,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Average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Exercise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1,744,755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7.20</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839,250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2.35</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(444,183)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5.56</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2,139,822</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5.64</w:t>
            </w: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846,283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(53,442)</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9.71</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2,932,663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4.31</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2,198,907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5.09</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summary of the status of the Company’s non-vested restricted stock awards as of December 31, 2016 and changes during the two years ended December 31, 2016,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Borders>
              <w:top w:val="single" w:sz="8" w:color="auto"/>
            </w:tcBorders>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stock awards outstanding at January 1, 2015</w:t>
            </w:r>
          </w:p>
        </w:tc>
        <w:tc>
          <w:tcPr>
            <w:tcW w:w="1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88,500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and issued</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stock awards outstanding at December 31, 2015</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81,518</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Vested and issued</w:t>
            </w:r>
          </w:p>
        </w:tc>
        <w:tc>
          <w:tcPr>
            <w:tcW w:w="1780" w:type="dxa"/>
            <w:vAlign w:val="bottom"/>
            <w:gridSpan w:val="3"/>
          </w:tcPr>
          <w:p>
            <w:pPr>
              <w:jc w:val="right"/>
              <w:ind w:right="50"/>
              <w:spacing w:after="0"/>
              <w:rPr>
                <w:sz w:val="20"/>
                <w:szCs w:val="20"/>
                <w:color w:val="auto"/>
              </w:rPr>
            </w:pPr>
            <w:r>
              <w:rPr>
                <w:rFonts w:ascii="Arial" w:cs="Arial" w:eastAsia="Arial" w:hAnsi="Arial"/>
                <w:sz w:val="18"/>
                <w:szCs w:val="18"/>
                <w:color w:val="auto"/>
              </w:rPr>
              <w:t>(126,518)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bl>
    <w:p>
      <w:pPr>
        <w:spacing w:after="0" w:line="256" w:lineRule="exact"/>
        <w:rPr>
          <w:sz w:val="20"/>
          <w:szCs w:val="20"/>
          <w:color w:val="auto"/>
        </w:rPr>
      </w:pPr>
    </w:p>
    <w:p>
      <w:pPr>
        <w:ind w:left="820" w:right="140" w:hanging="452"/>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non-vested restricted stock awards as of December 31, 2016 had a weighted average remaining contractual term of 0.7 years with an intrinsic value of approximately $21,000.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outstanding at December 31, 2016 by price range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2"/>
              </w:rPr>
              <w:t>Options Outstanding</w:t>
            </w: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5"/>
              </w:rPr>
              <w:t>Options Exercisable</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rPr>
              <w:t>Weighted</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rPr>
              <w:t>Weighted</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Average</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Average</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Remaining</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Remaining</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Weighted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Contractual</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Contractual</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680"/>
              <w:spacing w:after="0"/>
              <w:rPr>
                <w:sz w:val="20"/>
                <w:szCs w:val="20"/>
                <w:color w:val="auto"/>
              </w:rPr>
            </w:pPr>
            <w:r>
              <w:rPr>
                <w:rFonts w:ascii="Arial" w:cs="Arial" w:eastAsia="Arial" w:hAnsi="Arial"/>
                <w:sz w:val="18"/>
                <w:szCs w:val="18"/>
                <w:b w:val="1"/>
                <w:bCs w:val="1"/>
                <w:color w:val="auto"/>
              </w:rPr>
              <w:t>Range of</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Term</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Exercise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Term</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Exercise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Exercise Prices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(in years)</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Price</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 years)</w:t>
            </w: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Price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 to 2.99</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1,560,699</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857,897</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3.00 to 5.99</w:t>
            </w:r>
          </w:p>
        </w:tc>
        <w:tc>
          <w:tcPr>
            <w:tcW w:w="1480" w:type="dxa"/>
            <w:vAlign w:val="bottom"/>
          </w:tcPr>
          <w:p>
            <w:pPr>
              <w:jc w:val="right"/>
              <w:spacing w:after="0"/>
              <w:rPr>
                <w:sz w:val="20"/>
                <w:szCs w:val="20"/>
                <w:color w:val="auto"/>
              </w:rPr>
            </w:pPr>
            <w:r>
              <w:rPr>
                <w:rFonts w:ascii="Arial" w:cs="Arial" w:eastAsia="Arial" w:hAnsi="Arial"/>
                <w:sz w:val="18"/>
                <w:szCs w:val="18"/>
                <w:color w:val="auto"/>
              </w:rPr>
              <w:t>890,857</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7.2</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859,903</w:t>
            </w: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 to 12.99</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322,387</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322,387</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13.00 to 19.99</w:t>
            </w:r>
          </w:p>
        </w:tc>
        <w:tc>
          <w:tcPr>
            <w:tcW w:w="1480" w:type="dxa"/>
            <w:vAlign w:val="bottom"/>
          </w:tcPr>
          <w:p>
            <w:pPr>
              <w:jc w:val="right"/>
              <w:spacing w:after="0"/>
              <w:rPr>
                <w:sz w:val="20"/>
                <w:szCs w:val="20"/>
                <w:color w:val="auto"/>
              </w:rPr>
            </w:pPr>
            <w:r>
              <w:rPr>
                <w:rFonts w:ascii="Arial" w:cs="Arial" w:eastAsia="Arial" w:hAnsi="Arial"/>
                <w:sz w:val="18"/>
                <w:szCs w:val="18"/>
                <w:color w:val="auto"/>
              </w:rPr>
              <w:t>88,856</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14.19</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88,856</w:t>
            </w: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3.4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Above $20.00</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69,864</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69,864</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2,932,663</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2,198,907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F-27</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87" w:name="page88"/>
    <w:bookmarkEnd w:id="87"/>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nonqualified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274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w w:val="94"/>
              </w:rPr>
              <w:t>Year Ended December 31,</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73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84"/>
              </w:rPr>
              <w:t>2015</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3"/>
              </w:rPr>
              <w:t>to1.87%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1.57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to 2.93%</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tcPr>
          <w:p>
            <w:pPr>
              <w:jc w:val="right"/>
              <w:spacing w:after="0"/>
              <w:rPr>
                <w:sz w:val="20"/>
                <w:szCs w:val="20"/>
                <w:color w:val="auto"/>
              </w:rPr>
            </w:pPr>
            <w:r>
              <w:rPr>
                <w:rFonts w:ascii="Arial" w:cs="Arial" w:eastAsia="Arial" w:hAnsi="Arial"/>
                <w:sz w:val="18"/>
                <w:szCs w:val="18"/>
                <w:color w:val="auto"/>
              </w:rPr>
              <w:t>87.5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-89.1%</w:t>
            </w:r>
          </w:p>
        </w:tc>
        <w:tc>
          <w:tcPr>
            <w:tcW w:w="940" w:type="dxa"/>
            <w:vAlign w:val="bottom"/>
          </w:tcPr>
          <w:p>
            <w:pPr>
              <w:ind w:left="560"/>
              <w:spacing w:after="0"/>
              <w:rPr>
                <w:sz w:val="20"/>
                <w:szCs w:val="20"/>
                <w:color w:val="auto"/>
              </w:rPr>
            </w:pPr>
            <w:r>
              <w:rPr>
                <w:rFonts w:ascii="Arial" w:cs="Arial" w:eastAsia="Arial" w:hAnsi="Arial"/>
                <w:sz w:val="18"/>
                <w:szCs w:val="18"/>
                <w:color w:val="auto"/>
              </w:rPr>
              <w:t>92.9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-104.1%</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9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strips as published in the Wall Street Journal in effect at the time of grant. The model incorporates exercise, pre-vesting and post-vesting forfeiture assumptions based on analysis of historical data. The expected life of the fiscal 2016 and 2015 grants was generated using the simplified method as allowed under Securities and Exchange Commission Staff Accounting Bulletin No. 107.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At December 31, 2016, the Company fair valued the earn-out milestone liability at $13.2 million and recognized a non-cash gain of $0.7 million during 2016 as a result of the change in the fair value of earn-out milestone liability of $13.9 million at December 31, 2015. Included in the non-cash gain during 2016, was the reduction of the liability by $0.7 million during the fourth quarter of 2016 related to the write down of one of the in-process research and development assets (see Note 5) as the Company believes there is no probability of the payout of the related earn-out milestone liabilities. The fair value of the remaining earn-out milestone liabilities at December 31, 2016 was based on the Company's risk-adjusted assessment of each milestone (50% to 80%) utilizing a discount rate based on the estimated time to achieve the milestone (2.0 to 2.5 years). At December 31, 2015, the Company fair valued the earn-out milestone liability at $13.9 million and recognized a non-cash loss of $257,702 during 2015 as a result of the change in the fair value of earn-out milestone liability from $13.7 million at June 30, 2015. The fair value of the earn-out milestone liability at December 31, 2015 was based on the Company's risk-adjusted assessment of each milestone (10% to 67%) and utilizing a discount rate based on the estimated time to achieve the milestone (1.2 to 6.5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The following is a summary of the changes in the earn-out milestone liability for 2015 and 2016:</w:t>
            </w: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8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Non-cash loss from the adjustment for the change in fair value included in 2015 net loss</w:t>
            </w:r>
          </w:p>
        </w:tc>
        <w:tc>
          <w:tcPr>
            <w:tcW w:w="1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Non-cash gain from the adjustment for the change in fair value included in 2016 net loss</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(733,186)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13,188,226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WARRANTS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more fully described in Note 10, the Company completed a series of equity financing transactions in 2016 and 2015 that included the issuance of warrants to purchase 16,066,371 and 1,950,000 shares, respectively, of the Company’s common stock. In connection with the Hercules Credit Agreement entered into in November 2013 as more fully described in Note 8, the Company issued warrants to purchase 194,986 shares of the Company’s common stock. We did not have any option or warrant exercises during 2015 through 2016 other than 250,000 shares during the third quarter of 2016 related to the Pre-funded Series B Warrants as discussed more fully in Note 10.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Following is a summary of all warrant activity for the two years ended December 31, 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Number of</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7900" w:type="dxa"/>
            <w:vAlign w:val="bottom"/>
          </w:tcPr>
          <w:p>
            <w:pPr>
              <w:ind w:left="358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Issued</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7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Warrants outstanding at January 1, 2015</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5,069,815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Warrants issued in connection with the May 2015 equity transaction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1,950,000</w:t>
            </w:r>
          </w:p>
        </w:tc>
        <w:tc>
          <w:tcPr>
            <w:tcW w:w="30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 expired during 2015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(1,125,140)</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r>
      <w:tr>
        <w:trPr>
          <w:trHeight w:val="210"/>
        </w:trPr>
        <w:tc>
          <w:tcPr>
            <w:tcW w:w="79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Warrants outstanding at December 31, 2015</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5,894,675</w:t>
            </w: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6.37</w:t>
            </w: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 issued in connection with the 2016 equity transactions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16,066,371</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Warrants exercised during 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50"/>
              <w:spacing w:after="0"/>
              <w:rPr>
                <w:sz w:val="20"/>
                <w:szCs w:val="20"/>
                <w:color w:val="auto"/>
              </w:rPr>
            </w:pPr>
            <w:r>
              <w:rPr>
                <w:rFonts w:ascii="Arial" w:cs="Arial" w:eastAsia="Arial" w:hAnsi="Arial"/>
                <w:sz w:val="18"/>
                <w:szCs w:val="18"/>
                <w:color w:val="auto"/>
              </w:rPr>
              <w:t>(250,000)</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 expired during 2016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(879,163)</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r>
      <w:tr>
        <w:trPr>
          <w:trHeight w:val="210"/>
        </w:trPr>
        <w:tc>
          <w:tcPr>
            <w:tcW w:w="79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Warrants outstanding at December 31, 2016</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20,831,883</w:t>
            </w: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Aggregate intrinsic value of outstanding warrants at December 31, 2016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534,000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Weighted average remaining contractual terms (years)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right="680" w:hanging="311"/>
        <w:spacing w:after="0" w:line="277" w:lineRule="auto"/>
        <w:tabs>
          <w:tab w:leader="none" w:pos="4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Does not include the remaining Pre-Funded Warrants issued in the June 2016 Offering (totaling 1,850,000 shares underlying these warrants) as these warrants have no expiration date.</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CELSION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Celsion maintains a defined-contribution plan under Section 401(k) of the Internal Revenue Code. The plan covers substantially all employees over the age of</w:t>
      </w:r>
    </w:p>
    <w:p>
      <w:pPr>
        <w:spacing w:after="0" w:line="46" w:lineRule="exact"/>
        <w:rPr>
          <w:sz w:val="20"/>
          <w:szCs w:val="20"/>
          <w:color w:val="auto"/>
        </w:rPr>
      </w:pPr>
    </w:p>
    <w:p>
      <w:pPr>
        <w:jc w:val="both"/>
        <w:ind w:firstLine="8"/>
        <w:spacing w:after="0" w:line="302" w:lineRule="auto"/>
        <w:tabs>
          <w:tab w:leader="none" w:pos="274" w:val="left"/>
        </w:tabs>
        <w:numPr>
          <w:ilvl w:val="0"/>
          <w:numId w:val="47"/>
        </w:numPr>
        <w:rPr>
          <w:rFonts w:ascii="Arial" w:cs="Arial" w:eastAsia="Arial" w:hAnsi="Arial"/>
          <w:sz w:val="16"/>
          <w:szCs w:val="16"/>
          <w:color w:val="auto"/>
        </w:rPr>
      </w:pPr>
      <w:r>
        <w:rPr>
          <w:rFonts w:ascii="Arial" w:cs="Arial" w:eastAsia="Arial" w:hAnsi="Arial"/>
          <w:sz w:val="16"/>
          <w:szCs w:val="16"/>
          <w:color w:val="auto"/>
        </w:rPr>
        <w:t>Participating employees may defer a portion of their pretax earnings, up to the IRS annual contribution limit. Commencing in the fourth quarter for 2008, the Company began making a matching contribution up to a maximum of 3% of an employee’s annual salary and the Company’s total contribution for the years ended December 31, 2016 and 2015 was $82,391 and $80,408 respectively. The Company’s contribution was made in the form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LICENSES OF INTELLECTUAL PROPERTY AND PATENTS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1999, the Company entered into a license agreement with Duke University (“Duke”) under which the Company received worldwide exclusive rights (subject to certain exceptions) to commercialize and use Duke’s thermally sensitive liposome technology. The license agreement contains annual royalty and minimum payment provisions due on net sales. The agreement also required milestone-based royalty payments measured by various events, including product development stages, FDA applications and approvals, foreign marketing approvals and achievement of significant sales. However, in lieu of such milestone-based cash payments, Duke agreed to accept shares of the Company’s common stock to be issued in installments at the time each milestone payment is due, with each installment of shares to be calculated at the average closing price of the common stock during the 20 trading days prior to issuance.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number of shares issuable to Duke under these provisions is subject to adjustment in certain cases, and Duke has piggyback registration rights for public offerings taking place more than one year after the effective date of the license agreement. On January 31, 2003, the Company issued 253,691 shares of common stock to Duke University valued at $2.2 million as payment for milestone based royalties under this license agreement. An amendment to the Duke license agreement contains certain development and regulatory milestones, and other performance requirements that the Company has met with respect to the use of the licensed technologies. The Company will be obligated to make royalty payments based on sales to Duke upon commercialization, until the last of the Duke patents expire.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For the years ended December 31, 2016 and 2015, the Company has not incurred any expense under this agreement and will not incur any future liabilities until commercial sales commence.</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November 1999 license agreement with Duke, the Company has rights to the thermally sensitive liposome technology, including Duke’s US patents covering the technology as well as all foreign counter parts and related pending applications. Foreign counterpart applications have been issued in Europe, Hong Kong, Australia and Canada and have been allowed in Japan. The European patent has been validated in Austria, Belgium, France, Germany, Great Britain, Italy, Luxembourg, Monaco, Spain and Switzerland. In addition, the Duke license agreement provides the Company with rights to multiple issued and pending US patents related to the formulation, method of making and use of heat sensitive liposomes. The Company’s rights under the license agreement with Duke extend for the life of the last-to-expire of the licensed patents.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licensed from Valentis, CA certain global rights covering the use of pegylation for temperature sensitive liposomes.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rights available to the Company under completed or pending license agreements, the Company is actively pursuing patent protection for technologies developed by the Company. Among these patents is a family of pending US and international patent applications which seek to protect the Company’s proprietary method of storing ThermoDox® which is critical for worldwide distribution channels.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ThermoDox® is a registered trademark in the U.S., Argentina, Australia, Canada, China, Columbia, the European Communities: (Austria, Belgium, Bulgaria, Cyprus, Czech Republic, Denmark, Estonia, Finland, France, Germany, Greece, Hungary, Ireland, Italy, Korea, Latvia, Lithuania, Luxembourg, Malta, Netherlands, Poland, Portugal, Romania, Slovakia, Slovenia, Spain, Sweden, UK), Hong Kong, Israel, Japan, New Zealand, Peru, Philippines, Russia, Singapore, South Korea and Taiwan. The Company has registered transliterations of ThermoDox® in China, Hong Kong, Japan, Singapore, South Korea and Taiwan. The Company has an additional 14 trademark protection applications pending for ThermoDox® in countries world-wide.</w:t>
      </w:r>
    </w:p>
    <w:p>
      <w:pPr>
        <w:spacing w:after="0" w:line="158"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Finally, through proprietary information agreements with employees, consultants and others, the Company seeks to protect its own proprietary know-how and trade secrets. The Company cannot offer assurances that these confidentiality agreements will not be breached, that the Company will have adequate remedies for any breach, or that these agreements, even if fully enforced, will be adequate to prevent third-party use of the Company’s proprietary technology. Similarly, the Company cannot guarantee that technology rights licensed to it by others will not be successfully challenged or circumvented by third parties, or that the rights granted will provide the Company with adequate protection.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in March 2015. This amount was paid in April 2015.</w:t>
      </w:r>
    </w:p>
    <w:p>
      <w:pPr>
        <w:spacing w:after="0" w:line="183"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80" w:right="1560" w:hanging="375"/>
        <w:spacing w:after="0" w:line="308" w:lineRule="auto"/>
        <w:tabs>
          <w:tab w:leader="none" w:pos="68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46" w:lineRule="exact"/>
        <w:rPr>
          <w:rFonts w:ascii="Arial" w:cs="Arial" w:eastAsia="Arial" w:hAnsi="Arial"/>
          <w:sz w:val="17"/>
          <w:szCs w:val="17"/>
          <w:b w:val="1"/>
          <w:bCs w:val="1"/>
          <w:color w:val="auto"/>
        </w:rPr>
      </w:pPr>
    </w:p>
    <w:p>
      <w:pPr>
        <w:ind w:left="680" w:right="1540" w:hanging="375"/>
        <w:spacing w:after="0" w:line="277" w:lineRule="auto"/>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680" w:right="1540" w:hanging="375"/>
        <w:spacing w:after="0" w:line="277" w:lineRule="auto"/>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540" w:right="1580" w:hanging="343"/>
        <w:spacing w:after="0" w:line="277" w:lineRule="auto"/>
        <w:tabs>
          <w:tab w:leader="none" w:pos="54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540" w:right="1580" w:hanging="343"/>
        <w:spacing w:after="0" w:line="277" w:lineRule="auto"/>
        <w:tabs>
          <w:tab w:leader="none" w:pos="54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170" w:lineRule="exact"/>
        <w:rPr>
          <w:rFonts w:ascii="Arial" w:cs="Arial" w:eastAsia="Arial" w:hAnsi="Arial"/>
          <w:sz w:val="18"/>
          <w:szCs w:val="18"/>
          <w:b w:val="1"/>
          <w:bCs w:val="1"/>
          <w:color w:val="auto"/>
        </w:rPr>
      </w:pPr>
    </w:p>
    <w:p>
      <w:pPr>
        <w:ind w:left="540" w:right="1580" w:hanging="343"/>
        <w:spacing w:after="0" w:line="277" w:lineRule="auto"/>
        <w:tabs>
          <w:tab w:leader="none" w:pos="54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540" w:right="1600" w:hanging="343"/>
        <w:spacing w:after="0" w:line="277" w:lineRule="auto"/>
        <w:tabs>
          <w:tab w:leader="none" w:pos="54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70" w:lineRule="exact"/>
        <w:rPr>
          <w:rFonts w:ascii="Arial" w:cs="Arial" w:eastAsia="Arial" w:hAnsi="Arial"/>
          <w:sz w:val="18"/>
          <w:szCs w:val="18"/>
          <w:b w:val="1"/>
          <w:bCs w:val="1"/>
          <w:color w:val="auto"/>
        </w:rPr>
      </w:pPr>
    </w:p>
    <w:p>
      <w:pPr>
        <w:ind w:left="540" w:right="1580" w:hanging="343"/>
        <w:spacing w:after="0" w:line="308" w:lineRule="auto"/>
        <w:tabs>
          <w:tab w:leader="none" w:pos="540"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142" w:lineRule="exact"/>
        <w:rPr>
          <w:rFonts w:ascii="Arial" w:cs="Arial" w:eastAsia="Arial" w:hAnsi="Arial"/>
          <w:sz w:val="17"/>
          <w:szCs w:val="17"/>
          <w:b w:val="1"/>
          <w:bCs w:val="1"/>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 AND COMMITMENTS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three $50,000 reductions of the standby letter of credit in April 2013 and 2014 and 2015, the Company reduced the escrow deposit by $50,000 each time. In late 2015, Lenox Drive Office Park LLC, purchased the real estate and office building and assumed the lease. The Company is currently in negotiations with the landlord to extend the lease term and to reduce the square footage by approximately 30%.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13 months with rent payments of approximately $23,200 per month.</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paid $575,516 and $570,078 in connection with these leases in 2016 and 2015, respectively. Following is a summary of the future minimum payments required under leases that have initial or remaining lease terms of one year or more as of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34"/>
        </w:trPr>
        <w:tc>
          <w:tcPr>
            <w:tcW w:w="5840" w:type="dxa"/>
            <w:vAlign w:val="bottom"/>
            <w:gridSpan w:val="2"/>
          </w:tcPr>
          <w:p>
            <w:pPr>
              <w:spacing w:after="0"/>
              <w:rPr>
                <w:sz w:val="20"/>
                <w:szCs w:val="20"/>
                <w:color w:val="auto"/>
              </w:rPr>
            </w:pPr>
            <w:r>
              <w:rPr>
                <w:rFonts w:ascii="Arial" w:cs="Arial" w:eastAsia="Arial" w:hAnsi="Arial"/>
                <w:sz w:val="18"/>
                <w:szCs w:val="18"/>
                <w:color w:val="auto"/>
              </w:rPr>
              <w:t>For the year ending December 31:</w:t>
            </w:r>
          </w:p>
        </w:tc>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36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3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2018</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2020 and beyond</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18. SUBSEQUENT EVENTS</w:t>
            </w: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19,385,869 shares of common stock of the Company at an offering price of $0.23 per share. In addition, the Company sold Series</w:t>
      </w:r>
    </w:p>
    <w:p>
      <w:pPr>
        <w:jc w:val="both"/>
        <w:ind w:firstLine="8"/>
        <w:spacing w:after="0" w:line="269" w:lineRule="auto"/>
        <w:tabs>
          <w:tab w:leader="none" w:pos="307" w:val="left"/>
        </w:tabs>
        <w:numPr>
          <w:ilvl w:val="0"/>
          <w:numId w:val="50"/>
        </w:numPr>
        <w:rPr>
          <w:rFonts w:ascii="Arial" w:cs="Arial" w:eastAsia="Arial" w:hAnsi="Arial"/>
          <w:sz w:val="17"/>
          <w:szCs w:val="17"/>
          <w:color w:val="auto"/>
        </w:rPr>
      </w:pPr>
      <w:r>
        <w:rPr>
          <w:rFonts w:ascii="Arial" w:cs="Arial" w:eastAsia="Arial" w:hAnsi="Arial"/>
          <w:sz w:val="17"/>
          <w:szCs w:val="17"/>
          <w:color w:val="auto"/>
        </w:rPr>
        <w:t>Warrants (the Series AA Warrants) to purchase up to 16,489,402 shares of common stock and Pre-Funded Series BB Warrants (the Pre-Funded Series BB Warrants) to purchase up to 2,600,000 shares of common stock. The Series AA Warrants have an exercise price of $0.23 per share, have a five year life and are immediately exercisable. The Pre-Funded Series BB Warrants were offered at $0.22 per share, are immediately exercisable for $0.01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February 14, 2017 Public Offering, the Company has filed with the Securities and Exchange Commission a registration statement on Form S-1 (Registration No. 333-215321) on December 23, 2016, as amended by Pre-Effective Amendment No. 1 filed with the Commission on January 20, 2017, as further amended by Pre-Effective Amendment No. 2 filed with the Commission on February 13, 2017, as further amended by Pre-Effective Amendment No. 3 filed with the Commission on February 13, 2017 and as further amended by Pre-Effective Amendment No. 4 filed with the Commission on February 14, 2017 for the registration of the securities issued and sold under the Securities Act of 1933, as amended.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58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360" w:type="dxa"/>
            <w:vAlign w:val="bottom"/>
            <w:gridSpan w:val="3"/>
          </w:tcPr>
          <w:p>
            <w:pPr>
              <w:ind w:left="1280"/>
              <w:spacing w:after="0"/>
              <w:rPr>
                <w:sz w:val="20"/>
                <w:szCs w:val="20"/>
                <w:color w:val="auto"/>
              </w:rPr>
            </w:pPr>
            <w:r>
              <w:rPr>
                <w:rFonts w:ascii="Arial" w:cs="Arial" w:eastAsia="Arial" w:hAnsi="Arial"/>
                <w:sz w:val="18"/>
                <w:szCs w:val="18"/>
                <w:b w:val="1"/>
                <w:bCs w:val="1"/>
                <w:color w:val="auto"/>
              </w:rPr>
              <w:t>Subsidiaries of Celsion Corporation</w:t>
            </w:r>
          </w:p>
        </w:tc>
      </w:tr>
      <w:tr>
        <w:trPr>
          <w:trHeight w:val="414"/>
        </w:trPr>
        <w:tc>
          <w:tcPr>
            <w:tcW w:w="3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34"/>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auto"/>
              </w:rPr>
              <w:t>CLSN Laboratories, Inc.</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Celsion Corporation</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on Form S-3 (Nos. 333-174960, 333-183286, 333-198786, 333-193936, 333-205608, and 333-206789) and on Form S-8 (Nos. 333-139784, 333-145680, 333-183288, 333-207864) of Celsion Corporation, of our report dated March 24, 2017 with respect to the consolidated balance sheet of Celsion Corporation as of December 31, 2016, and the related consolidated statements of operations, comprehensive loss, changes in stockholders’ equity and cash flows for the year then ended, which report appears in Celsion Corporation’s Annual Report on Form 10-K for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Dixon Hughes Goodman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2017</w:t>
      </w:r>
    </w:p>
    <w:p>
      <w:pPr>
        <w:sectPr>
          <w:pgSz w:w="11900" w:h="16838" w:orient="portrait"/>
          <w:cols w:equalWidth="0" w:num="1">
            <w:col w:w="11420"/>
          </w:cols>
          <w:pgMar w:left="240" w:top="162"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23.2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Celsion Corporation</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on Form S-3 (Nos. 333-174960, 333-183286, 333-198786, 333-193936, 333-205608, and 333-206789) and on Form S-8 (Nos. 333-139784, 333-145680, 333-183288, 333-207864) of Celsion Corporation, of our report dated March 30, 2016, with respect to the consolidated balance sheet of Celsion Corporation as of December 31, 2015, and the related consolidated statements of operations, comprehensive loss, changes in stockholders’ equity and cash flows for the year then ended, which report appears in Celsion Corporation’s Annual Report on Form 10-K for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Stegman &amp;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2017</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480"/>
        <w:spacing w:after="0" w:line="266" w:lineRule="auto"/>
        <w:rPr>
          <w:sz w:val="20"/>
          <w:szCs w:val="20"/>
          <w:color w:val="auto"/>
        </w:rPr>
      </w:pPr>
      <w:r>
        <w:rPr>
          <w:rFonts w:ascii="Arial" w:cs="Arial" w:eastAsia="Arial" w:hAnsi="Arial"/>
          <w:sz w:val="18"/>
          <w:szCs w:val="18"/>
          <w:b w:val="1"/>
          <w:bCs w:val="1"/>
          <w:color w:val="auto"/>
        </w:rPr>
        <w:t xml:space="preserve">CERTIFICATION OF THE CHIEF EXECUTIVE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560" w:hanging="552"/>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60" w:right="380" w:hanging="552"/>
        <w:spacing w:after="0" w:line="264"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0" w:firstLine="656"/>
        <w:spacing w:after="0" w:line="264" w:lineRule="auto"/>
        <w:tabs>
          <w:tab w:leader="none" w:pos="134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right="280" w:hanging="552"/>
        <w:spacing w:after="0" w:line="308" w:lineRule="auto"/>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00" w:firstLine="656"/>
        <w:spacing w:after="0" w:line="308" w:lineRule="auto"/>
        <w:tabs>
          <w:tab w:leader="none" w:pos="1333"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656"/>
        <w:spacing w:after="0" w:line="277" w:lineRule="auto"/>
        <w:tabs>
          <w:tab w:leader="none" w:pos="134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March 24,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H. Tardugno</w:t>
            </w:r>
          </w:p>
        </w:tc>
      </w:tr>
      <w:tr>
        <w:trPr>
          <w:trHeight w:val="195"/>
        </w:trPr>
        <w:tc>
          <w:tcPr>
            <w:tcW w:w="55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5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480"/>
        <w:spacing w:after="0" w:line="266" w:lineRule="auto"/>
        <w:rPr>
          <w:sz w:val="20"/>
          <w:szCs w:val="20"/>
          <w:color w:val="auto"/>
        </w:rPr>
      </w:pPr>
      <w:r>
        <w:rPr>
          <w:rFonts w:ascii="Arial" w:cs="Arial" w:eastAsia="Arial" w:hAnsi="Arial"/>
          <w:sz w:val="18"/>
          <w:szCs w:val="18"/>
          <w:b w:val="1"/>
          <w:bCs w:val="1"/>
          <w:color w:val="auto"/>
        </w:rPr>
        <w:t xml:space="preserve">CERTIFICATION OF THE CHIEF FINANCIAL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560" w:hanging="552"/>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60" w:right="380" w:hanging="552"/>
        <w:spacing w:after="0" w:line="264" w:lineRule="auto"/>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0" w:firstLine="656"/>
        <w:spacing w:after="0" w:line="264" w:lineRule="auto"/>
        <w:tabs>
          <w:tab w:leader="none" w:pos="13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right="280" w:hanging="552"/>
        <w:spacing w:after="0" w:line="308" w:lineRule="auto"/>
        <w:tabs>
          <w:tab w:leader="none" w:pos="5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00" w:firstLine="656"/>
        <w:spacing w:after="0" w:line="308" w:lineRule="auto"/>
        <w:tabs>
          <w:tab w:leader="none" w:pos="1333"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656"/>
        <w:spacing w:after="0" w:line="277" w:lineRule="auto"/>
        <w:tabs>
          <w:tab w:leader="none" w:pos="134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24,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Jeffrey W. Church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In connection with the Annual Report of Celsion Corporation (the “Company”) on Form 10-K for the year ended December 31, 2016, as filed with the Securities and Exchange Commission on or about March 24, 2017 (the “Report”), I, Michael H. Tardugno, President and Chief Executive Officer of the Company, certify, pursuant to 18 U.S.C. § 1350, as adopted pursuant to § 906 of the Sarbanes-Oxley Act of 2002, that, to my knowledge:</w:t>
      </w:r>
    </w:p>
    <w:p>
      <w:pPr>
        <w:spacing w:after="0" w:line="147" w:lineRule="exact"/>
        <w:rPr>
          <w:sz w:val="20"/>
          <w:szCs w:val="20"/>
          <w:color w:val="auto"/>
        </w:rPr>
      </w:pPr>
    </w:p>
    <w:p>
      <w:pPr>
        <w:ind w:left="560" w:hanging="552"/>
        <w:spacing w:after="0"/>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24,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H. Tardugno</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connection with the Annual Report of Celsion Corporation (the “Company”) on Form 10-K for the year ended December 31, 2016, as filed with the Securities and Exchange Commission on or about March 24, 2017 (the “Report”), I, Jeffrey W. Church, Senior Vice President and Chief Financial Officer of the Company, certify, pursuant to 18 U.S.C. § 1350, as adopted pursuant to § 906 of the Sarbanes-Oxley Act of 2002, that, to my knowledge:</w:t>
      </w:r>
    </w:p>
    <w:p>
      <w:pPr>
        <w:spacing w:after="0" w:line="147" w:lineRule="exact"/>
        <w:rPr>
          <w:sz w:val="20"/>
          <w:szCs w:val="20"/>
          <w:color w:val="auto"/>
        </w:rPr>
      </w:pPr>
    </w:p>
    <w:p>
      <w:pPr>
        <w:ind w:left="560" w:hanging="552"/>
        <w:spacing w:after="0"/>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24,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upperLetter"/>
      <w:start w:val="27"/>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upperLetter"/>
      <w:start w:val="1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upperLetter"/>
      <w:start w:val="27"/>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lowerLetter"/>
      <w:start w:val="2"/>
    </w:lvl>
  </w:abstractNum>
  <w:abstractNum w:abstractNumId="31">
    <w:nsid w:val="2A487CB0"/>
    <w:multiLevelType w:val="hybridMultilevel"/>
    <w:lvl w:ilvl="0">
      <w:lvlJc w:val="left"/>
      <w:lvlText w:val="(%1)"/>
      <w:numFmt w:val="lowerLetter"/>
      <w:start w:val="3"/>
    </w:lvl>
  </w:abstractNum>
  <w:abstractNum w:abstractNumId="32">
    <w:nsid w:val="1D4ED43B"/>
    <w:multiLevelType w:val="hybridMultilevel"/>
    <w:lvl w:ilvl="0">
      <w:lvlJc w:val="left"/>
      <w:lvlText w:val="+"/>
      <w:numFmt w:val="bullet"/>
      <w:start w:val="1"/>
    </w:lvl>
    <w:lvl w:ilvl="1">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606"/>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1"/>
    </w:lvl>
    <w:lvl w:ilvl="1">
      <w:lvlJc w:val="left"/>
      <w:lvlText w:val="(%2)"/>
      <w:numFmt w:val="decimal"/>
      <w:start w:val="1"/>
    </w:lvl>
  </w:abstractNum>
  <w:abstractNum w:abstractNumId="45">
    <w:nsid w:val="749ABB43"/>
    <w:multiLevelType w:val="hybridMultilevel"/>
    <w:lvl w:ilvl="0">
      <w:lvlJc w:val="left"/>
      <w:lvlText w:val="%1."/>
      <w:numFmt w:val="decimal"/>
      <w:start w:val="14"/>
    </w:lvl>
    <w:lvl w:ilvl="1">
      <w:lvlJc w:val="left"/>
      <w:lvlText w:val="%2"/>
      <w:numFmt w:val="decimal"/>
      <w:start w:val="1"/>
    </w:lvl>
  </w:abstractNum>
  <w:abstractNum w:abstractNumId="46">
    <w:nsid w:val="3DC240FB"/>
    <w:multiLevelType w:val="hybridMultilevel"/>
    <w:lvl w:ilvl="0">
      <w:lvlJc w:val="left"/>
      <w:lvlText w:val="%1."/>
      <w:numFmt w:val="decimal"/>
      <w:start w:val="2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6"/>
    </w:lvl>
    <w:lvl w:ilvl="1">
      <w:lvlJc w:val="left"/>
      <w:lvlText w:val="●"/>
      <w:numFmt w:val="bullet"/>
      <w:start w:val="1"/>
    </w:lvl>
  </w:abstractNum>
  <w:abstractNum w:abstractNumId="49">
    <w:nsid w:val="75C6C33A"/>
    <w:multiLevelType w:val="hybridMultilevel"/>
    <w:lvl w:ilvl="0">
      <w:lvlJc w:val="left"/>
      <w:lvlText w:val="%1"/>
      <w:numFmt w:val="upperLetter"/>
      <w:start w:val="27"/>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2019-12-05T12:31:44Z</dcterms:created>
  <dcterms:modified xsi:type="dcterms:W3CDTF">2019-12-05T12:31:44Z</dcterms:modified>
</cp:coreProperties>
</file>