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7" w:lineRule="exact"/>
        <w:rPr>
          <w:sz w:val="24"/>
          <w:szCs w:val="24"/>
          <w:color w:val="auto"/>
        </w:rPr>
      </w:pPr>
    </w:p>
    <w:p>
      <w:pPr>
        <w:ind w:left="3840" w:right="2040" w:hanging="3494"/>
        <w:spacing w:after="0" w:line="501" w:lineRule="auto"/>
        <w:tabs>
          <w:tab w:leader="none" w:pos="7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2014</w:t>
      </w: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420" w:right="2100" w:hanging="3061"/>
        <w:spacing w:after="0" w:line="501" w:lineRule="auto"/>
        <w:tabs>
          <w:tab w:leader="none" w:pos="64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001-15911</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800" w:type="dxa"/>
            <w:vAlign w:val="bottom"/>
            <w:gridSpan w:val="2"/>
          </w:tcPr>
          <w:p>
            <w:pPr>
              <w:jc w:val="right"/>
              <w:ind w:right="2610"/>
              <w:spacing w:after="0"/>
              <w:rPr>
                <w:sz w:val="20"/>
                <w:szCs w:val="20"/>
                <w:color w:val="auto"/>
              </w:rPr>
            </w:pPr>
            <w:r>
              <w:rPr>
                <w:rFonts w:ascii="Times New Roman" w:cs="Times New Roman" w:eastAsia="Times New Roman" w:hAnsi="Times New Roman"/>
                <w:sz w:val="18"/>
                <w:szCs w:val="18"/>
                <w:b w:val="1"/>
                <w:bCs w:val="1"/>
                <w:color w:val="auto"/>
              </w:rPr>
              <w:t>52-1256615</w:t>
            </w:r>
          </w:p>
        </w:tc>
      </w:tr>
      <w:tr>
        <w:trPr>
          <w:trHeight w:val="228"/>
        </w:trPr>
        <w:tc>
          <w:tcPr>
            <w:tcW w:w="56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(I.R.S. Employer Identification Number)</w:t>
            </w:r>
          </w:p>
        </w:tc>
      </w:tr>
    </w:tbl>
    <w:p>
      <w:pPr>
        <w:spacing w:after="0" w:line="17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997 Lenox Drive, Suite 100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Lawrenceville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NJ 08648</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both"/>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6400" w:type="dxa"/>
            <w:vAlign w:val="bottom"/>
          </w:tcPr>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2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99"/>
              </w:rPr>
              <w:t>☑</w:t>
            </w:r>
          </w:p>
        </w:tc>
        <w:tc>
          <w:tcPr>
            <w:tcW w:w="2400" w:type="dxa"/>
            <w:vAlign w:val="bottom"/>
          </w:tcPr>
          <w:p>
            <w:pPr>
              <w:spacing w:after="0"/>
              <w:rPr>
                <w:sz w:val="24"/>
                <w:szCs w:val="24"/>
                <w:color w:val="auto"/>
              </w:rPr>
            </w:pPr>
          </w:p>
        </w:tc>
      </w:tr>
      <w:tr>
        <w:trPr>
          <w:trHeight w:val="432"/>
        </w:trPr>
        <w:tc>
          <w:tcPr>
            <w:tcW w:w="6400" w:type="dxa"/>
            <w:vAlign w:val="bottom"/>
          </w:tcPr>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473"/>
        </w:trPr>
        <w:tc>
          <w:tcPr>
            <w:tcW w:w="88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c>
          <w:tcPr>
            <w:tcW w:w="24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2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November 10, 2014, the Registrant had 19,976,546 shares of Common Stock, $.01 par value per share, outstanding.</w:t>
            </w: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780"/>
        </w:trPr>
        <w:tc>
          <w:tcPr>
            <w:tcW w:w="6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61"/>
        </w:trPr>
        <w:tc>
          <w:tcPr>
            <w:tcW w:w="640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5" w:right="19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CELSION CORPORATION</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QUARTERLY REPORT ON</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48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Page(s)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48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Sheets</w:t>
            </w:r>
          </w:p>
        </w:tc>
        <w:tc>
          <w:tcPr>
            <w:tcW w:w="24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Statements of Operations</w:t>
            </w:r>
          </w:p>
        </w:tc>
        <w:tc>
          <w:tcPr>
            <w:tcW w:w="248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Statements of Comprehensive Loss</w:t>
            </w:r>
          </w:p>
        </w:tc>
        <w:tc>
          <w:tcPr>
            <w:tcW w:w="24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Statements of Cash Flows</w:t>
            </w:r>
          </w:p>
        </w:tc>
        <w:tc>
          <w:tcPr>
            <w:tcW w:w="248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24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4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4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24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24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24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8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248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24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8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248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24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248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24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4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Celsion brand and product names, including but not limited to Celsion®, ThermoDox®, EGEN®, TheraPlas™ and TheraSilence™,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680" w:type="dxa"/>
            <w:vAlign w:val="bottom"/>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680" w:type="dxa"/>
            <w:vAlign w:val="bottom"/>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CELSION CORPORATION</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680" w:type="dxa"/>
            <w:vAlign w:val="bottom"/>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680" w:type="dxa"/>
            <w:vAlign w:val="bottom"/>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4,558,352</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5,718,504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securities – available for sale, at fair value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39,047,820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37,156,381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 receivable on investment securities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44,498,861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43,762,119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(at cost, less accumulated depreciation of $1,520,690 and $1,264,190,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1,043,761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832,886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25,801,728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Deposits, deferred fees and other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Patent licensing fees,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28,029,296</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1,075,567</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73,571,918</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45,670,572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6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6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CELSION CORPORATION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02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4,435,600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2,707,653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Notes payable – current portion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2,700,960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9,411,709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4,670,980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Earnout milestone liability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13,877,659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warrant liability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payable, net of discounts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6,887,662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454,904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472,731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34,654,978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14,146,737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100,000 shares authorized; no shares issued or outstanding at September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30, 2014 and December 31, 2013, respectively</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Common stock, $0.01 par value; 75,000,000 shares authorized; 20,097,103 and 13,737,970 shares issued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at September 30, 2014 and December 31, 2013, and 19,976,046 and 13,604,975 shares outstanding at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September 30, 2014 and December 31, 2013, respectively</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200,971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229,447,212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203,139,142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(188,501,156)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(169,287,157)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Subtotal</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41,120,955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33,945,199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Treasury stock, at cost (121,057 and 132,995 shares at September 30, 2014 and December 31, 2013,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(2,204,015)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(2,421,364)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respectively)</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38,916,940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31,523,835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73,571,918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45,670,572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financial statements</w:t>
            </w:r>
            <w:r>
              <w:rPr>
                <w:rFonts w:ascii="Times New Roman" w:cs="Times New Roman" w:eastAsia="Times New Roman" w:hAnsi="Times New Roman"/>
                <w:sz w:val="18"/>
                <w:szCs w:val="18"/>
                <w:color w:val="auto"/>
                <w:w w:val="99"/>
              </w:rPr>
              <w:t>.</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040" w:type="dxa"/>
            <w:vAlign w:val="bottom"/>
            <w:gridSpan w:val="2"/>
          </w:tcPr>
          <w:p>
            <w:pPr>
              <w:jc w:val="center"/>
              <w:ind w:left="329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0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3" w:right="1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CELSION CORPORATION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STATEMENTS OF OPERATIONS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3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3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2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375,000</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4,629,628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2,269,228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10,688,269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7,494,981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2,044,163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6,783,228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5,028,988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Acquisition costs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1,187,263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6,793,787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3,658,767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18,658,760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12,523,969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(6,668,787)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(3,533,767)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(18,283,760)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(12,148,969)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Gain (loss) from change in valuation of common stock warrant liability</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96,830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(518,843)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81,243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 income, net</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144,532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57,268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expense</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(418,711)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(162,774)</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(912,539)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income (expense)</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(273,559)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(537,754)</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(754,709)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7,847,358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(6,942,346)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(4,071,521)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(19,038,469)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gridSpan w:val="3"/>
          </w:tcPr>
          <w:p>
            <w:pPr>
              <w:ind w:left="320"/>
              <w:spacing w:after="0" w:line="198" w:lineRule="exact"/>
              <w:rPr>
                <w:sz w:val="20"/>
                <w:szCs w:val="20"/>
                <w:color w:val="auto"/>
              </w:rPr>
            </w:pPr>
            <w:r>
              <w:rPr>
                <w:rFonts w:ascii="Times New Roman" w:cs="Times New Roman" w:eastAsia="Times New Roman" w:hAnsi="Times New Roman"/>
                <w:sz w:val="18"/>
                <w:szCs w:val="18"/>
                <w:color w:val="auto"/>
              </w:rPr>
              <w:t>Non-cash deemed dividend from beneficial conversion feature on convertible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(4,601,410)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preferred stock</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2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(6,942,346)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(4,071,521)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(19,038,469)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(8,903,021)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gridSpan w:val="3"/>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 per common share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2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tcBorders>
              <w:top w:val="single" w:sz="8" w:color="CCEEFF"/>
            </w:tcBorders>
          </w:tcPr>
          <w:p>
            <w:pPr>
              <w:spacing w:after="0"/>
              <w:rPr>
                <w:sz w:val="17"/>
                <w:szCs w:val="17"/>
                <w:color w:val="auto"/>
              </w:rPr>
            </w:pPr>
          </w:p>
        </w:tc>
        <w:tc>
          <w:tcPr>
            <w:tcW w:w="20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19,964,389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13,601,800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17,948,841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11,755,611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gain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Realized (gain) loss on investment securities recognized in investment income,</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108,718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23,473</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loss on investment securities</w:t>
            </w: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(200,708)</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(91,990)</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(6,942,346)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(4,071,521)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(19,038,469)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(4,301,611)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(6,956,589)</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(4,163,511)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(19,020,375)</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(4,480,835)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CELSION CORPORATION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(19,038,469)</w:t>
            </w:r>
          </w:p>
        </w:tc>
        <w:tc>
          <w:tcPr>
            <w:tcW w:w="5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(4,301,611)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items included in net loss: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(81,243)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(8,141,574)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received for non-refundable technology transfer fee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2,253,636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Treasury shares issued for services and 401(k) matching contributions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41,819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deferred rent liability</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(17,825)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deferred finance charges and debt discount associated with notes payable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23,473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changes in: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interest on short term investments and other current assets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(932,504)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(14,843,483)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(6,059,077)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(29,175,818)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(42,584,990)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27,279,000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17,919,974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used in acquisition of EGEN, Inc. (net of cash received)</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(2,849,760)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Refund of deposit for letter of credit</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(398,011)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(5,094,589)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(24,672,510)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sale of common stock equity, net of issuance costs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13,788,811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15,628,099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sale of preferred stock, net of issuance costs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13,616,442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exercise of common stock warrants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exercise of options to purchase common stock</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note payable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(10,891)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18,777,920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28,910,511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(1,160,152)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(1,821,076)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5,718,504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14,991,488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4,558,352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13,170,412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605,100</w:t>
            </w:r>
          </w:p>
        </w:tc>
        <w:tc>
          <w:tcPr>
            <w:tcW w:w="140" w:type="dxa"/>
            <w:vAlign w:val="bottom"/>
          </w:tcPr>
          <w:p>
            <w:pPr>
              <w:spacing w:after="0"/>
              <w:rPr>
                <w:sz w:val="18"/>
                <w:szCs w:val="18"/>
                <w:color w:val="auto"/>
              </w:rPr>
            </w:pPr>
          </w:p>
        </w:tc>
        <w:tc>
          <w:tcPr>
            <w:tcW w:w="5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Fair value of common stock issued in acquisition of EGEN, Inc.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10,850,977</w:t>
            </w:r>
          </w:p>
        </w:tc>
        <w:tc>
          <w:tcPr>
            <w:tcW w:w="140" w:type="dxa"/>
            <w:vAlign w:val="bottom"/>
          </w:tcPr>
          <w:p>
            <w:pPr>
              <w:spacing w:after="0"/>
              <w:rPr>
                <w:sz w:val="18"/>
                <w:szCs w:val="18"/>
                <w:color w:val="auto"/>
              </w:rPr>
            </w:pPr>
          </w:p>
        </w:tc>
        <w:tc>
          <w:tcPr>
            <w:tcW w:w="5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3660"/>
              <w:spacing w:after="0"/>
              <w:rPr>
                <w:sz w:val="20"/>
                <w:szCs w:val="20"/>
                <w:color w:val="auto"/>
              </w:rPr>
            </w:pPr>
            <w:r>
              <w:rPr>
                <w:rFonts w:ascii="Times New Roman" w:cs="Times New Roman" w:eastAsia="Times New Roman" w:hAnsi="Times New Roman"/>
                <w:sz w:val="18"/>
                <w:szCs w:val="18"/>
                <w:b w:val="1"/>
                <w:bCs w:val="1"/>
                <w:color w:val="auto"/>
              </w:rPr>
              <w:t>See accompanying notes to the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8120" w:type="dxa"/>
            <w:vAlign w:val="bottom"/>
            <w:gridSpan w:val="2"/>
          </w:tcPr>
          <w:p>
            <w:pPr>
              <w:jc w:val="center"/>
              <w:ind w:left="321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ind w:left="260" w:right="2400"/>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 FOR THE THREE AND NINE MONTHS ENDED SEPTEMBER 30, 2014 AND 2013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Celsion Corporation, a Delaware corporation based in Lawrenceville, New Jersey, and its wholly owned subsidiary, CLSN Laboratories, Inc., also a Delaware corporation, referred to herein as “Celsion”, “we”, or “the Company,” as the context requires,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Our pipeline also includes EGEN-001,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side-effects common to cancer treatments.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Celsion Corporation and CLSN Laboratories, Inc., have been prepared in accordance with generally accepted accounting principles in the United States (GAAP) for interim financial information and with the instructions to Form 10-Q and Article 10 of Regulation S-X. All intercompany balances and transactions have been eliminated. Certain information and footnote disclosures normally included in financial statements prepared in accordance with GAAP have been condensed or omitted pursuant to such rules and regulations.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and nine month periods ended September 30, 2014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2013 filed on March 13, 2014 with the Securities and Exchange Commission.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New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2014, the FASB issued Accounting Standards Update No. 2014-09 Revenue from Contracts with Customers (Topic 606). This guidance is intended to improve and converge with international standards the financial reporting requirements for revenue from contracts with customers. It will be effective for our first quarter of 2017 and early adoption is not permitted. We are currently evaluating the impact of adoption of this new accounting pronouncement on our financial statements.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4.  Net Loss per Common Share</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based upon the net income (loss) available to common shareholders divided by the weighted average number of common shares outstanding during the period. Diluted earnings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0"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 xml:space="preserve">On October 28, 2013, the Company effected a 4.5-to-1 reverse stock split of its common stock which was made effective for trading purposes as of the commencement of trading on October 29, 2013. Immediately prior to the reverse stock split, the Company had 61,226,873 shares of common stock outstanding were combined and converted into 13,604,975 shares of the Company’s common stock as a result of the reverse stock split. All share, and per share amounts related to common stock, preferred stock, stock options, warrants and restricted stock included in these financial statements have been restated to reflect the reverse stock split. In addition, in accordance with </w:t>
      </w:r>
      <w:r>
        <w:rPr>
          <w:rFonts w:ascii="Times New Roman" w:cs="Times New Roman" w:eastAsia="Times New Roman" w:hAnsi="Times New Roman"/>
          <w:sz w:val="18"/>
          <w:szCs w:val="18"/>
          <w:i w:val="1"/>
          <w:iCs w:val="1"/>
          <w:color w:val="auto"/>
        </w:rPr>
        <w:t>Accounting Standards Update (ASU) No. 2010-01, Equity (Topic 505):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 to Shareholders with Components of Stock and Cash</w:t>
      </w:r>
      <w:r>
        <w:rPr>
          <w:rFonts w:ascii="Times New Roman" w:cs="Times New Roman" w:eastAsia="Times New Roman" w:hAnsi="Times New Roman"/>
          <w:sz w:val="18"/>
          <w:szCs w:val="18"/>
          <w:color w:val="auto"/>
        </w:rPr>
        <w:t>, the changes in the Company’s common stock as a result of the reverse stock split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 share components of the current and prior period financial statements presented be based on the new number of shares. Therefore, net loss per common share for the three and nine months ended September 30, 2013 have been adjusted to reflect post reverse stock split shares.</w:t>
      </w:r>
    </w:p>
    <w:p>
      <w:pPr>
        <w:spacing w:after="0" w:line="18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For the three and nine month periods ended September 30, 2014 and 2013, diluted loss attributable to common shareholders per common share was the same as basic loss attributable to common shareholders per common share as all options and warrants that were convertible into shares of the Company’s common stock were excluded from the calculation of diluted earnings attributable to common shareholders per common share as their effect would have been anti-dilutive. The total number of shares of common stock issuable upon exercise of warrants and equity awards for the nine month periods ended September 30, 2014 and 2013 were 6,831,031 and 3,939,484,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Securities - Available For Sale</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Investment securities available for sale of $39,047,820 and $37,156,381 as of September 30, 2014 and December 31, 2013, respectively, consist of commercial paper and corporate debt securities. They are valued at fair value, with unrealized gains and losses reported as a separate component of Stockholders’ Equity in Accumulated Other Comprehensive Loss.</w:t>
      </w:r>
    </w:p>
    <w:p>
      <w:pPr>
        <w:spacing w:after="0" w:line="17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Investment securities available for sale are evaluated periodically to determine whether a decline in their value is other than temporary. The term “other than temporary” is not intended to indicate a permanent decline in value. Rather, it means that the prospects for near-term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cost, fair value and bond maturities of the Company’s investment securities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46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 bond maturities</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3 months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14,755,066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14,754,389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7,799,032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7,797,689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Between 3-12 months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24,318,826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24,293,431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29,401,543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29,358,692</w:t>
            </w:r>
          </w:p>
        </w:tc>
        <w:tc>
          <w:tcPr>
            <w:tcW w:w="4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39,073,892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39,047,820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37,200,576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37,156,381</w:t>
            </w:r>
          </w:p>
        </w:tc>
        <w:tc>
          <w:tcPr>
            <w:tcW w:w="4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56"/>
        </w:trPr>
        <w:tc>
          <w:tcPr>
            <w:tcW w:w="1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05"/>
        </w:trPr>
        <w:tc>
          <w:tcPr>
            <w:tcW w:w="18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61"/>
        </w:trPr>
        <w:tc>
          <w:tcPr>
            <w:tcW w:w="180" w:type="dxa"/>
            <w:vAlign w:val="bottom"/>
            <w:shd w:val="clear" w:color="auto" w:fill="808080"/>
          </w:tcPr>
          <w:p>
            <w:pPr>
              <w:spacing w:after="0"/>
              <w:rPr>
                <w:sz w:val="5"/>
                <w:szCs w:val="5"/>
                <w:color w:val="auto"/>
              </w:rPr>
            </w:pPr>
          </w:p>
        </w:tc>
        <w:tc>
          <w:tcPr>
            <w:tcW w:w="53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6" w:right="199" w:bottom="1440" w:gutter="0" w:footer="0" w:header="0"/>
        </w:sectPr>
      </w:pPr>
    </w:p>
    <w:bookmarkStart w:id="10" w:name="page11"/>
    <w:bookmarkEnd w:id="10"/>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investment securities with unrealized holding gains and losses and their fair value by investment category and length of time that individual securities have been in a continuous unrealized loss position at September 30, 2014 and December 31, 2013. The Company has reviewed individual securities to determine whether a decline in fair value below the amortizable cost basis is other than temporary.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 2014</w:t>
            </w:r>
          </w:p>
        </w:tc>
        <w:tc>
          <w:tcPr>
            <w:tcW w:w="220" w:type="dxa"/>
            <w:vAlign w:val="bottom"/>
          </w:tcPr>
          <w:p>
            <w:pPr>
              <w:spacing w:after="0"/>
              <w:rPr>
                <w:sz w:val="20"/>
                <w:szCs w:val="20"/>
                <w:color w:val="auto"/>
              </w:rPr>
            </w:pPr>
          </w:p>
        </w:tc>
        <w:tc>
          <w:tcPr>
            <w:tcW w:w="254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Holding</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Available for Sale (all unrealized holding gains and losses are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than 12 months at date of measurement)</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Bonds – corporate issuances with unrealized gains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6,015,770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6,650,095</w:t>
            </w:r>
          </w:p>
        </w:tc>
        <w:tc>
          <w:tcPr>
            <w:tcW w:w="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Bonds – corporate issuances with unrealized losses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33,032,050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(26,559)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30,506,286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39,047,820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(26,072)</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37,156,381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which includes interest and dividends and gross realized gains and losses on sales of available for sale securities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tc>
        <w:tc>
          <w:tcPr>
            <w:tcW w:w="140" w:type="dxa"/>
            <w:vAlign w:val="bottom"/>
          </w:tcPr>
          <w:p>
            <w:pPr>
              <w:spacing w:after="0"/>
              <w:rPr>
                <w:sz w:val="20"/>
                <w:szCs w:val="20"/>
                <w:color w:val="auto"/>
              </w:rPr>
            </w:pPr>
          </w:p>
        </w:tc>
        <w:tc>
          <w:tcPr>
            <w:tcW w:w="32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10"/>
        </w:trPr>
        <w:tc>
          <w:tcPr>
            <w:tcW w:w="6900" w:type="dxa"/>
            <w:vAlign w:val="bottom"/>
            <w:gridSpan w:val="3"/>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26,297</w:t>
            </w:r>
          </w:p>
        </w:tc>
        <w:tc>
          <w:tcPr>
            <w:tcW w:w="68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gains (losses)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(108,718)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income,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144,532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40" w:type="dxa"/>
            <w:vAlign w:val="bottom"/>
            <w:gridSpan w:val="10"/>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40" w:type="dxa"/>
            <w:vAlign w:val="bottom"/>
            <w:gridSpan w:val="10"/>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980" w:type="dxa"/>
            <w:vAlign w:val="bottom"/>
            <w:gridSpan w:val="3"/>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527,628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(23,473)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(299,401)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income, net</w:t>
            </w:r>
          </w:p>
        </w:tc>
        <w:tc>
          <w:tcPr>
            <w:tcW w:w="1540" w:type="dxa"/>
            <w:vAlign w:val="bottom"/>
            <w:tcBorders>
              <w:bottom w:val="single" w:sz="8" w:color="CCEEFF"/>
            </w:tcBorders>
            <w:gridSpan w:val="2"/>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228,227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102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following table presents the change, by component, in accumulated other comprehensive loss for the first nine months of 2014.</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40" w:type="dxa"/>
            <w:vAlign w:val="bottom"/>
            <w:gridSpan w:val="9"/>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9"/>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Loss</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2014</w:t>
            </w:r>
          </w:p>
        </w:tc>
        <w:tc>
          <w:tcPr>
            <w:tcW w:w="1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(44,166)</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 on investment securities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(5,379)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reclassified from other accumulated comprehensive loss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other comprehensive loss, net</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2014</w:t>
            </w: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(26,072)</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534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jc w:val="right"/>
              <w:ind w:right="9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3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6.  Fair Value of Measurements</w:t>
      </w:r>
    </w:p>
    <w:p>
      <w:pPr>
        <w:spacing w:after="0" w:line="227"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color w:val="auto"/>
        </w:rPr>
        <w:t>FASB Accounting Standards Codification (ASC) Section 820 (formerly SFAS No. 157)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2" w:lineRule="exact"/>
        <w:rPr>
          <w:sz w:val="20"/>
          <w:szCs w:val="20"/>
          <w:color w:val="auto"/>
        </w:rPr>
      </w:pPr>
    </w:p>
    <w:p>
      <w:pPr>
        <w:ind w:left="360" w:right="1560"/>
        <w:spacing w:after="0" w:line="286" w:lineRule="auto"/>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Quoted prices (unadjusted) or identical assets or liabilities in active markets that the entity has the ability to access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date;</w:t>
      </w:r>
    </w:p>
    <w:p>
      <w:pPr>
        <w:spacing w:after="0" w:line="155" w:lineRule="exact"/>
        <w:rPr>
          <w:sz w:val="20"/>
          <w:szCs w:val="20"/>
          <w:color w:val="auto"/>
        </w:rPr>
      </w:pPr>
    </w:p>
    <w:p>
      <w:pPr>
        <w:ind w:left="360" w:right="1100"/>
        <w:spacing w:after="0" w:line="286"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and</w:t>
      </w:r>
    </w:p>
    <w:p>
      <w:pPr>
        <w:spacing w:after="0" w:line="155" w:lineRule="exact"/>
        <w:rPr>
          <w:sz w:val="20"/>
          <w:szCs w:val="20"/>
          <w:color w:val="auto"/>
        </w:rPr>
      </w:pPr>
    </w:p>
    <w:p>
      <w:pPr>
        <w:ind w:left="360" w:right="1180"/>
        <w:spacing w:after="0" w:line="286"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Significant unobservable inputs that reflect a reporting entity’s own assumptions that market participants would use in pricing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or liability.</w:t>
      </w:r>
    </w:p>
    <w:p>
      <w:pPr>
        <w:spacing w:after="0" w:line="15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 The common stock warrant liability has been valued using the Black-Scholes option pricing model, the inputs of which are more fully described in Note 13 to the financial statements.</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Cash and cash equivalents, other current assets, accounts payable and other accrued liabilities are reflected in the balance sheet at their estimated fair values primarily due to their short-term nature. There were no transfers of assets or liabilities between Level 1 and Level 2 and no transfers in or out of Level 3 during the nine months ended September 30, 2014. The following table presents information about assets and liabilities recorded at fair value on a recurring basis as of September 30, 2014 and December 31, 2013 on the Company’s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Fair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 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Identical</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Sheet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September 30, 2014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investments available for sale Bonds – corporate issuances</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39,047,820</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39,047,820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items as of September 30, 2014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25,801,728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25,801,728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1,976,101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1,976,101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2013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investments available for sale Bonds – corporate issuances</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37,156,381</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37,156,381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September 30, 2014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warrant liability</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398,044</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398,044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gridSpan w:val="2"/>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Earnout milestone liability</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13,877,659</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13,877,659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warrant liability</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4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7. Acquisition of EGEN,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20, 2014, Celsion completed the acquisition of substantially all of the assets of Egen, Inc., an Alabama Corporation (EGEN) pursuant to an Asset Purchase Agreement (EGEN Purchase Agreement). CLSN Laboratories, Inc., a Delaware corporation and a wholly-owned subsidiary of Celsion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Celsion paid approximately $3.0 million in cash after expense adjustment and issued 2,712,188 shares of its common stock to EGEN. The shares of Celsion’s common stock were issued in a private transaction exempt from registration under the Securities Act of 1933, as amended (the Securities Act), pursuant to Section 4(2) thereof. In addition, 670,070 shares of Celsion common stock are issuable to EGEN on or after August 2, 2016 pending satisfactory resolution of any post-closing adjustments of expenses and EGEN’s indemnification obligations under the EGEN Purchase Agreement (Holdback Shares). The common stock issued and issuable to EGEN pursuant to the Asset Purchase Agreement were filed pursuant to Rule 415 under the Securities Act of 1933 on the Prospectus for Registration Statement No. 333-198786 and was declared effective on September 30, 2014.</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Earnout Payments of up to $30.4 million will become payable, in cash, shares of Celsion common stock or a combination thereof, at Celsion’s option, as follows:</w:t>
      </w:r>
    </w:p>
    <w:p>
      <w:pPr>
        <w:spacing w:after="0" w:line="162" w:lineRule="exact"/>
        <w:rPr>
          <w:sz w:val="20"/>
          <w:szCs w:val="20"/>
          <w:color w:val="auto"/>
        </w:rPr>
      </w:pPr>
    </w:p>
    <w:p>
      <w:pPr>
        <w:ind w:left="620" w:hanging="315"/>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will become payable upon achieving certain specified development milestones relating to an EGEN-001 ovarian cancer study to be conducted by Celsion or its subsidiary;</w:t>
      </w:r>
    </w:p>
    <w:p>
      <w:pPr>
        <w:spacing w:after="0" w:line="161" w:lineRule="exact"/>
        <w:rPr>
          <w:rFonts w:ascii="Times New Roman" w:cs="Times New Roman" w:eastAsia="Times New Roman" w:hAnsi="Times New Roman"/>
          <w:sz w:val="18"/>
          <w:szCs w:val="18"/>
          <w:color w:val="auto"/>
        </w:rPr>
      </w:pPr>
    </w:p>
    <w:p>
      <w:pPr>
        <w:ind w:left="620" w:right="20" w:hanging="315"/>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million will become payable upon achieving certain specified development milestones relating to an EGEN-001 glioblastoma multiforme brain cancer study to be conducted by Celsion or its subsidiary; and</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$6.0 million will become payable upon achieving certain specified development milestones relating to the TheraSilence technology acquired from EGEN in the acquisition. Celsion's obligations to make the Earnout Payments will terminate on the seventh anniversary of the closing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9, 2014, Celsion borrowed an additional $5 million pursuant to a certain Loan and Security Agreement dated as of November 25, 2013, by and between Celsion and Hercules Technology Growth Capital, Inc. (see Note 10). Celsion used the loan proceeds to pay the upfront cash payment at closing and certain transaction costs incurred by Celsion in connection with the acquisition.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 determined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 Paid at Closing</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net of cash acquired</w:t>
            </w:r>
          </w:p>
        </w:tc>
        <w:tc>
          <w:tcPr>
            <w:tcW w:w="60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2,821,000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0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Celsion common stock (2,712,188 shares valued at $3.48 which was the last closing price of our common stock at the</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time of closing the transaction on June 20, 2014)</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Future Consideration</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0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Holdback Shares (670,070 shares of Celsion common stock which were discounted by 38% to reflect the cost of the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restriction)</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Earnout Payments (at fair value*)</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fair value of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27,578,000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820" w:right="60" w:hanging="326"/>
        <w:spacing w:after="0" w:line="258"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aggregate $30.4 million in future Earnout Payments and the $13.9 million included in the fair value of the acquisition consideration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The Company assessed the fair value of these milestones at September 30, 2014 and concluded there was no change in the fair value from June 30, 2014.</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 The purchase price allocations are preliminary and subject to change as more detailed analyses are completed and additional information with respect to the fair values of the assets and liabilities acquired becomes available.</w:t>
      </w:r>
    </w:p>
    <w:p>
      <w:pPr>
        <w:sectPr>
          <w:pgSz w:w="11900" w:h="16838" w:orient="portrait"/>
          <w:cols w:equalWidth="0" w:num="1">
            <w:col w:w="11420"/>
          </w:cols>
          <w:pgMar w:left="240" w:top="580" w:right="2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87768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In-process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87768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87768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87768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87768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048" w:hanging="1048"/>
        <w:spacing w:after="0"/>
        <w:tabs>
          <w:tab w:leader="none" w:pos="10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35,000</w:t>
      </w:r>
    </w:p>
    <w:p>
      <w:pPr>
        <w:spacing w:after="0" w:line="27" w:lineRule="exact"/>
        <w:rPr>
          <w:rFonts w:ascii="Times New Roman" w:cs="Times New Roman" w:eastAsia="Times New Roman" w:hAnsi="Times New Roman"/>
          <w:sz w:val="18"/>
          <w:szCs w:val="18"/>
          <w:color w:val="auto"/>
        </w:rPr>
      </w:pPr>
    </w:p>
    <w:p>
      <w:pPr>
        <w:ind w:left="7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25,802,000</w:t>
      </w:r>
    </w:p>
    <w:p>
      <w:pPr>
        <w:spacing w:after="0" w:line="9" w:lineRule="exact"/>
        <w:rPr>
          <w:rFonts w:ascii="Times New Roman" w:cs="Times New Roman" w:eastAsia="Times New Roman" w:hAnsi="Times New Roman"/>
          <w:sz w:val="18"/>
          <w:szCs w:val="18"/>
          <w:color w:val="auto"/>
        </w:rPr>
      </w:pPr>
    </w:p>
    <w:p>
      <w:pPr>
        <w:ind w:left="8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1,976,000</w:t>
      </w:r>
    </w:p>
    <w:p>
      <w:pPr>
        <w:spacing w:after="0" w:line="220"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27,813,000</w:t>
      </w:r>
    </w:p>
    <w:p>
      <w:pPr>
        <w:spacing w:after="0" w:line="225"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(254,000)</w:t>
      </w:r>
    </w:p>
    <w:p>
      <w:pPr>
        <w:spacing w:after="0" w:line="239" w:lineRule="exact"/>
        <w:rPr>
          <w:sz w:val="20"/>
          <w:szCs w:val="20"/>
          <w:color w:val="auto"/>
        </w:rPr>
      </w:pPr>
    </w:p>
    <w:p>
      <w:pPr>
        <w:ind w:left="728" w:hanging="728"/>
        <w:spacing w:after="0"/>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27,559,000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977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72" w:space="720"/>
            <w:col w:w="2228"/>
          </w:cols>
          <w:pgMar w:left="240" w:top="580" w:right="239" w:bottom="1440" w:gutter="0" w:footer="0" w:header="0"/>
          <w:type w:val="continuous"/>
        </w:sectPr>
      </w:pP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preliminary purchase price exceeds the estimated fair value of the net assets acquired by approximately $2.0 million which was recorded as goodwill. Transaction costs associated with the EGEN are included in Acquisition Costs in the Condensed Consolidated Statement of Operations and totaled $119,996 and $1,187,263 during the three and nine months ended September 30, 2014,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(IPR&amp;D)</w:t>
      </w:r>
    </w:p>
    <w:p>
      <w:pPr>
        <w:spacing w:after="0" w:line="20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Acquired IPR&amp;D consists of EGEN's drug technology platforms: TheraPlas</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and TheraSilence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The fair value of the IPR&amp;D drug technology platforms was estimated to be $25.8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4" w:name="page15"/>
    <w:bookmarkEnd w:id="14"/>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 xml:space="preserve">To calculate fair value of </w:t>
      </w:r>
      <w:r>
        <w:rPr>
          <w:rFonts w:ascii="Times New Roman" w:cs="Times New Roman" w:eastAsia="Times New Roman" w:hAnsi="Times New Roman"/>
          <w:sz w:val="18"/>
          <w:szCs w:val="18"/>
          <w:i w:val="1"/>
          <w:iCs w:val="1"/>
          <w:color w:val="auto"/>
        </w:rPr>
        <w:t>the IPR&amp;D</w:t>
      </w:r>
      <w:r>
        <w:rPr>
          <w:rFonts w:ascii="Times New Roman" w:cs="Times New Roman" w:eastAsia="Times New Roman" w:hAnsi="Times New Roman"/>
          <w:sz w:val="18"/>
          <w:szCs w:val="18"/>
          <w:color w:val="auto"/>
        </w:rPr>
        <w:t xml:space="preserve">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19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the closing of the acquisition, the IPR&amp;D is considered indefinite lived intangible assets and will not be amortized. IPR&amp;D will be reviewed for possible impairment on an annual basis or more frequently if events are indicative of impairment.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unaudited pro forma information presents our condensed results of operations as if the acquisition of EGEN had occurred on January 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156,907</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(7,636,699)</w:t>
            </w:r>
          </w:p>
        </w:tc>
        <w:tc>
          <w:tcPr>
            <w:tcW w:w="7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(4,237,756)</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(7,869,427)</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(4,751,600)</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406,907</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(19,951,985)</w:t>
            </w:r>
          </w:p>
        </w:tc>
        <w:tc>
          <w:tcPr>
            <w:tcW w:w="6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(13,662,027)</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(20,549,899)</w:t>
            </w: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(10,367,146)</w:t>
            </w:r>
          </w:p>
        </w:tc>
      </w:tr>
    </w:tbl>
    <w:p>
      <w:pPr>
        <w:spacing w:after="0" w:line="19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above unaudited pro forma condensed consolidated financial information is presented for illustrative purposes only. It is not necessarily indicative of what the results of operations actually would have been had the acquisition been completed on the date indicated. In addition, it does not purport to project the future operating results of the combined entity.</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operations of EGEN were included with our operations from the period of closing of the acquisition on June 20, 2014 to the end of September 30, 2014. The Company’s Statement of Operations included $699,800 and $867,700 of operating expenses related to the operations of the acquired business for the three and nine month periods ended September 30, 2014,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IPR&amp;D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2014 and December 31, 2013, our goodwill and IPR&amp;D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2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0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25,801,728</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1,976,101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r>
      <w:tr>
        <w:trPr>
          <w:trHeight w:val="250"/>
        </w:trPr>
        <w:tc>
          <w:tcPr>
            <w:tcW w:w="18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goodwill and in-process research and development</w:t>
            </w:r>
          </w:p>
        </w:tc>
        <w:tc>
          <w:tcPr>
            <w:tcW w:w="2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27,777,829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Pr>
          <w:p>
            <w:pPr>
              <w:spacing w:after="0"/>
              <w:rPr>
                <w:sz w:val="21"/>
                <w:szCs w:val="21"/>
                <w:color w:val="auto"/>
              </w:rPr>
            </w:pPr>
          </w:p>
        </w:tc>
      </w:tr>
      <w:tr>
        <w:trPr>
          <w:trHeight w:val="656"/>
        </w:trPr>
        <w:tc>
          <w:tcPr>
            <w:tcW w:w="1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5"/>
        </w:trPr>
        <w:tc>
          <w:tcPr>
            <w:tcW w:w="1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61"/>
        </w:trPr>
        <w:tc>
          <w:tcPr>
            <w:tcW w:w="180" w:type="dxa"/>
            <w:vAlign w:val="bottom"/>
            <w:shd w:val="clear" w:color="auto" w:fill="808080"/>
          </w:tcPr>
          <w:p>
            <w:pPr>
              <w:spacing w:after="0"/>
              <w:rPr>
                <w:sz w:val="5"/>
                <w:szCs w:val="5"/>
                <w:color w:val="auto"/>
              </w:rPr>
            </w:pPr>
          </w:p>
        </w:tc>
        <w:tc>
          <w:tcPr>
            <w:tcW w:w="484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8" w:right="19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difference between the total purchase price for the net assets purchased from EGEN. and the aggregate fair values of tangible and intangible assets acquired, less liabilities assumed. We will test our goodwill for impairment annually and between annual tests if we become aware of an event or a change in circumstances that would indicate the carrying amount may be impaired.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In-process research and development consists of the estimated fair values of the IPR&amp;D programs as of their respective acquisition dates. We will test our IPR&amp;D for impairment annually and between annual tests if we become aware of an event or a change in circumstances that would indicate the carrying amount may be impaired.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Accrued Liabilities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at September 30, 2014 and December 31, 2013 include the following:</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4"/>
        </w:trPr>
        <w:tc>
          <w:tcPr>
            <w:tcW w:w="7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1,711,934</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651,725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900,434</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63,500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on notes payable</w:t>
            </w: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93,750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31,785</w:t>
            </w:r>
          </w:p>
        </w:tc>
      </w:tr>
      <w:tr>
        <w:trPr>
          <w:trHeight w:val="210"/>
        </w:trPr>
        <w:tc>
          <w:tcPr>
            <w:tcW w:w="7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1,775,149</w:t>
            </w: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2,707,653</w:t>
            </w:r>
          </w:p>
        </w:tc>
      </w:tr>
      <w:tr>
        <w:trPr>
          <w:trHeight w:val="413"/>
        </w:trPr>
        <w:tc>
          <w:tcPr>
            <w:tcW w:w="7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10. Note Payable</w:t>
            </w: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Hercules Credit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obligations under the Hercules Credit Agreement are in the form of secured indebtedness bearing interest at a calculated prime-based variable rate (11.25% per annum since inception). Payments under the loan agreement are interest only for the first twelve months after loan closing, followed by a 30-month amortization period of principal and interest through the scheduled maturity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Hercules Credit Agreement, the Company incurred cash expenses of $122,378 which were recorded as deferred financing fees. These deferred financing fees are being amortized as interest expense using the effective interest method over the life of the loan. Also in connection with the Hercules Credit Facility, the Company paid loan origination fees of $230,000 which has been classified as debt discount. This amount is being amortized as interest expense using the effective interest method over the life of the loan.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fee in connection with the Hercules Credit Agreement, the Company issued Hercules a warrant for a total of 97,493 shares of the Company’s common stock (the Hercules Warrant) at a per share exercise price of $3.59, exercisable for cash or by net exercise from November 25, 2013. Upon the closing of the second tranche on June 10, 2014, this warrant became exercisable for an additional 97,493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 The common stock issuable pursuant to the Hercules Warrant was filed pursuant to Rule 415 under the Securities Act of 1933 on the Prospectus for Registration Statement No. 333-193936 and was declared effective on September 30, 2014.</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valued the Hercules Warrant issued at the inception of the loan using the Black-Scholes option pricing model and recorded $521,763 in 2013 as deferred financing fees. In calculating the value of the warrants, the Company assumed a volatility rate of 102%, risk free interest rate of 1.37%, an expected life of 5 years, a stock price of $3.55 (closing price on date of the Hercules Warrant) and no expected forfeitures nor dividends. In the second quarter of 2014, the Company reassessed the classification of the warrants and concluded the original amount should be reclassified from deferred financing fees and equity. Therefore, other assets and additional paid in capital were both reduced by the $521,763. The Company then valued the warrant for the initial 97,493 shares of the Company’s common stock as of the inception of the loan and recorded $260,928 as a debt discount to be amortized as interest expense using the effective interest method over the life of the loan and recognized a warrant liability for this amount. In connection with the closing of the second $5 million tranche on June 9, 2014, the Company then valued the warrant for the additional 97,493 shares of the Company’s common stock which became available and exercisable as of the date and recorded $215,333 as a debt discount to be amortized as interest expense using the effective interest method over the life of the loan and recognized a warrant liability for this amount. In calculating the value of the warrant for the additional shares of the Company’s common stock on June 10, 2014, the Company assumed a volatility rate of 104%, risk free interest rate of 1.69%, an expected remaining life of 4.5 years, a stock price of $3.07 (closing price June 9, 2014) and no expected forfeitures nor dividends. The warrant liability will be fair valued at the end of each quarter and the resulting change in fair value will be recognized in net income.</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Also in connection with each of the $5.0 million tranches, the Company will be required to pay an end of term charge equal to 3.5% of each original loan amount at time of maturity. Therefore, these amounts totaling $350,000 are being amortized as interest expense using the effective interest method over the life of the loan.</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2014, the Company incurred $604,688 in interest expense and amortized $307,440 as interest expense for deferred fees, debt discount and end of term charges in connection with the Hercules Credit Agreement.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is a schedule of future principle payments before debt discount due on the Hercules Credit Agreement:</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2018 and thereafter</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Oxford &amp; Horizon Credit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2012, the Company entered into a Loan and Security Agreement (the Oxford &amp; Horizon Credit Agreement) with Oxford Finance LLC (Oxford) and Horizon Technology Finance Corporation (Horizon). The Oxford &amp; Horizon Credit Agreement provided for a secured term loan of up to $10 million, with 50% of any loans to be funded by Oxford and 50% to be funded by Horizon. The aggregate loan amount could have been advanced in two tranches of $5 million each. The first tranche (the Term A Loan) was made available to the Company on June 27, 2012 and the second tranche was to be made available, if at all, during the period beginning on the date that the Company achieved positive data in its Phase III clinical trial of RFA and ThermoDox® (the HEAT Study) and ending on March 31, 2013. On January 31, 2013, the Company announced it did not meet the primary endpoint of the HEAT Study.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The Term A Loan was originally scheduled to mature on October 15, 2015. As a result of the Hercules Credit Agreement discussed above, the Company terminated the Oxford &amp; Horizon Credit Agreement and repaid the outstanding principle, accrued interest and termination fees totaling approximately $4.1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proceeds of the Oxford &amp; Horizon Credit Agreement were used to fund the Company’s working capital and general corporate purposes. The obligations under the Oxford &amp; Horizon Credit Agreement were secured by substantially all assets of the Company other than its intellectual property and certain other agreed-upon exclusions.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fee in connection with the Oxford &amp; Horizon Credit Agreement, the Company issued warrants to Horizon and Oxford (the Oxford &amp; Horizon Warrants) to purchase the number of shares of the Company’s common stock equal to 3% of each loan amount divided by the exercise price of $13.14 per share, which was calculated as the average NASDAQ closing price of the Company’s common stock for the three days prior to the funding of the loan amount. This resulted in 11,415 warrant shares issued in connection with the Term A Loan. The Oxford &amp; Horizon Warrants issued in connection with the Term A Loan are exercisable for cash or by net exercise and will expire seven years after their issuance, which is June 27, 2019.</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valued the Oxford &amp; Horizon Warrants using the Black-Scholes option pricing model and recorded $73,654 as deferred financing fees. In calculating the value of the warrants, the Company assumed a volatility rate of 74.3%, risk free interest rate of 1.10%, an expected life of 3.5 years, a stock price of $12.60 which was the closing price on date of issuing the Oxford &amp; Horizon Warrant) and no expected forfeitures nor dividends. In connection with the Oxford &amp; Horizon Credit Agreement, the Company incurred cash expenses of $217,715 which were recorded as deferred financing fees in 2012. These deferred financing fees were amortized as interest expense over the life of the loan. During the first three months of 2013, the Company paid $146,874 in interest expense and amortized $31,560 of deferred financing fees as interest expense. The Term A Loan bore interest at a fixed rate of 11.75%.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Lease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2011, the Company financed $144,448 of lab equipment through a capital lease. This lease obligation has thirty monthly payments of $5,651 through February 2014. During the first nine months of 2014, the Company made principal and interest payments totaling $11,303 to satisfy the remaining obligation under this capital 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2014 Common Stock Offering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15, 2014, the Company entered into a Securities Purchase Agreement with certain institutional investors, pursuant to which the Company sold, in a registered offering, an aggregate of 3,603,604 shares of its common stock, par value $0.01 per share, and warrants to purchase up to 1,801,802 shares of Common Stock, for an aggregate purchase price of approximately $15 million (the January 2014 Common Stock Offering). The shares of common stock and warrants were sold in units, with each unit consisting of one share of common stock, a Series A warrant to purchase 0.25 share of common stock and a Series B warrant to purchase 0.25 share of common stock. Each unit was sold at a purchase price of $4.1625. Each Series A warrant will be exercisable at any time on or after its issuance date and until the five-year anniversary of the issuance date. Each Series B warrant will be exercisable at any time on or after its issuance date and until the one-year anniversary of the issuance date. Each warrant has an exercise price of $4.10 per share. Under the purchase agreement, the Company is prohibited, for a period of nine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Equity Offering</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February 1, 2013, the Company entered into a Controlled Equity Offering</w:t>
      </w:r>
      <w:r>
        <w:rPr>
          <w:rFonts w:ascii="Times New Roman" w:cs="Times New Roman" w:eastAsia="Times New Roman" w:hAnsi="Times New Roman"/>
          <w:sz w:val="30"/>
          <w:szCs w:val="30"/>
          <w:color w:val="auto"/>
          <w:vertAlign w:val="superscript"/>
        </w:rPr>
        <w:t>SM</w:t>
      </w:r>
      <w:r>
        <w:rPr>
          <w:rFonts w:ascii="Times New Roman" w:cs="Times New Roman" w:eastAsia="Times New Roman" w:hAnsi="Times New Roman"/>
          <w:sz w:val="18"/>
          <w:szCs w:val="18"/>
          <w:color w:val="auto"/>
        </w:rPr>
        <w:t xml:space="preserve"> Sales Agreement (the ATM Agreement) with Cantor Fitzgerald &amp; Co., as sales agent (Cantor), pursuant to which the Company may offer and sell, from time to time, through Cantor, shares of its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February 25, 2013, the Company sold and issued an aggregate of 1,195,927 shares of common stock under the ATM Agreement, receiving approximately $6.8 million in net proceeds.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In connection with the January 2014 Common Stock Offering, the Company agreed to not sell any ATM Shares until July 22, 2014. In September of 2014, the Company reactivated the ATM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2013 Preferred Stock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22, 2013, the Company entered into a Securities Purchase Agreement with certain institutional investors, pursuant to which the Company sold, in a registered offering, an aggregate of 15,000.00422 shares of its Series A 0% convertible preferred stock and the warrants to purchase shares of its common stock, for an aggregate purchase price of approximately $15.0 million (the February 2013 Preferred Stock Offering). The closing of the February 2013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2,682,764 shares of common stock, and the warrants are exercisable to purchase an aggregate of up to 1,341,382 shares of common stock. Each warrant has an exercise price of $5.31 per share, equal to the closing bid price of common stock on February 21, 2013. The warrants are immediately exercisable and expire five years after the date of issuance.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issuance, we estimated the fair value of the warrants issued in the February 2013 Preferred Stock Offering to be approximately $5.4 million using the Black-Scholes pricing model. Also, upon issuance, we recognized a one-time, non-cash deemed dividend related to the beneficial conversion feature connected to the preferred stock in the Preferred Stock Offering of approximately $4.6 million in the first three months of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Assumptions used in the valuation of the warrants issued in the February 2013 Preferred Stock Offering are as follows:</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Expected forfeiture rate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2013, 2,682,764 shares of common stock in the aggregate were issued upon conversion of all of the 15,000.00422 shares of the Series A 0% convertible preferred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May 2013 Common Stock Offering</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On May 30, 2013, the Company entered into a Securities Purchase Agreement with certain institutional investors, pursuant to which the Company sold, in a registered offering, an aggregate of 1,392,109 shares of its common stock for an aggregate purchase price of approximately $9.8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On October 28, 2013, the Company effected a 4.5-to-1 reverse stock split of its common stock which was made effective for trading purposes as of the commencement of trading on October 29, 2013. As of October 28, 2013, each nine shares of issued and outstanding common stock and equivalents were combined and converted into two shares of common stock outstanding at the time of the reverse stock split. Weighted average shares outstanding and net income (loss) attributable to common stockholders of the Company for the three and nine months ended September 30, 2013 have been adjusted to reflect the reverse stock split.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Plans</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0"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In 2007, the Company adopted the Celsion Corporation 2007 Stock Incentive Plan (the 2007 Plan) under which 222,222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June 7, 2012 and June 20, 2014, the stockholders approved amendments to the Plan. The only material difference between the original Plan and the amended Plan was the number of shares of common stock available for issuance under the amended Plan which was increased by 222,222 to a total of 444,444 shares in 2010, by 500,000 to a total of 944,444 shares in 2012 and by 2,500,000 to a total of 3,444,444 shares in 2014.</w:t>
      </w:r>
    </w:p>
    <w:p>
      <w:pPr>
        <w:spacing w:after="0" w:line="18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Prior to the adoption of the 2007 Plan, the Company adopted two stock plans for directors, officers and employees (one in 2001 and another in 2004) under which 148,148 shares were reserved for future issuance under each of these plans. As these plans have been superseded by the 2007 Plan, any options previously granted which expire, forfeit, or cancel under these plans will be rolled into the 2007 Plan.</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assumptions for determining the fair value of options granted under the Black-Scholes option pricing model: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4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8"/>
        </w:trPr>
        <w:tc>
          <w:tcPr>
            <w:tcW w:w="37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4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3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2.63 - 2.75%</w:t>
            </w:r>
          </w:p>
        </w:tc>
        <w:tc>
          <w:tcPr>
            <w:tcW w:w="6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0.85 - 1.19%</w:t>
            </w:r>
          </w:p>
        </w:tc>
        <w:tc>
          <w:tcPr>
            <w:tcW w:w="6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98.7 - 100.7%</w:t>
            </w:r>
          </w:p>
        </w:tc>
        <w:tc>
          <w:tcPr>
            <w:tcW w:w="6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83.4 - 97.8%</w:t>
            </w:r>
          </w:p>
        </w:tc>
        <w:tc>
          <w:tcPr>
            <w:tcW w:w="62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- 6.0</w:t>
            </w:r>
          </w:p>
        </w:tc>
        <w:tc>
          <w:tcPr>
            <w:tcW w:w="6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Expected forfeiture rate</w:t>
            </w:r>
          </w:p>
        </w:tc>
        <w:tc>
          <w:tcPr>
            <w:tcW w:w="5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- 7.5%</w:t>
            </w:r>
          </w:p>
        </w:tc>
        <w:tc>
          <w:tcPr>
            <w:tcW w:w="62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tcPr>
          <w:p>
            <w:pPr>
              <w:spacing w:after="0"/>
              <w:rPr>
                <w:sz w:val="18"/>
                <w:szCs w:val="18"/>
                <w:color w:val="auto"/>
              </w:rPr>
            </w:pPr>
          </w:p>
        </w:tc>
      </w:tr>
      <w:tr>
        <w:trPr>
          <w:trHeight w:val="675"/>
        </w:trPr>
        <w:tc>
          <w:tcPr>
            <w:tcW w:w="3700" w:type="dxa"/>
            <w:vAlign w:val="bottom"/>
          </w:tcPr>
          <w:p>
            <w:pPr>
              <w:spacing w:after="0"/>
              <w:rPr>
                <w:sz w:val="24"/>
                <w:szCs w:val="24"/>
                <w:color w:val="auto"/>
              </w:rPr>
            </w:pPr>
          </w:p>
        </w:tc>
        <w:tc>
          <w:tcPr>
            <w:tcW w:w="3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17</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37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3700" w:type="dxa"/>
            <w:vAlign w:val="bottom"/>
            <w:shd w:val="clear" w:color="auto" w:fill="808080"/>
          </w:tcPr>
          <w:p>
            <w:pPr>
              <w:spacing w:after="0"/>
              <w:rPr>
                <w:sz w:val="5"/>
                <w:szCs w:val="5"/>
                <w:color w:val="auto"/>
              </w:rPr>
            </w:pPr>
          </w:p>
        </w:tc>
        <w:tc>
          <w:tcPr>
            <w:tcW w:w="368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6" w:right="19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The risk free interest rate is derived from values assigned to U.S. Treasury bonds as published in the Wall Street Journal in effect at the time of grant. The model incorporates exercise, pre-vesting and post-vesting forfeiture assumptions based on analysis of historical data. The expected life of the fiscal 2014 and 2013 grants was generated using the simplified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and restricted stock awards for the nine months ended September 30, 2014 is as follows: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awards outstanding at December 31,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awards 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awards forfeited, cancelled or expired</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Equity awards outstanding at September 30, 2014</w:t>
      </w:r>
    </w:p>
    <w:p>
      <w:pPr>
        <w:spacing w:after="0" w:line="225" w:lineRule="exact"/>
        <w:rPr>
          <w:sz w:val="20"/>
          <w:szCs w:val="20"/>
          <w:color w:val="auto"/>
        </w:rPr>
      </w:pPr>
    </w:p>
    <w:p>
      <w:pPr>
        <w:ind w:left="180" w:right="180"/>
        <w:spacing w:after="0" w:line="282" w:lineRule="auto"/>
        <w:rPr>
          <w:sz w:val="20"/>
          <w:szCs w:val="20"/>
          <w:color w:val="auto"/>
        </w:rPr>
      </w:pPr>
      <w:r>
        <w:rPr>
          <w:rFonts w:ascii="Times New Roman" w:cs="Times New Roman" w:eastAsia="Times New Roman" w:hAnsi="Times New Roman"/>
          <w:sz w:val="18"/>
          <w:szCs w:val="18"/>
          <w:color w:val="auto"/>
        </w:rPr>
        <w:t>Aggregate intrinsic value of outstanding awards at September 30, 2014</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Equity awards exercisable at September 30, 2014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240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187"/>
        </w:trPr>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Terms of</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0" w:type="dxa"/>
            <w:vAlign w:val="bottom"/>
          </w:tcPr>
          <w:p>
            <w:pPr>
              <w:spacing w:after="0"/>
              <w:rPr>
                <w:sz w:val="1"/>
                <w:szCs w:val="1"/>
                <w:color w:val="auto"/>
              </w:rPr>
            </w:pPr>
          </w:p>
        </w:tc>
      </w:tr>
      <w:tr>
        <w:trPr>
          <w:trHeight w:val="238"/>
        </w:trPr>
        <w:tc>
          <w:tcPr>
            <w:tcW w:w="11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407"/>
        </w:trPr>
        <w:tc>
          <w:tcPr>
            <w:tcW w:w="2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861,905</w:t>
            </w:r>
          </w:p>
        </w:tc>
        <w:tc>
          <w:tcPr>
            <w:tcW w:w="14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954,200</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(67,925)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1,748,180</w:t>
            </w:r>
          </w:p>
        </w:tc>
        <w:tc>
          <w:tcPr>
            <w:tcW w:w="14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22,025</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1,008,573</w:t>
            </w:r>
          </w:p>
        </w:tc>
        <w:tc>
          <w:tcPr>
            <w:tcW w:w="14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-1568450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-1294130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-1011555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-711200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-299720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980" w:space="720"/>
            <w:col w:w="6720"/>
          </w:cols>
          <w:pgMar w:left="240" w:top="580" w:right="239" w:bottom="1440" w:gutter="0" w:footer="0" w:header="0"/>
          <w:type w:val="continuous"/>
        </w:sectPr>
      </w:pPr>
    </w:p>
    <w:tbl>
      <w:tblPr>
        <w:tblLayout w:type="fixed"/>
        <w:tblInd w:w="180" w:type="dxa"/>
        <w:tblCellMar>
          <w:top w:w="0" w:type="dxa"/>
          <w:left w:w="0" w:type="dxa"/>
          <w:bottom w:w="0" w:type="dxa"/>
          <w:right w:w="0" w:type="dxa"/>
        </w:tblCellMar>
      </w:tblP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Aggregate intrinsic value of awards exercisable at September</w:t>
            </w:r>
          </w:p>
        </w:tc>
        <w:tc>
          <w:tcPr>
            <w:tcW w:w="6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30, 2014</w:t>
            </w:r>
          </w:p>
        </w:tc>
        <w:tc>
          <w:tcPr>
            <w:tcW w:w="6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-24765</wp:posOffset>
            </wp:positionV>
            <wp:extent cx="737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-7620</wp:posOffset>
            </wp:positionV>
            <wp:extent cx="737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employee stock options and restricted stock awards amounted to $532,160 and $261,277 for the three months ended September 30, 2014 and 2013, respectively. Total compensation cost related to employee stock options and restricted stock awards amounted to $2,253,636 and $ 995,950 for the nine months ended September 30, 2014 and 2013, respectively. No compensation cost related to share-based payments arrangements was capitalized as part of the cost of any asset as of September 30, 2014 and 2013.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2014, there was $1.8 million of total unrecognized compensation cost related to non-vested share-based compensation arrangements. That cost is expected to be recognized over a weighted-average period of 1.9 years. The weighted average grant-date fair value was $3.18 and $4.41 per share for the options granted during the nine months ended September 30, 2014 and 2013, respectively. The weighted average grant-date fair value was $3.49 and $5.36 for the restricted stock awards granted during the nine months ended September 30, 2014 and 2013, respectively. The Company granted 25,250 and 111 restricted stock awards during the first nine months of 2014 and 2013, respectively.</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Collectively, for all the stock option plans as of September 30, 2014, there were a total of 3,674,770 shares reserved, which were comprised of 1,754,698 equity awards granted and 1,920,072 equity awards available for future issuance.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Warrants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nine months ended September 30, 2014: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60" w:type="dxa"/>
            <w:vAlign w:val="bottom"/>
            <w:tcBorders>
              <w:bottom w:val="single" w:sz="8" w:color="auto"/>
            </w:tcBorders>
          </w:tcPr>
          <w:p>
            <w:pPr>
              <w:ind w:left="33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3,170,520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granted in connection with the January 2014 Common Stock Offering, as more fully</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described in Note 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1,801,802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number shares associated with the Hercules Warrant (see Note 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97,493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 for common stock</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September 30, 2014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5,069,815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September 30, 2014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(in years)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 Liability</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September 2009, the Company closed a registered direct offering with a select group of institutional investors that raised gross proceeds of $7.1 million and net proceeds of $6.3 million. In connection with this registered direct offering, the Company issued 448,478 shares of its common stock and warrants to purchase 224,239 shares of common stock. The warrants have an exercise price of $23.58 per share and are exercisable at any time on or after the six month anniversary of the date of issuance and on or prior to 66 months after the date of issuance. Under the terms of the warrants, upon certain transactions, including a merger, tender offer or sale of all or substantially all of the assets of the Company, each warrant holder may elect to receive a cash payment in exchange for the warrant, in an amount determined by application of the Black-Scholes option valuation model. Accordingly, pursuant to ASC 815.40, </w:t>
      </w:r>
      <w:r>
        <w:rPr>
          <w:rFonts w:ascii="Times New Roman" w:cs="Times New Roman" w:eastAsia="Times New Roman" w:hAnsi="Times New Roman"/>
          <w:sz w:val="18"/>
          <w:szCs w:val="18"/>
          <w:i w:val="1"/>
          <w:iCs w:val="1"/>
          <w:color w:val="auto"/>
        </w:rPr>
        <w:t xml:space="preserve">Derivative Instruments and Hedging - Contracts in Entity’s Own Equity, </w:t>
      </w:r>
      <w:r>
        <w:rPr>
          <w:rFonts w:ascii="Times New Roman" w:cs="Times New Roman" w:eastAsia="Times New Roman" w:hAnsi="Times New Roman"/>
          <w:sz w:val="18"/>
          <w:szCs w:val="18"/>
          <w:color w:val="auto"/>
        </w:rPr>
        <w:t>the warrants are recorded as a liability and then marked to market each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Statement of Operations in other income or expense. At the end of each subsequent quarter, the Company will revalue the fair value of the warrants and the change in fair value will be recorded as a change to the warrant liability and the difference will be recorded through the Statement of Operations in other income or expense.</w:t>
      </w:r>
    </w:p>
    <w:p>
      <w:pPr>
        <w:spacing w:after="0" w:line="18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fair value of the warrants at September 30, 2014 and December 31, 2013 was $398,044 and $3,026, respectively, calculated using the Black-Scholes option-pricing model with the following ranges of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20" w:type="dxa"/>
            <w:vAlign w:val="bottom"/>
          </w:tcPr>
          <w:p>
            <w:pPr>
              <w:spacing w:after="0"/>
              <w:rPr>
                <w:sz w:val="18"/>
                <w:szCs w:val="18"/>
                <w:color w:val="auto"/>
              </w:rPr>
            </w:pPr>
          </w:p>
        </w:tc>
      </w:tr>
      <w:tr>
        <w:trPr>
          <w:trHeight w:val="238"/>
        </w:trPr>
        <w:tc>
          <w:tcPr>
            <w:tcW w:w="37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0.03 - 1.78%</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0.13%</w:t>
            </w:r>
          </w:p>
        </w:tc>
        <w:tc>
          <w:tcPr>
            <w:tcW w:w="6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24.1 - 103.4%</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64.74%</w:t>
            </w:r>
          </w:p>
        </w:tc>
        <w:tc>
          <w:tcPr>
            <w:tcW w:w="62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0.5 - 4.2</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6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Expected forfeiture rate</w:t>
            </w:r>
          </w:p>
        </w:tc>
        <w:tc>
          <w:tcPr>
            <w:tcW w:w="5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620" w:type="dxa"/>
            <w:vAlign w:val="bottom"/>
          </w:tcPr>
          <w:p>
            <w:pPr>
              <w:spacing w:after="0"/>
              <w:rPr>
                <w:sz w:val="18"/>
                <w:szCs w:val="18"/>
                <w:color w:val="auto"/>
              </w:rPr>
            </w:pPr>
          </w:p>
        </w:tc>
      </w:tr>
      <w:tr>
        <w:trPr>
          <w:trHeight w:val="675"/>
        </w:trPr>
        <w:tc>
          <w:tcPr>
            <w:tcW w:w="3700" w:type="dxa"/>
            <w:vAlign w:val="bottom"/>
          </w:tcPr>
          <w:p>
            <w:pPr>
              <w:spacing w:after="0"/>
              <w:rPr>
                <w:sz w:val="24"/>
                <w:szCs w:val="24"/>
                <w:color w:val="auto"/>
              </w:rPr>
            </w:pPr>
          </w:p>
        </w:tc>
        <w:tc>
          <w:tcPr>
            <w:tcW w:w="3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19</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37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3700" w:type="dxa"/>
            <w:vAlign w:val="bottom"/>
            <w:shd w:val="clear" w:color="auto" w:fill="808080"/>
          </w:tcPr>
          <w:p>
            <w:pPr>
              <w:spacing w:after="0"/>
              <w:rPr>
                <w:sz w:val="5"/>
                <w:szCs w:val="5"/>
                <w:color w:val="auto"/>
              </w:rPr>
            </w:pPr>
          </w:p>
        </w:tc>
        <w:tc>
          <w:tcPr>
            <w:tcW w:w="368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6" w:right="1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is a summary of the changes in the common stock warrant liability for the nine months ended September 30, 2014:</w:t>
      </w:r>
    </w:p>
    <w:p>
      <w:pPr>
        <w:spacing w:after="0" w:line="225" w:lineRule="exact"/>
        <w:rPr>
          <w:sz w:val="20"/>
          <w:szCs w:val="20"/>
          <w:color w:val="auto"/>
        </w:rPr>
      </w:pPr>
    </w:p>
    <w:p>
      <w:pPr>
        <w:spacing w:after="0"/>
        <w:tabs>
          <w:tab w:leader="none" w:pos="9200" w:val="left"/>
          <w:tab w:leader="none" w:pos="10300" w:val="left"/>
        </w:tabs>
        <w:rPr>
          <w:sz w:val="20"/>
          <w:szCs w:val="20"/>
          <w:color w:val="auto"/>
        </w:rPr>
      </w:pPr>
      <w:r>
        <w:rPr>
          <w:rFonts w:ascii="Times New Roman" w:cs="Times New Roman" w:eastAsia="Times New Roman" w:hAnsi="Times New Roman"/>
          <w:sz w:val="18"/>
          <w:szCs w:val="18"/>
          <w:color w:val="auto"/>
        </w:rPr>
        <w:t>Beginning balance as of January 1, 2014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8776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warrants classified as liability (see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8776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from the adjustment for the change in fair value included in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87768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as of September 30, 2014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8"/>
          <w:szCs w:val="18"/>
          <w:color w:val="auto"/>
        </w:rPr>
        <w:t>476,261</w:t>
      </w:r>
    </w:p>
    <w:p>
      <w:pPr>
        <w:spacing w:after="0" w:line="27"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(81,243)</w:t>
      </w:r>
    </w:p>
    <w:p>
      <w:pPr>
        <w:spacing w:after="0" w:line="9" w:lineRule="exact"/>
        <w:rPr>
          <w:sz w:val="20"/>
          <w:szCs w:val="20"/>
          <w:color w:val="auto"/>
        </w:rPr>
      </w:pPr>
    </w:p>
    <w:p>
      <w:pPr>
        <w:ind w:left="921" w:hanging="921"/>
        <w:spacing w:after="0"/>
        <w:tabs>
          <w:tab w:leader="none" w:pos="9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398,044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960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499" w:space="720"/>
            <w:col w:w="2241"/>
          </w:cols>
          <w:pgMar w:left="240" w:top="580" w:right="199" w:bottom="1440" w:gutter="0" w:footer="0" w:header="0"/>
          <w:type w:val="continuous"/>
        </w:sectPr>
      </w:pPr>
    </w:p>
    <w:p>
      <w:pPr>
        <w:spacing w:after="0" w:line="25"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Prior to the closing of the May 2013 Common Stock Offering, there were an insufficient number of authorized shares to complete the transaction. The investors in the May 2013 Common Stock Offering also held warrants to purchase common stock of the Company which were issued in connection with previous offerings. Concurrent with the closing of the May 2013 Common Stock Offering, the institutional investors agreed to waive their rights to exercise these warrants to purchase 1,398,816 shares of common stock of the Company (the Waived Warrants) until the Company obtained stockholders’ approval to increase the number of its authorized shares of common stock in conjunction with the proposed reverse stock split of its outstanding shares of common stock. At the Company’s 2013 Annual Meeting of Stockholders held on July 19, 2013, the Company’s stockholders voted to approve the proposal to grant discretionary authority to the Board of Directors to amend the Certificate of Incorporation of the Company, as amended, to effect, at any time on or prior to the date of the 2014 Annual Meeting of Stockholders, a reverse stock split at an exchange ratio within the specified range and to set the number of authorized shares effective immediately after the reverse stock split at 75 million shares. On October 28, 2013, the Company announced that it effected a 1-for-4.5 reverse stock split of its common stock. See the section titled “Reverse Stock Split” in Note 11 above for further information.</w:t>
      </w:r>
    </w:p>
    <w:p>
      <w:pPr>
        <w:spacing w:after="0" w:line="186"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 xml:space="preserve">Prior to the closing of the May 2013 Common Stock Offering, the warrants described above were originally recorded as equity at the fair value on the date of issuance. In accordance with ASC 815-40, </w:t>
      </w:r>
      <w:r>
        <w:rPr>
          <w:rFonts w:ascii="Times New Roman" w:cs="Times New Roman" w:eastAsia="Times New Roman" w:hAnsi="Times New Roman"/>
          <w:sz w:val="18"/>
          <w:szCs w:val="18"/>
          <w:i w:val="1"/>
          <w:iCs w:val="1"/>
          <w:color w:val="auto"/>
        </w:rPr>
        <w:t>Derivative Instruments and Hedging - Contracts in Entity’s Own Equity,</w:t>
      </w:r>
      <w:r>
        <w:rPr>
          <w:rFonts w:ascii="Times New Roman" w:cs="Times New Roman" w:eastAsia="Times New Roman" w:hAnsi="Times New Roman"/>
          <w:sz w:val="18"/>
          <w:szCs w:val="18"/>
          <w:color w:val="auto"/>
        </w:rPr>
        <w:t xml:space="preserve"> the Waived Warrants were required to be liability classified immediately after the closing of the May 2013 Common Stock Offering on June 3, 2013 because there were an insufficient number of common shares authorized to permit the full exercise of the warrants. Therefore on June 3, 2013, the Company reclassified the fair value of the Waived Warrants totaling approximately $9.1 million from equity to a liability. The Waived Warrants were required to be recorded at fair value at each balance sheet date with changes in fair value recorded in earnings until such time as there were a sufficient number of common shares authorized to permit the full exercise of the warrants.</w:t>
      </w:r>
    </w:p>
    <w:p>
      <w:pPr>
        <w:spacing w:after="0" w:line="18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As a result of this change in the warrant liability in the aggregate at June 30, 2013 (which included the valuations of warrants from both the September 2009 register direct financing and the warrants waived in the May 2013 Common Stock Offering), the Company recorded a non-cash benefit of $8.7 million in the six months ended June 30, 2013. In connection with the reverse stock split as more fully described above in Note 11, these warrants were valued as of October 28, 2013, and the Company reclassified the fair value of the Waived Warrants totaling approximately $5.3 million from a liability to equity at that time.</w:t>
      </w:r>
    </w:p>
    <w:p>
      <w:pPr>
        <w:spacing w:after="0" w:line="18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Following is a summary list of the Waived Warrants associated with the May 30, 2013 Common Stock Offering and warrants from the September 2009 registered direct offering: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associated with the</w:t>
            </w:r>
          </w:p>
        </w:tc>
        <w:tc>
          <w:tcPr>
            <w:tcW w:w="3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Expiration Date of</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Fair Value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Waived Warrants</w:t>
            </w:r>
          </w:p>
        </w:tc>
        <w:tc>
          <w:tcPr>
            <w:tcW w:w="3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Waived Warrants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Strike 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on June 3, 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 2013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1,323,496</w:t>
            </w:r>
          </w:p>
        </w:tc>
        <w:tc>
          <w:tcPr>
            <w:tcW w:w="40" w:type="dxa"/>
            <w:vAlign w:val="bottom"/>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31,243</w:t>
            </w:r>
          </w:p>
        </w:tc>
        <w:tc>
          <w:tcPr>
            <w:tcW w:w="40" w:type="dxa"/>
            <w:vAlign w:val="bottom"/>
          </w:tcPr>
          <w:p>
            <w:pPr>
              <w:spacing w:after="0"/>
              <w:rPr>
                <w:sz w:val="18"/>
                <w:szCs w:val="18"/>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7/25/2016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12,628</w:t>
            </w:r>
          </w:p>
        </w:tc>
        <w:tc>
          <w:tcPr>
            <w:tcW w:w="40" w:type="dxa"/>
            <w:vAlign w:val="bottom"/>
            <w:shd w:val="clear" w:color="auto" w:fill="CCEEFF"/>
          </w:tcPr>
          <w:p>
            <w:pPr>
              <w:spacing w:after="0"/>
              <w:rPr>
                <w:sz w:val="18"/>
                <w:szCs w:val="18"/>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31,448</w:t>
            </w:r>
          </w:p>
        </w:tc>
        <w:tc>
          <w:tcPr>
            <w:tcW w:w="40" w:type="dxa"/>
            <w:vAlign w:val="bottom"/>
          </w:tcPr>
          <w:p>
            <w:pPr>
              <w:spacing w:after="0"/>
              <w:rPr>
                <w:sz w:val="20"/>
                <w:szCs w:val="20"/>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11/25/2017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Shares of common</w:t>
            </w:r>
          </w:p>
        </w:tc>
        <w:tc>
          <w:tcPr>
            <w:tcW w:w="35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Expiration Date of</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b w:val="1"/>
                <w:bCs w:val="1"/>
                <w:color w:val="auto"/>
              </w:rPr>
              <w:t>stock associated with</w:t>
            </w:r>
          </w:p>
        </w:tc>
        <w:tc>
          <w:tcPr>
            <w:tcW w:w="35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warrants issued in</w:t>
            </w:r>
          </w:p>
        </w:tc>
        <w:tc>
          <w:tcPr>
            <w:tcW w:w="3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warrants issued in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the September 2009</w:t>
            </w:r>
          </w:p>
        </w:tc>
        <w:tc>
          <w:tcPr>
            <w:tcW w:w="3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the September 2009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8"/>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registered direct</w:t>
            </w:r>
          </w:p>
        </w:tc>
        <w:tc>
          <w:tcPr>
            <w:tcW w:w="3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registered direct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Strike</w:t>
            </w:r>
          </w:p>
        </w:tc>
        <w:tc>
          <w:tcPr>
            <w:tcW w:w="80" w:type="dxa"/>
            <w:vAlign w:val="bottom"/>
          </w:tcPr>
          <w:p>
            <w:pPr>
              <w:spacing w:after="0"/>
              <w:rPr>
                <w:sz w:val="18"/>
                <w:szCs w:val="18"/>
                <w:color w:val="auto"/>
              </w:rPr>
            </w:pPr>
          </w:p>
        </w:tc>
        <w:tc>
          <w:tcPr>
            <w:tcW w:w="3180" w:type="dxa"/>
            <w:vAlign w:val="bottom"/>
            <w:gridSpan w:val="8"/>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Fair Value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3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80" w:type="dxa"/>
            <w:vAlign w:val="bottom"/>
          </w:tcPr>
          <w:p>
            <w:pPr>
              <w:spacing w:after="0"/>
              <w:rPr>
                <w:sz w:val="20"/>
                <w:szCs w:val="20"/>
                <w:color w:val="auto"/>
              </w:rPr>
            </w:pPr>
          </w:p>
        </w:tc>
        <w:tc>
          <w:tcPr>
            <w:tcW w:w="3180" w:type="dxa"/>
            <w:vAlign w:val="bottom"/>
            <w:gridSpan w:val="8"/>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June 30, 2013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448,478</w:t>
            </w:r>
          </w:p>
        </w:tc>
        <w:tc>
          <w:tcPr>
            <w:tcW w:w="40" w:type="dxa"/>
            <w:vAlign w:val="bottom"/>
            <w:tcBorders>
              <w:top w:val="single" w:sz="8" w:color="auto"/>
            </w:tcBorders>
            <w:shd w:val="clear" w:color="auto" w:fill="CCEEFF"/>
          </w:tcPr>
          <w:p>
            <w:pPr>
              <w:spacing w:after="0"/>
              <w:rPr>
                <w:sz w:val="18"/>
                <w:szCs w:val="18"/>
                <w:color w:val="auto"/>
              </w:rPr>
            </w:pPr>
          </w:p>
        </w:tc>
        <w:tc>
          <w:tcPr>
            <w:tcW w:w="34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March 31, 2015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5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5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type w:val="continuous"/>
        </w:sectPr>
      </w:pPr>
    </w:p>
    <w:bookmarkStart w:id="23" w:name="page24"/>
    <w:bookmarkEnd w:id="23"/>
    <w:p>
      <w:pPr>
        <w:ind w:left="140" w:right="320"/>
        <w:spacing w:after="0" w:line="282" w:lineRule="auto"/>
        <w:rPr>
          <w:sz w:val="20"/>
          <w:szCs w:val="20"/>
          <w:color w:val="auto"/>
        </w:rPr>
      </w:pPr>
      <w:r>
        <w:rPr>
          <w:rFonts w:ascii="Times New Roman" w:cs="Times New Roman" w:eastAsia="Times New Roman" w:hAnsi="Times New Roman"/>
          <w:sz w:val="18"/>
          <w:szCs w:val="18"/>
          <w:color w:val="auto"/>
        </w:rPr>
        <w:t>Assumptions used in the valuation of the Waived Warrants associated with the May 30, 2013 Common Stock Offering and warrants from the September 2009 registered direct offering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 2013</w:t>
            </w:r>
          </w:p>
        </w:tc>
        <w:tc>
          <w:tcPr>
            <w:tcW w:w="260" w:type="dxa"/>
            <w:vAlign w:val="bottom"/>
          </w:tcPr>
          <w:p>
            <w:pPr>
              <w:spacing w:after="0"/>
              <w:rPr>
                <w:sz w:val="20"/>
                <w:szCs w:val="20"/>
                <w:color w:val="auto"/>
              </w:rPr>
            </w:pPr>
          </w:p>
        </w:tc>
        <w:tc>
          <w:tcPr>
            <w:tcW w:w="15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0.50 - 1.03%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102.9 - 110.9%</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103.4 - 147.3%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3.1 - 4.7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- 4.70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Expected forfeiture rate</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0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Contingent Liabilities and Commitments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2011, the Company, as a tenant, and a landlord executed a lease (the Lease) for a 10,870 square foot premises located in Lawrenceville, New Jersey. In October 2011, the Company relocated its offices to Lawrenceville, New Jersey from Columbia, Maryland. The Lease has a term of 66 months and provides for 6 months of free rent; with the first monthly rent payment of approximately $23,000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term of the Lease has expired. In connection with two $50,000 reductions of the standby letter of credit in April 2013 and 2014, the Company reduced the escrow deposit by $50,000 each time.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Egen Asset Purchase agreement in June 2014, the Company assumed the existing lease with another landlord for a 11,500 square foot premises located in Huntsville Alabama. This lease will has a remaining term of 43 months with monthly rent payments of approximately $23,200.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Technology Development and Licensing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Technology Development Contract and Commercial Supply Agreement with Zhejiang Hisun Pharmaceutical Co. Ltd.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7, 2012 the Company entered into a long term commercial supply agreement with Zhejiang Hisun Pharmaceutical Co. Ltd. (Hisun) for the production of ThermoDox® in mainland China, Hong Kong and Macau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As of September 30, 2014, the Company has incurred approximately $371,000 in costs to be reimbursed to Hisun.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2013, we entered into a technology development contract with Hisun, pursuant to which Hisun paid us a non-refundable research and development fee of $5 million to support our development of ThermoDox® in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based on findings of the ongoing post-study analysis of the HEAT Study data.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key provisions of the Celsion-Hisun Memorandum of Understanding are:</w:t>
      </w:r>
    </w:p>
    <w:p>
      <w:pPr>
        <w:spacing w:after="0" w:line="225" w:lineRule="exact"/>
        <w:rPr>
          <w:sz w:val="20"/>
          <w:szCs w:val="20"/>
          <w:color w:val="auto"/>
        </w:rPr>
      </w:pPr>
    </w:p>
    <w:p>
      <w:pPr>
        <w:ind w:left="540" w:right="1420" w:hanging="262"/>
        <w:spacing w:after="0" w:line="282" w:lineRule="auto"/>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61" w:lineRule="exact"/>
        <w:rPr>
          <w:rFonts w:ascii="Times New Roman" w:cs="Times New Roman" w:eastAsia="Times New Roman" w:hAnsi="Times New Roman"/>
          <w:sz w:val="18"/>
          <w:szCs w:val="18"/>
          <w:b w:val="1"/>
          <w:bCs w:val="1"/>
          <w:color w:val="auto"/>
        </w:rPr>
      </w:pPr>
    </w:p>
    <w:p>
      <w:pPr>
        <w:ind w:left="540" w:right="1420" w:hanging="262"/>
        <w:spacing w:after="0" w:line="282" w:lineRule="auto"/>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collaborate with the Company around the clinical and regulatory approval activities for ThermoDox® as well as other liposomal formations with the CHINA FDA; and</w:t>
      </w:r>
    </w:p>
    <w:p>
      <w:pPr>
        <w:spacing w:after="0" w:line="161" w:lineRule="exact"/>
        <w:rPr>
          <w:rFonts w:ascii="Times New Roman" w:cs="Times New Roman" w:eastAsia="Times New Roman" w:hAnsi="Times New Roman"/>
          <w:sz w:val="18"/>
          <w:szCs w:val="18"/>
          <w:b w:val="1"/>
          <w:bCs w:val="1"/>
          <w:color w:val="auto"/>
        </w:rPr>
      </w:pPr>
    </w:p>
    <w:p>
      <w:pPr>
        <w:ind w:left="540" w:right="1420" w:hanging="262"/>
        <w:spacing w:after="0" w:line="282" w:lineRule="auto"/>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be granted a right of first offer for a commercial license to ThermoDox® for the sale and distribution of ThermoDox® in the China territory.</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Development, Product Supply and Commercialization Agreement with Yakult Honsha</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fourth quarter of 2008, the Company entered into a Development, Product Supply and Commercialization Agreement with Yakult Honsha Co. LTD (Yakult) under which Yakult was granted the exclusive right to commercialize and market ThermoDox® for the Japanese market. We were paid a $2.5 million up-front licensing fee and we have the potential to receive additional payments from Yakult upon receipt of marketing approval by the Japanese Ministry of Health, Labor and Welfare as well as upon the achievement of certain levels of sales and approval for new indications. We will receive double digit escalating royalties on the sale ThermoDox® in Japan, when and if any such sales occur. We also will be the exclusive supplier of ThermoDox® to Yakult.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2011, the Company amended its Development, Product Supply and Commercialization Agreement with Yakult to provide for up to $4.0 million in an accelerated partial payment to the Company of a future drug approval milestone, which included $2.0 million paid to the Company upon the closing of the preferred equity financing the Company conducted in January 2011 and an additional $2.0 million conditioned upon the resumption of enrollment of Japanese patients in the Japan cohort of the HEAT Study. In consideration of these accelerated milestone payments from Yakult, the Company agreed to reduce future drug approval milestone payments by approximately 40%.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our Annual Report on Form 10-K for the fiscal year ended December 31, 2013 filed on March 13, 2014 with the Securities and Exchange Commission and our Quarterly Report on Form 10-Q for the quarter ended June 30, 2014 filed on August 7, 2014 with the Securities and Exchange Commission,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discussion of risks and uncertainties set forth in this Quarterly Report on Form 10-Q and in our most recent Annual Report on Form 10-K, as well as in other filings with the SEC, is not necessarily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Clinical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Celsion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Our pipeline also includes EGEN-001,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side-effects common to cancer treatments.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ThermoDox®</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lead product ThermoDox® is being evaluated in a Phase III clinical trial, in combination with radiofrequency ablation (RFA), for hepatocellular carcinoma (HCC), also known as primary liver cancer (the HEAT Study); a Phase III clinical trial, in combination with a standardized RFA protocol, for primary liver cancer (the OPTIMA Study) and a Phase II clinical trial for recurrent chest wall breast cancer (the DIGNITY Study). ThermoDox® is a liposomal encapsulation of doxorubicin, an approved and frequently used oncology drug for the treatment of a wide range of cancers. Localized heat at mild hyperthermia temperatures (greater than 39.5 degrees Celsius) releases the encapsulated doxorubicin from the liposome enabling high concentrations of doxorubicin to be deposited preferentially in and around the targeted tumor.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HEAT Study. </w:t>
      </w:r>
      <w:r>
        <w:rPr>
          <w:rFonts w:ascii="Times New Roman" w:cs="Times New Roman" w:eastAsia="Times New Roman" w:hAnsi="Times New Roman"/>
          <w:sz w:val="18"/>
          <w:szCs w:val="18"/>
          <w:color w:val="auto"/>
        </w:rPr>
        <w:t>On January 31, 2013, we announced that ThermoDox® in combination with RFA did not meet the primary endpoint of Progression 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Survival (PFS) for the 701 patient clinical trial (the HEAT Study) in patients with primary liver cancer. Specifically, we determined, after conferring with the HEAT Study independent Data Monitoring Committee (DMC), that the HEAT Study did not meet the goal of demonstrating persuasive evidence of clinical effectiveness that could form the basis for regulatory approval. In the trial, ThermoDox® was well-tolerated with no unexpected serious adverse events. Following the announcement of the HEAT Study results, we continue to follow patients for overall survival, the secondary endpoint of the HEAT Study, on a quarterly basis. We have conducted a comprehensive analysis of the data from the HEAT Study to assess the future strategic value of ThermoDox®. In April 2013, we announced the deferral of expenses associated with our Phase II study of ThermoDox® in combination with RFA for the treatment of colorectal liver metastases (the ABLATE Study) until such time as we finalize our plans for the continuation of its development program with ThermoDox® in HCC.</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data from the HEAT Study post-hoc analysis suggests that ThermoDox® may substantially improve overall survival, when compared to the control group, in patients if their tumors undergo optimal RFA treatment. Data from five overall survival sweeps have been conducted since the top line PFS data from the HEAT Study was announced in January 2013. In July 2014, we announced that the latest overall survival data from the post-hoc analysis of results from the HEAT Study supports continued clinical development through a prospective pivotal Phase III Study. As reported on July 28, 2014, data from the latest HEAT Study post-hoc analysis as of June 30, 2014 suggest that ThermoDox® may markedly improve overall survival, compared to RFA control, in patients whose lesions undergo RFA treatment for 45 minutes or more. These findings apply to patients with single HCC lesions (64.4% of the HEAT Study population) from both size cohorts of the HEAT Study (3-5 cm and 5-7 cm) and represent a subgroup of 285 patients (41% of the patients in the HEAT Study). For this large subgroup, clinical results indicate a 57% improvement in overall survival, a Hazard Ratio of 0.639 (95% CI 0.419 – 0.974), and a p-Value of 0.037. Median overall survival for this subgroup has not yet been reached and this information should be viewed with caution since it is based on a retrospective analysis of a subgroup that has not reached its median point for the overall survival analysis. We may choose to end this analysis of overall survival once the median is reached for either or both arms of the study.</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Emerging data from the HEAT Study post-hoc analysis has been presented at various scientific and medical conferences in 2013 and 2014 by key HEAT Study investigators and leading liver cancer experts. The presentations include:</w:t>
      </w:r>
    </w:p>
    <w:p>
      <w:pPr>
        <w:spacing w:after="0" w:line="162" w:lineRule="exact"/>
        <w:rPr>
          <w:sz w:val="20"/>
          <w:szCs w:val="20"/>
          <w:color w:val="auto"/>
        </w:rPr>
      </w:pPr>
    </w:p>
    <w:p>
      <w:pPr>
        <w:ind w:left="1060" w:hanging="424"/>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Conference on Interventional Oncology in May 2013</w:t>
      </w:r>
    </w:p>
    <w:p>
      <w:pPr>
        <w:spacing w:after="0" w:line="2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Liver Cancer Association Annual Conference in September 2013</w:t>
      </w:r>
    </w:p>
    <w:p>
      <w:pPr>
        <w:spacing w:after="0" w:line="9"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Conference on Interventional Oncology in June 2013 and April 2014</w:t>
      </w:r>
    </w:p>
    <w:p>
      <w:pPr>
        <w:spacing w:after="0" w:line="9"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Society of Clinical Oncology 50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Annual Meeting in June 2014</w:t>
      </w:r>
    </w:p>
    <w:p>
      <w:pPr>
        <w:spacing w:after="0" w:line="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completed computational modeling with supplementary preclinical animal studies supporting the relationship between heating duration and clinical outcomes.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OPTIMA Study. </w:t>
      </w:r>
      <w:r>
        <w:rPr>
          <w:rFonts w:ascii="Times New Roman" w:cs="Times New Roman" w:eastAsia="Times New Roman" w:hAnsi="Times New Roman"/>
          <w:sz w:val="18"/>
          <w:szCs w:val="18"/>
          <w:color w:val="auto"/>
        </w:rPr>
        <w:t>On February 24, 2014, we announced that the United States Food and Drug Administration (FDA), after its customary 30 day review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provided and allowed, subject to compliance with regulatory standards, clearance for our planned pivotal, double-blind, placebo-controlled Phase III trial (the OPTIMA Study) of ThermoDox®, in combination with RFA in primary liver cancer, also known as hepatocellular carcinoma (HCC). The OPTIMA Study trial design is based on the comprehensive analysis of data from the HEAT Study. We launched the OPTIMA Study in the first half of 2014. The OPTIMA Study was designed with extensive input from globally recognized HCC researchers and clinicians and after receiving formal written consultation from the FDA. The OPTIMA Study is expected to enroll approximately 550 patients globally, with up to 100 sites in the United States, Europe, China and Asia Pacific, and will evaluate ThermoDox® in combination with RFA, which will be standardized to a minimum of 45 minutes across all investigators and sites for treating lesions 3 to 7 centimeters, versus standardized RFA alone. The primary endpoint for the trial is overall survival, and the secondary endpoint for the trial is PFS and Safety. The statistical plan calls for two interim efficacy analyses by an independent Data Monitoring Committee. On September 2, 2014, we announced that the first patient had been enrolled in the OPTIMA Study.</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met with the China State Food and Drug Administration (CHINA FDA) in 2014 to discuss the OPTIMA Phase III trial including minimum patient enrollment requirements supporting ThermoDox®’s registration in China. Based on those discussions, we are submitting an application for accelerated approval of the study in China. We plan to expand our clinical site footprint in Europe and will meet with the European Medicines Agency (EMA) during 2014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have filed a request for a Voluntary Harmonization Procedure (VHP) in Europe, which provides for the assessment of multinational clinical trial applications across several European countries, including Germany, France and Spain. The Company’s request for a VHP in Europe was approved on October 23, 2014.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7" w:name="page28"/>
    <w:bookmarkEnd w:id="27"/>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DIGNITY Study. </w:t>
      </w:r>
      <w:r>
        <w:rPr>
          <w:rFonts w:ascii="Times New Roman" w:cs="Times New Roman" w:eastAsia="Times New Roman" w:hAnsi="Times New Roman"/>
          <w:sz w:val="18"/>
          <w:szCs w:val="18"/>
          <w:color w:val="auto"/>
        </w:rPr>
        <w:t>On July 24, 2014, we announced interim data from our ongoing open-label Phase II trial (the DIGNITY Study) of ThermoDox®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Recurrent Chest Wall Breast Cancer (RCWBC). The trial is designed to enroll up to 20 patients at several U.S. clinical sites and is evaluating ThermoDox® in combination with mild hyperthermia. Of the 14 patients enrolled and treated, ten were eligible for evaluation of efficacy. Based on data available to date, 60% of patients experienced a stabilization of their highly refractory disease with a local response rate of 50% observed in the ten evaluable patients, notably three complete responses, two partial responses and one patient with stable disease.</w:t>
      </w:r>
    </w:p>
    <w:p>
      <w:pPr>
        <w:spacing w:after="0" w:line="184"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These data are consistent with the combined clinical data from two Phase I trials, our Phase I DIGNITY Study and the Duke University sponsored Phase I trial of ThermoDox® plus hyperthermia in RCWBC in December 2013. The two similarly designed Phase I studies enrolled patients with highly resistant tumors found on the chest wall and who had progressed on previous therapy including chemotherapy, radiation therapy and hormone therapy. There were 29 patients treated in the two trials (11 patients in our DIGNITY Study and 18 patients in the Duke study). Of the 29 patients treated, 23 were eligible for evaluation of efficacy. A local response rate of over 60% was reported in 14 of the 23 evaluable patients with five complete responses and nine partial responses.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EGEN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20, 2014, Celsion completed the acquisition of substantially all of the assets of Egen, Inc., an Alabama Corporation (EGEN) pursuant to an Asset Purchase Agreement (EGEN Asset Purchase Agreement). CLSN Laboratories, Inc., a Delaware corporation and a wholly-owned subsidiary of Celsion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Celsion paid approximately $3.0 million in cash after the expense adjustment and issued 2,712,188 shares of its common stock to EGEN. The shares of Celsion’s common stock were issued in a private transaction exempt from registration under the Securities Act of 1933, as amended (the Securities Act), pursuant to Section 4(2) thereof. In addition, 670,070 shares of Celsion common stock are issuable to EGEN on or after August 2, 2016 pending satisfactory resolution of any post-closing adjustments of expenses and EGEN’s indemnification obligations under the EGEN Purchase Agreement (Holdback Shares).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Earnout Payments of up to $30.4 million will become payable, in cash, shares of Celsion common stock or a combination thereof, at Celsion’s option, as follows:</w:t>
      </w:r>
    </w:p>
    <w:p>
      <w:pPr>
        <w:spacing w:after="0" w:line="162" w:lineRule="exact"/>
        <w:rPr>
          <w:sz w:val="20"/>
          <w:szCs w:val="20"/>
          <w:color w:val="auto"/>
        </w:rPr>
      </w:pPr>
    </w:p>
    <w:p>
      <w:pPr>
        <w:ind w:left="480" w:hanging="283"/>
        <w:spacing w:after="0" w:line="282"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will become payable upon achieving certain specified development milestones relating to an EGEN-001 ovarian cancer study to be conducted by Celsion or its subsidiary;</w:t>
      </w:r>
    </w:p>
    <w:p>
      <w:pPr>
        <w:spacing w:after="0" w:line="161" w:lineRule="exact"/>
        <w:rPr>
          <w:rFonts w:ascii="Times New Roman" w:cs="Times New Roman" w:eastAsia="Times New Roman" w:hAnsi="Times New Roman"/>
          <w:sz w:val="18"/>
          <w:szCs w:val="18"/>
          <w:color w:val="auto"/>
        </w:rPr>
      </w:pPr>
    </w:p>
    <w:p>
      <w:pPr>
        <w:ind w:left="480" w:right="20" w:hanging="283"/>
        <w:spacing w:after="0" w:line="282"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million will become payable upon achieving certain specified development milestones relating to an EGEN-001 glioblastoma multiforme brain cancer study to be conducted by Celsion or its subsidiary;</w:t>
      </w:r>
    </w:p>
    <w:p>
      <w:pPr>
        <w:spacing w:after="0" w:line="161" w:lineRule="exact"/>
        <w:rPr>
          <w:rFonts w:ascii="Times New Roman" w:cs="Times New Roman" w:eastAsia="Times New Roman" w:hAnsi="Times New Roman"/>
          <w:sz w:val="18"/>
          <w:szCs w:val="18"/>
          <w:color w:val="auto"/>
        </w:rPr>
      </w:pPr>
    </w:p>
    <w:p>
      <w:pPr>
        <w:ind w:left="480" w:hanging="283"/>
        <w:spacing w:after="0" w:line="282"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$6.0 million will become payable upon achieving certain specified development milestones relating to the TheraSilence technology acquired from EGEN in the acquisition; and</w:t>
      </w:r>
    </w:p>
    <w:p>
      <w:pPr>
        <w:spacing w:after="0" w:line="161" w:lineRule="exact"/>
        <w:rPr>
          <w:rFonts w:ascii="Times New Roman" w:cs="Times New Roman" w:eastAsia="Times New Roman" w:hAnsi="Times New Roman"/>
          <w:sz w:val="18"/>
          <w:szCs w:val="18"/>
          <w:color w:val="auto"/>
        </w:rPr>
      </w:pPr>
    </w:p>
    <w:p>
      <w:pPr>
        <w:ind w:left="480" w:hanging="283"/>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Celsion's obligations to make the Earnout Payments will terminate on the seventh anniversary of the closing date.</w:t>
      </w:r>
    </w:p>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June 9, 2014, Celsion borrowed an additional $5 million pursuant to a certain Loan and Security Agreement dated as of November 25, 2013, by and between Celsion and Hercules Technology Growth Capital, Inc. Celsion used the loan proceeds to pay the upfront cash payment to EGEN at closing and certain transaction costs incurred in connection with the acquisition.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In the acquisition, we purchased EGEN-001,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 EGEN-001 is currently in an early stage of clinical development for the treatment of ovarian cancer, and the delivery technology platforms that we purchased from EGEN are in preclinical stages of development. On October 28, 2014, we presented preclinical data related to TheraSilence® at the miRNA World Conference Workshop on miRNA Delivery. Preclinical data indicate that in a mouse lung tumor model, intravenous (IV) delivery of RNA inhibiting VEGFR-2, a tumor angiogenesis factor, via the TheraSilence® delivery system resulted in significant knockdown of VEGFR-2 transcript in lungs, reduction in tumor blood vessel density and inhibition of tumor growth. Preclinical studies also demonstrated the ability of anti-miRNA delivered via the TheraSilence® delivery system to inhibit miRNA-145, which is associated with the pathogenesis of pulmonary arterial hypertension. Systemically administered RNA complexes using the TheraSilence® delivery system demonstrated a good tolerability profile. We do not expect to realize any revenue from product sales in the next several years, if at all, other than minimal revenue from the sale of reagent products we acquired from EGEN. Further, there can be no assurance that we will be able to develop and maintain a broad range of product candidates.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we are dependent on the success of one or a few product candidates, results such as those announced in relation to the HEAT Study on January 31, 2013 will have a more significant impact on our financial prospects, financial condition and market value. As demonstrated by the HEAT Study results in January 2013,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results of operations, financial condition and market value.</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w:t>
      </w: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 The purchase price allocations are preliminary and subject to change as more detailed analyses are completed and additional information with respect to the fair values of the assets and liabilities acquired becomes available.</w:t>
      </w:r>
    </w:p>
    <w:p>
      <w:pPr>
        <w:sectPr>
          <w:pgSz w:w="11900" w:h="16838" w:orient="portrait"/>
          <w:cols w:equalWidth="0" w:num="1">
            <w:col w:w="11420"/>
          </w:cols>
          <w:pgMar w:left="240" w:top="580" w:right="2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87768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In-process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87768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87768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87768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87768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048" w:hanging="1048"/>
        <w:spacing w:after="0"/>
        <w:tabs>
          <w:tab w:leader="none" w:pos="10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35,000</w:t>
      </w:r>
    </w:p>
    <w:p>
      <w:pPr>
        <w:spacing w:after="0" w:line="27" w:lineRule="exact"/>
        <w:rPr>
          <w:rFonts w:ascii="Times New Roman" w:cs="Times New Roman" w:eastAsia="Times New Roman" w:hAnsi="Times New Roman"/>
          <w:sz w:val="18"/>
          <w:szCs w:val="18"/>
          <w:color w:val="auto"/>
        </w:rPr>
      </w:pPr>
    </w:p>
    <w:p>
      <w:pPr>
        <w:ind w:left="7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25,802,000</w:t>
      </w:r>
    </w:p>
    <w:p>
      <w:pPr>
        <w:spacing w:after="0" w:line="9" w:lineRule="exact"/>
        <w:rPr>
          <w:rFonts w:ascii="Times New Roman" w:cs="Times New Roman" w:eastAsia="Times New Roman" w:hAnsi="Times New Roman"/>
          <w:sz w:val="18"/>
          <w:szCs w:val="18"/>
          <w:color w:val="auto"/>
        </w:rPr>
      </w:pPr>
    </w:p>
    <w:p>
      <w:pPr>
        <w:ind w:left="8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1,976,000</w:t>
      </w:r>
    </w:p>
    <w:p>
      <w:pPr>
        <w:spacing w:after="0" w:line="220"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27,813,000</w:t>
      </w:r>
    </w:p>
    <w:p>
      <w:pPr>
        <w:spacing w:after="0" w:line="225"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(254,000)</w:t>
      </w:r>
    </w:p>
    <w:p>
      <w:pPr>
        <w:spacing w:after="0" w:line="239" w:lineRule="exact"/>
        <w:rPr>
          <w:sz w:val="20"/>
          <w:szCs w:val="20"/>
          <w:color w:val="auto"/>
        </w:rPr>
      </w:pPr>
    </w:p>
    <w:p>
      <w:pPr>
        <w:ind w:left="728" w:hanging="728"/>
        <w:spacing w:after="0"/>
        <w:tabs>
          <w:tab w:leader="none" w:pos="7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27,559,000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977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72" w:space="720"/>
            <w:col w:w="2228"/>
          </w:cols>
          <w:pgMar w:left="240" w:top="580" w:right="239" w:bottom="1440" w:gutter="0" w:footer="0" w:header="0"/>
          <w:type w:val="continuous"/>
        </w:sectPr>
      </w:pP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preliminary purchase price exceeds the estimated fair value of the net assets acquired by approximately $2.0 million which was recorded as goodwill. Transaction costs associated with the EGEN are included in Acquisition Costs in the Condensed Consolidated Statement of Operations and totaled $119,996 and $1,187,263 during the three and nine months ended September 30, 2014,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(IPR&amp;D)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Acquired IPR&amp;D consists of EGEN's drug technology platforms:TheraPlas® and TheraSilence®. The fair value of the IPR&amp;D drug technology platforms was estimated to be $25.8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To calculate fair value of </w:t>
      </w:r>
      <w:r>
        <w:rPr>
          <w:rFonts w:ascii="Times New Roman" w:cs="Times New Roman" w:eastAsia="Times New Roman" w:hAnsi="Times New Roman"/>
          <w:sz w:val="18"/>
          <w:szCs w:val="18"/>
          <w:i w:val="1"/>
          <w:iCs w:val="1"/>
          <w:color w:val="auto"/>
        </w:rPr>
        <w:t>the IPR&amp;D</w:t>
      </w:r>
      <w:r>
        <w:rPr>
          <w:rFonts w:ascii="Times New Roman" w:cs="Times New Roman" w:eastAsia="Times New Roman" w:hAnsi="Times New Roman"/>
          <w:sz w:val="18"/>
          <w:szCs w:val="18"/>
          <w:color w:val="auto"/>
        </w:rPr>
        <w:t xml:space="preserve">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closing of the acquisition, the IPR&amp;D is considered indefinite lived intangible assets and will not be amortized. IPR&amp;D will be reviewed for possible impairment on an annual basis or more frequently if there appears to be an indication of impairment.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support our research and development, we have raised gross proceeds of approximately $95.0 million in equity financings and warrant and option exercises in the years 2009 through 2013. In January 2014, we raised net proceeds of approximately $14 million through a registered direct equity financing. On January 15, 2014, we entered into a securities purchase agreement with certain institutional investors, pursuant to which we sold, in a registered offering, an aggregate of 3,603,604 shares of our common stock and warrants to purchase up to 1,801,802 shares of our common stock, for an aggregate purchase price of approximately $15 million. The shares of common stock and warrants were sold in units, with each unit consisting of one share of common stock, a Series A warrant to purchase 0.25 share of common stock and a Series B warrant to purchase 0.25 share of common stock. Each unit was sold at a purchase price of $4.1625. Each Series A warrant is exercisable at any time on or after its issuance date and until the five-year anniversary of the issuance date. Each Series B warrant is exercisable at any time on or after its issuance date and until the one-year anniversary of the issuance date. Each warrant has an exercise price of $4.10 per share. Under the purchase agreement, we are prohibited, for a period of nine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2013, we entered into a loan and security agreement with Hercules Technology Growth Capital, Inc. (Hercules) which permits us to loan up to $20 million in multiple tranches (the Hercules Credit Agreement). We currently have up to $10 million remaining under this facility. We drew the first tranche of $5 million upon closing of the Hercules Credit Agreement in November 2013 and used approximately $4.0 million of the proceeds to repay the then outstanding obligations under our former loan agreement with Oxford Finance LLC and Horizon Technology Finance Corporation. On June 9, 2014, we closed the second $5 million tranche under the Hercules Credit Agreement and used the proceeds to fund the $3.1 million upfront cash payment associated with the acquisition of EGEN, as well as our transaction costs associated with that acquisition. Upon the closing of the second tranche, we had drawn down a total of $10 million under the Hercules Credit Agreement.</w:t>
      </w:r>
    </w:p>
    <w:p>
      <w:pPr>
        <w:spacing w:after="0" w:line="189"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In 2014, we expect to receive minimal revenue from government grants and sales of reagent products that we purchased in our acquisition of EGEN. In July 2014, we announced that our ongoing collaboration with Dr. Costas Arvanitis of Brigham Women’s Hospital, a teaching affiliate of Harvard Medical School, was expanded through the award of a $1.0 million Career Development Award from the National Institutes of Health’s Center for Biomedical Imaging and Bioengineering (NIBIB). The grant will support preclinical studies evaluating ThermoDox®, in combination with High Intensity Focused Ultrasound (HIFU), for the treatment of brain tumors. The grant, titled “Controlled Delivery and Release of Chemotherapy in Brain Tumors with FUS” provides $200,000 in annual funding for five years. We also announced in July 2014 initiation of sales of our proprietary reagent products for life science research. Our reagent products are based on our newly acquired proprietary delivery platform technologies, TheraPlas™ and TheraSilence™. We do not expect sales of our reagents to be a significant source of revenue.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30" w:name="page31"/>
    <w:bookmarkEnd w:id="30"/>
    <w:p>
      <w:pPr>
        <w:jc w:val="both"/>
        <w:ind w:right="260"/>
        <w:spacing w:after="0" w:line="254" w:lineRule="auto"/>
        <w:rPr>
          <w:sz w:val="20"/>
          <w:szCs w:val="20"/>
          <w:color w:val="auto"/>
        </w:rPr>
      </w:pPr>
      <w:r>
        <w:rPr>
          <w:rFonts w:ascii="Times New Roman" w:cs="Times New Roman" w:eastAsia="Times New Roman" w:hAnsi="Times New Roman"/>
          <w:sz w:val="18"/>
          <w:szCs w:val="18"/>
          <w:color w:val="auto"/>
        </w:rPr>
        <w:t>On December 5, 2008, we entered into a development, product supply and commercialization agreement with Yakult Honsha Co., Ltd. (the Yakult Agreement) under which we granted Yakult Honsha Co., Ltd (Yakult) an exclusive right to commercialize and market ThermoDox® for the Japanese market. We received a $2.5 million upfront licensing fee and may receive additional payments from Yakult upon receipt of marketing approval by the Japanese Ministry of Health, Labor and Welfare as well as upon the achievement of certain levels of sales and approval for new indications. Under the Yakult Agreement, we will receive double-digit escalating royalties on the sale of ThermoDox® in Japan, when and if any such sales occur and we also will be the exclusive supplier of ThermoDox® to Yakult. In January 2011, we amended the Yakult Agreement to provide for up to $4.0 million in an accelerated partial payment to us of a future drug approval milestone which included $2.0 million paid to us upon the closing of the preferred equity financing and an additional $2.0 million conditioned upon the resumption of enrollment of Japanese patients in the Japan cohort of the HEAT Study. In consideration of these accelerated milestone payments from Yakult, we agreed to reduce future drug approval milestone payments by approximately 40%. All other milestone payments are unaffected.</w:t>
      </w:r>
    </w:p>
    <w:p>
      <w:pPr>
        <w:spacing w:after="0" w:line="186"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18"/>
          <w:szCs w:val="18"/>
          <w:color w:val="auto"/>
        </w:rPr>
        <w:t>On May 6, 2012, we entered into a long-term commercial supply agreement with Zhejiang Hisun Pharmaceutical Co. Ltd. (Hisun) for the production of ThermoDox® in mainland China, Hong Kong and Macau (the China territory). Hisun will be responsible for providing all of the technical and regulatory support services for the manufacture of ThermoDox® in the China territory and we will repay Hisun the related development costs and fees, which we expect to be approximately $2.0 million in total, commencing on the successful completion of three registrational batches of ThermoDox®. On January 18, 2013, we broadened our relationship with Hisun by entering into a technology development contract, pursuant to which Hisun paid us a non-refundable research and development fee of $5.0 million to support our development of ThermoDox® and we will provide research data and other technical support in relation to a regulatory filing by Hisun in China for approval of ThermoDox®. Following our announcement of the HEAT Study results on January 31, 2013, we and Hisun have agreed that the technology development contract entered into on January 18, 2013 will remain in effect while the parties continue to collaborate the next steps in relation to ThermoDox®, which include the continued subgroup analysis of the Chinese cohort of patients in the HEAT Study for primary liver cancer and other activities to further the development of ThermoDox® for the China territory.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19, 2013, we entered into a Memorandum of Understanding with Hisun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risks and uncertainties discussed in this Quarterly Report on Form 10-Q,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FINANCIAL REVIEW FOR THE THREE AND NINE MONTHS ENDED SEPTEMBER 30, 2014 AND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2014, our net loss was $6.9 million compared to a net loss of $4.1 million for the same period of 2013. For the nine months ended September 30, 2014, our net loss was $19.0 million compared to a net loss of $4.3 million for the same period of 2013. As of September 30, 2014, we had $43.8 million in cash and short-term investments including accrued interest from short term investments.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9"/>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3"/>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Increase (Decrease)</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820" w:type="dxa"/>
            <w:vAlign w:val="bottom"/>
            <w:gridSpan w:val="3"/>
          </w:tcPr>
          <w:p>
            <w:pPr>
              <w:spacing w:after="0"/>
              <w:rPr>
                <w:sz w:val="18"/>
                <w:szCs w:val="18"/>
                <w:color w:val="auto"/>
              </w:rPr>
            </w:pP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Operating Expenses:</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jc w:val="center"/>
              <w:ind w:right="2510"/>
              <w:spacing w:after="0"/>
              <w:rPr>
                <w:sz w:val="20"/>
                <w:szCs w:val="20"/>
                <w:color w:val="auto"/>
              </w:rPr>
            </w:pPr>
            <w:r>
              <w:rPr>
                <w:rFonts w:ascii="Times New Roman" w:cs="Times New Roman" w:eastAsia="Times New Roman" w:hAnsi="Times New Roman"/>
                <w:sz w:val="18"/>
                <w:szCs w:val="18"/>
                <w:color w:val="auto"/>
                <w:w w:val="98"/>
              </w:rPr>
              <w:t>Clinical Research</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2,311</w:t>
            </w:r>
          </w:p>
        </w:tc>
        <w:tc>
          <w:tcPr>
            <w:tcW w:w="7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Chemistry, Manufacturing and Controls</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2,361</w:t>
            </w:r>
          </w:p>
        </w:tc>
        <w:tc>
          <w:tcPr>
            <w:tcW w:w="7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654</w:t>
            </w: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jc w:val="center"/>
              <w:ind w:right="2530"/>
              <w:spacing w:after="0"/>
              <w:rPr>
                <w:sz w:val="20"/>
                <w:szCs w:val="20"/>
                <w:color w:val="auto"/>
              </w:rPr>
            </w:pPr>
            <w:r>
              <w:rPr>
                <w:rFonts w:ascii="Times New Roman" w:cs="Times New Roman" w:eastAsia="Times New Roman" w:hAnsi="Times New Roman"/>
                <w:sz w:val="18"/>
                <w:szCs w:val="18"/>
                <w:color w:val="auto"/>
                <w:w w:val="99"/>
              </w:rPr>
              <w:t>Acquisition costs</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7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shd w:val="clear" w:color="auto" w:fill="CCEEFF"/>
          </w:tcPr>
          <w:p>
            <w:pPr>
              <w:jc w:val="center"/>
              <w:ind w:right="2470"/>
              <w:spacing w:after="0"/>
              <w:rPr>
                <w:sz w:val="20"/>
                <w:szCs w:val="20"/>
                <w:color w:val="auto"/>
              </w:rPr>
            </w:pPr>
            <w:r>
              <w:rPr>
                <w:rFonts w:ascii="Times New Roman" w:cs="Times New Roman" w:eastAsia="Times New Roman" w:hAnsi="Times New Roman"/>
                <w:sz w:val="18"/>
                <w:szCs w:val="18"/>
                <w:b w:val="1"/>
                <w:bCs w:val="1"/>
                <w:color w:val="auto"/>
                <w:w w:val="99"/>
              </w:rPr>
              <w:t>Loss from operations</w:t>
            </w:r>
          </w:p>
        </w:tc>
        <w:tc>
          <w:tcPr>
            <w:tcW w:w="10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(6,669)</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(3,534)</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(3,135)</w:t>
            </w:r>
          </w:p>
        </w:tc>
        <w:tc>
          <w:tcPr>
            <w:tcW w:w="7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3"/>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Increase (Decrease)</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820" w:type="dxa"/>
            <w:vAlign w:val="bottom"/>
            <w:gridSpan w:val="3"/>
          </w:tcPr>
          <w:p>
            <w:pPr>
              <w:spacing w:after="0"/>
              <w:rPr>
                <w:sz w:val="18"/>
                <w:szCs w:val="18"/>
                <w:color w:val="auto"/>
              </w:rPr>
            </w:pP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Operating Expenses:</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jc w:val="center"/>
              <w:ind w:right="2510"/>
              <w:spacing w:after="0"/>
              <w:rPr>
                <w:sz w:val="20"/>
                <w:szCs w:val="20"/>
                <w:color w:val="auto"/>
              </w:rPr>
            </w:pPr>
            <w:r>
              <w:rPr>
                <w:rFonts w:ascii="Times New Roman" w:cs="Times New Roman" w:eastAsia="Times New Roman" w:hAnsi="Times New Roman"/>
                <w:sz w:val="18"/>
                <w:szCs w:val="18"/>
                <w:color w:val="auto"/>
                <w:w w:val="98"/>
              </w:rPr>
              <w:t>Clinical Research</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7,824</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2,587</w:t>
            </w:r>
          </w:p>
        </w:tc>
        <w:tc>
          <w:tcPr>
            <w:tcW w:w="7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Chemistry, Manufacturing and Controls</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3,193</w:t>
            </w:r>
          </w:p>
        </w:tc>
        <w:tc>
          <w:tcPr>
            <w:tcW w:w="7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1,755</w:t>
            </w: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jc w:val="center"/>
              <w:ind w:right="2530"/>
              <w:spacing w:after="0"/>
              <w:rPr>
                <w:sz w:val="20"/>
                <w:szCs w:val="20"/>
                <w:color w:val="auto"/>
              </w:rPr>
            </w:pPr>
            <w:r>
              <w:rPr>
                <w:rFonts w:ascii="Times New Roman" w:cs="Times New Roman" w:eastAsia="Times New Roman" w:hAnsi="Times New Roman"/>
                <w:sz w:val="18"/>
                <w:szCs w:val="18"/>
                <w:color w:val="auto"/>
                <w:w w:val="99"/>
              </w:rPr>
              <w:t>Acquisition costs</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w:t>
            </w:r>
          </w:p>
        </w:tc>
        <w:tc>
          <w:tcPr>
            <w:tcW w:w="7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shd w:val="clear" w:color="auto" w:fill="CCEEFF"/>
          </w:tcPr>
          <w:p>
            <w:pPr>
              <w:jc w:val="center"/>
              <w:ind w:right="2470"/>
              <w:spacing w:after="0"/>
              <w:rPr>
                <w:sz w:val="20"/>
                <w:szCs w:val="20"/>
                <w:color w:val="auto"/>
              </w:rPr>
            </w:pPr>
            <w:r>
              <w:rPr>
                <w:rFonts w:ascii="Times New Roman" w:cs="Times New Roman" w:eastAsia="Times New Roman" w:hAnsi="Times New Roman"/>
                <w:sz w:val="18"/>
                <w:szCs w:val="18"/>
                <w:b w:val="1"/>
                <w:bCs w:val="1"/>
                <w:color w:val="auto"/>
                <w:w w:val="99"/>
              </w:rPr>
              <w:t>Loss from operations</w:t>
            </w: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(18,284)</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(12,149)</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(6,135)</w:t>
            </w:r>
          </w:p>
        </w:tc>
        <w:tc>
          <w:tcPr>
            <w:tcW w:w="7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2014 and 2013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2013, we entered into a technology development contract with Hisun, pursuant to which Hisun paid us a non-refundable technology transfer fee of $5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$125,000 in each of the third quarters of 2014 and 2013.</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(R&amp;D) expenses increased by $2.3 million from $2.3 million in the third quarter of 2013 to $4.6 million in the same period of 2014. Costs associated with the HEAT Study were $0.1 million in the third quarter of 2014 compared to $0.8 million in the same period of 2013. This reduction was primarily due to the reduced costs associated with the HEAT Study as we follow patients for overall survival. We incurred costs of $2.2 million in the third quarter of 2014 which were related to the commencement of the OPTIMA Study. Costs associated with our recurrent chest wall breast cancer clinical trial remained relatively unchanged at $0.1 million in each of the third quarters of 2014 and 2013. Other clinical costs were $0.5 million in the third quarter of 2014 compared to $0.3 million for the same period of 2013. The increase is mostly attributable to personnel costs and professional fees. Other R&amp;D costs related to preclinical operations and regulatory operations were $0.4 million in the third quarter of 2014 compared to $0.5 million in the same period of 2013. Costs associated with the production of ThermoDox® to support the OPTIMA Study remained relatively unchanged at $0.4 million in the third quarter of 2014 compared to the same period of 2013. During the third quarter of 2014, the Company completed the integration the operations of CLSN Laboratories (formerly EGEN, Inc.). Costs associated with the integration of the operations of CLSN Laboratories were $0.7 million for the third quarter of 2014.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increased by $0.6 million to $2.0 million in the third quarter of 2014 compared to $1.4 million in the same period of 2013. This increase is primarily the result of increases in insurance costs of $0.2 million, personnel costs of $0.2 million and professional fees of $0.1 million associated with the acquisition and integration of the operations of CLSN Laboratories.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Transaction Related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 transaction related expenses were $0.1 million for the three months ended September 30, 2014. The transaction-related expenses consisted of legal and professional fees related to the June 20, 2014 acquisition of substantially all of the assets of EGEN.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and Income and Interest Expense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warrant liability was incurred as a result of warrants we issued in a public offering in September 2009. The liability associated with these warrants is calculated at its fair market value using the Black-Scholes option-pricing model and is adjusted at the end of each quarter. In addition, in connection with a common stock offering in the second quarter of 2013, the investors in the offering agreed to waive their rights to exercise the warrants to purchase 1,398,816 shares of common stock of the Company until the Company effected a reverse stock split and increased the number of its authorized shares of common stock. During the second quarter of 2013, the Company reclassified the fair value of these warrants totaling $9.1 million from equity to a liability on the date of the closing of the offering on June 3, 2013. Prior to the offering the warrants described above were originally recorded as equity at the fair value on the date of their issuance. In accordance with ASC 815-40, Derivative Instruments and Hedging - Contracts in Entity’s Own Equity, these warrants were required to be classified as liabilities immediately after the closing of the common stock offering on June 3, 2013 because there was an insufficient number of common shares authorized to permit the full exercise of the warrants if they were exercised. Therefore, these warrants are required to be recorded at fair value at each balance sheet date with changes in fair value recorded in earnings. In connection with the reverse stock split the Company effected on October 28, 2013, these warrants were valued as of October 28, 2013, and the Company reclassified the fair value of these warrants totaling approximately $5.3 million from a liability to equity. Furthermore, in connection with these warrants we issued for 97,493 shares of the Company’s common stock in connection with the Hercules Credit Agreement in November 2013 and then with the warrant for the additional 97,493 shares of the Company’s common stock which became available and exercisable at the time of the second $5.0 million tranche in June 2014, we recorded an additional warrant liability of $0.5 million.</w:t>
      </w:r>
    </w:p>
    <w:p>
      <w:pPr>
        <w:spacing w:after="0" w:line="19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Collectively these warrant liabilities are required to be recorded at fair value at each balance sheet date with changes in fair value recorded in earnings. At September 30, 2014, the fair value of all of these liabilities was $0.4 million and we recorded a non-cash benefit of $0.1 million based on the change in the fair value of the warrants at September 30, 2014. During the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quarter of 2013, the increase in the fair value of this liability resulted in the Company recording a non-cash charge of $0.5 million based on the change in the fair value of the warrants at September 30, 2013.</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33" w:name="page34"/>
    <w:bookmarkEnd w:id="3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its debt facilities the Company incurred $0.4 million and $0.2 million in interest expense in the third quarter of 2014 and 2013,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2014 and 2013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2013, we entered into a technology development contract with Hisun, pursuant to which Hisun paid us a non-refundable research and development fee of $5 million to support our development of ThermoDox® in the China territory. The $5.0 million received as a non-refundable payment from Hisun in the first quarter 2013 has been recorded to deferred revenue and will be amortized over the 10 year term of the agreement; therefore we recorded deferred revenue of $375,000 in each of the first nine months of 2014 and 2013.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(R&amp;D) expenses increased by $3.2 million from $7.5 million in the first nine months of 2013 to $10.7 million in the same period of 2014. Costs associated with the HEAT Study decreased to $0.4 million the first nine months of 2014 compared to $3.0 million in the same period of 2013 primarily due to the reduced costs associated with the HEAT Study as we follow patients for overall survival. We incurred costs of $3.8 million related to the initiation and commencement of the OPTIMA Study in the first nine months of 2014. Costs associated with our recurrent chest wall breast cancer clinical trial remained relatively unchanged at $0.2 million in the first nine months each of 2014 and 2013. Other clinical costs were $1.4 million in the first nine months of 2014 compared to $0.9 million for the same period of 2013. The increase is mostly attributable to an increase in personnel costs which included an increase of $0.4 million of non-cash stock option expense. Other R&amp;D costs related to preclinical operations and regulatory operations remained relatively unchanged at $1.0 million in the first nine months of 2014 compared to the same period of 2013. Costs associated with the production of ThermoDox® to support the OPTIMA Study increased to $2.9 million in the first nine months of 2014 compared to $2.3 million incurred during the same period of 2013. During the third quarter of 2014, the Company completed the integration the operations of CLSN Laboratories. Costs associated with CLSN Laboratories were $0.9 million during the first nine months of 2014.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increased by $1.8 million to $6.8 million in the first nine months of 2014 compared to $5.0 million in the same period of 2013. This increase is primarily the result of increases in insurance costs of $0.6 million and increases in personnel costs of $1.2 million. The increased personnel costs reflect a $0.7 million increase in non-cash stock compensation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Transaction Related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Acquisition Transaction related expenses were $1.2 million for the nine months ended September 30, 2014. The transaction-related expenses consisted of legal and professional fees related to the June 20, 2014 acquisition of substantially all of the assets of EGEN.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and Income and Interest Expense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warrant liability was incurred as a result of warrants we issued in a public offering in September 2009. The liability associated with these warrants is calculated at its fair market value using the Black-Scholes option-pricing model and is adjusted at the end of each quarter. In addition, in connection with a common stock offering in the second quarter of 2013, the investors in the offering agreed to waive their rights to exercise the warrants to purchase 1,398,816 shares of common stock of the Company until the Company effected a reverse stock split and increased the number of its authorized shares of common stock. During the second quarter of 2013, the Company reclassified the fair value of these warrants totaling $9.1 million from equity to a liability on the date of the closing of the offering on June 3, 2013. Prior to the offering the warrants described above were originally recorded as equity at the fair value on the date of their issuance. In accordance with ASC 815-40, Derivative Instruments and Hedging - Contracts in Entity’s Own Equity, these warrants were required to be classified as liabilities immediately after the closing of the common stock offering on June 3, 2013 because there was an insufficient number of common shares authorized to permit the full exercise of the warrants if they were exercised. Therefore, these warrants are required to be recorded at fair value at each balance sheet date with changes in fair value recorded in earnings. In connection with the reverse stock split the Company effected on October 28, 2013, these warrants were valued as of October 28, 2013, and the Company reclassified the fair value of these warrants totaling approximately $5.3 million from a liability to equity. Furthermore, in connection with these warrants we issued for 97,493 shares of the Company’s common stock in connection with the Hercules Credit Agreement in November 2013 and then with the warrant for the additional 97,493 shares of the Company’s common stock which became available and exercisable at the time of the second $5.0 million tranche in June 2014, we recorded an additional warrant liability of $0.5 million.</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Collectively these warrant liabilities are required to be recorded at fair value at each balance sheet date with changes in fair value recorded in earnings. At September 30, 2014, the fair value of all of these liabilities was $0.4 million and we recorded a non-cash benefit of $0.1 million based on the change in the fair value of the warrants at September 30, 2014. During the nine months ended September 2013, the decrease in the fair value of this liability resulted in the Company recording a non-cash benefit of $8.1 million based on the change in the fair value of the warrants at September 30, 2013.</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connection with its debt facilities the Company incurred $0.9 million and $0.6 million in interest expense in the first nine months of 2014 and 2013,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excluding the net aggregate payments received from Boston Scientific of $43 million through the divestiture of our medical device business in 2007 (which we received in installments of $13 million in 2007 and $15 million in each of 2008 and 2009), we have incurred significant losses and negative cash flows from operations. We have financed our operations primarily through the net proceeds we received in this divesture, subsequent sales of equity, credit facilities and amounts received under our product licensing agreement with Yakult and our technology development agreement with Hisun. The process of developing and commercializing ThermoDox®, EGEN-001 and other product candidates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$188.5 million at September 30, 2014.</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2014, we had total current assets of $44.5 million (including cash, cash equivalents and short term investments and related interest receivable on short term investments of $43.8 million) and current liabilities of $9.4 million, resulting in net working capital of $34.4 million. At December 31, 2013 we had total current assets of $43.8 million (including cash, cash equivalents and short term investments and related interest receivable on short term investments of $43.1 million) and current liabilities of $4.7 million, resulting in net working capital of $39.1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first nine months of 2014 was $14.8 million. The net loss for the first nine months of 2014 included $2.3 million in non-cash stock-based compensation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$14.8 million net cash used in operating activities was mostly funded from cash and short term investments. At September 30, 2014, we had cash, cash equivalents and short term investments and related interest receivable on short term investments of $43.8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$18.8 million during the first nine months of 2014, $13.8 million of which resulted from net proceeds from sale of its common stock in January 2014 and $5.0 million in additional proceeds received from its Hercules Credit Agreement in June 2014.</w:t>
      </w:r>
    </w:p>
    <w:p>
      <w:pPr>
        <w:spacing w:after="0" w:line="1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February 1, 2013, the Company entered into a Controlled Equity Offering</w:t>
      </w:r>
      <w:r>
        <w:rPr>
          <w:rFonts w:ascii="Times New Roman" w:cs="Times New Roman" w:eastAsia="Times New Roman" w:hAnsi="Times New Roman"/>
          <w:sz w:val="30"/>
          <w:szCs w:val="30"/>
          <w:color w:val="auto"/>
          <w:vertAlign w:val="superscript"/>
        </w:rPr>
        <w:t>SM</w:t>
      </w:r>
      <w:r>
        <w:rPr>
          <w:rFonts w:ascii="Times New Roman" w:cs="Times New Roman" w:eastAsia="Times New Roman" w:hAnsi="Times New Roman"/>
          <w:sz w:val="18"/>
          <w:szCs w:val="18"/>
          <w:color w:val="auto"/>
        </w:rPr>
        <w:t xml:space="preserve"> Sales Agreement (the ATM Agreement) with Cantor Fitzgerald &amp; Co., as sales agent(Cantor),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We will pay Cantor a commission of three percent of the aggregate gross proceeds from each sale of ATM Shares. We have sold and issued an aggregate of 1,195,927 shares under the ATM Agreement so far, receiving approximately $6.8 million in net proceeds.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and investment resources of $43.8 million on hand at September 30, 2014 are sufficient to fund operations into the second half of 2016.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or collaborators, we may be required to delay or, reduce the scope of, or eliminate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off-balance sheet financing arrangements. There were no material changes during the nine months ended September 30, 2014 to our operating leases, which are disclosed in the contractual commitments table in our Annual Report on Form 10-K for the fiscal year ended December 31, 2013 filed on March 13, 2014 with the Securities and Exchange Commission.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balance sheet at fair value with unrealized gains or losses reported as a component of accumulated other comprehensive income (loss) included in stockholders’ equity.</w:t>
      </w:r>
    </w:p>
    <w:p>
      <w:pPr>
        <w:spacing w:after="0" w:line="1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September 30, 2014,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identified in connection with the evaluation required by paragraph (d) of Rule 13a-15 of the Securities Exchange Act of 1934, as amended, that occurred during the nine months ended September 30, 2014 that have materially affected, or are reasonably likely to materially affect, our internal controls over financial reporting.</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risk factors, uncertainties and assumptions that we believe are most relevant to our business. These are factors that, individually or in the aggregate, we think could cause our actual results to differ significantly from anticipated or historical results and our forward-looking statements.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2013 filed on March 13, 2014 with the Securities and Exchange Commission (SEC) and our Quarterly Report on Form 10-Q for the quarter ended June 30, 2014 filed August 10, 2014 with the SEC. In assessing these risks, investors should also refer to the other information contained or incorporated by reference in this Quarterly Report on Form 10-Q filed August 10, 2014 with the SEC and our Annual Report on Form 10-K for the fiscal year ended December 31, 2013 filed on March 13, 2014 with the SEC including our consolidated financial statements and related notes, and our other filings made from time to time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our inception, our expenses have substantially exceeded our revenue, resulting in continuing losses and an accumulated deficit of $189 million at September 30, 2014. For the years ended December 31, 2011, 2012, 2013 and the nine months ended September 30, 2014, we incurred a net loss of $23.2 million, $26.6 million, $8.3 million and $19.0 million, respectively. We currently have no product revenue and do not expect to generate any product revenue for the foreseeable future other than through sales of our proprietary reagent products for life science research, which products are based on our newly acquired proprietary delivery platform technologies, TheraPlas™ and TheraSilence™. We do not expect revenue from the sale of our reagent products to be a significant source of revenue. Because we are committed to continuing our product research, development, clinical trial and commercialization programs, we will continue to incur significant operating losses unless and until we complete the development of ThermoDox®, EGEN-001 or other new product candidates and these product candidates have been clinically tested, approved by the U.S.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Drug development is an inherently uncertain process with a high risk of failure at every stage of development as demonstrated when our lead drug candidate failed to meets its primary endpoint in the Phase III HEAT Study.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ThermoDox® is also being evaluated in a Phase II clinical trial for recurrent chest wall breast cancer and other preclinical studies.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This process generally takes a number of years and requires the expenditure of substantial resources. The time required for completing testing and obtaining approvals is uncertain, and the FDA and foreign regulatory agencies have substantial discretion, at any phase of development, to terminate clinical studies, require additional clinical development or other testing, delay or withhold registration and marketing approval and mandate product withdrawals, including recalls. In addition, undesirable side effects caused by our drug candidates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any product marketing limitations or a product withdrawal would negatively impact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 to follow the patients enrolled in the Heat Study to the secondary endpoint, overall survival. Based on the overall survival data from the post-hoc analysis of results from the HEAT Study, launched a pivotal, double-blind, placebo-controlled Phase III trial of ThermoDox® in combination with RFA in primary liver cancer, known as the OPTIMA Study, in the first half of 2014. ThermoDox® is currently also being evaluated in Phase II clinical trials and other preclinical studies. EGEN-001 is currently in an early stage of clinical development for the treatment of ovarian cancer, and the delivery technology platforms that we purchased from EGEN are in preclinical stages of development. We do not expect to realize any revenue from product sales in the next several years, if at all, other than minimal revenue from the sale of reagent products we acquired from EGEN. We do not expect to realize any revenue from product sales in the next several years, if at all. Accordingly, our revenue sources are, and will remain, extremely limited until our product candidates are clinically tested, approved by the FDA or foreign regulatory agencies and successfully marketed. We cannot guarantee that any of our product candidates will be successfully tested, approved by the FDA or foreign regulatory agency or marketed, successfully or otherwise, at any time in the foreseeable future or at all.</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September 30, 2014, we had approximately $43.8 million in cash, cash equivalents and short-term investments. We have substantial future capital requirements to continue our research and development activities and advance our drug candidates through various development stages, including the product candidates that we purchased from EGEN in June 2014. For example, ThermoDox® is being evaluated in a Phase II clinical trial for recurrent chest wall breast cancer and other preclinical studies</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and we launched the OPTIMA study in the first quarter of 2014. In addition, EGEN-001 is currently in an early stage of clinical development for the treatment of ovarian cancer, and the delivery technology platforms that we purchased from EGEN are in preclinical stages of development. We will continue to conduct additional analyses of the data from the HEAT Study to assess the future strategic value of ThermoDox® and are performing sub-group analysis of the Chinese cohort of patients in the HEAT Study and other activities for further development of ThermoDox® for mainland China, Hong Kong and Macau. 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successfully integrate the assets we acquired from EGEN in June 2014 into our operations could adversely affect our ability to develop and commercialize product candidates or negatively impact our business, results of operations and financial conditions.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20, 2014, we completed the acquisition of substantially all of the assets of EGEN, a privately-held biopharmaceutical company focused on the development of nucleic acid-based therapeutics for the treatment of cancer and other difficult to treat diseases. The acquisition included EGEN’s Phase Ib DNA-based immunotherapy product candidate EGEN-001 and its therapeutic platform technologies, TheraPlas® for delivery of DNA and mRNA, and TheraSilence® for delivery of RNA. The success of the EGEN acquisition, including the realization of anticipated benefits and cost savings, will depend, in part, on our ability to combine successfully the business we acquired from EGEN with the business of Celsion. Our integration of the operations and product candidates acquired requires significant efforts, including the coordination of research and development, manufacturing, finance, information technologies and management and administration. These integration efforts will result in additional expenses and require significant time and dedication from management, and may divert management attention and resources. The integration may be more difficult, costly or time consuming than expected. It is possible that the integration process could result in the loss of key employees or the disruption of our ongoing business or that the alignment of standards, controls, procedures and policies may adversely affect the combined company’s ability to maintain relationships with suppliers, manufacturers, other vendors or employees or to fully achieve the anticipated benefits and cost savings of the transaction.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EGEN acquisition may result in our assumption of material unknown or unexpected liabilities. If we experience difficulties with the integration process, the anticipated benefits of the transaction may not be realized fully or at all, or may take longer to realize than expected. Factors that will affect the success of the acquisition include our ability to execute our business strategy, results of clinical trials and regulatory approvals related to the acquired product candidates and platform technologies, our ability to adequately fund acquired in-process research and development projects and retain key employees, as well as our ability to achieve financial and operational synergies with the acquired business, such as by achieving cost savings and effectively developing product candidates. Our failure to manage successfully and coordinate the growth of our newly acquired business could have a material adverse impact on our business, results of operations and financial condition. In addition, we cannot be certain that the product candidates we acquired will be approved for marketing and commercialization, become profitable or remain so or that we will realize operational cost savings or other expected synergies of the acquisition. If the acquisition is not successful, we may record related asset impairment charges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and will continue to incur, significant costs in connection with our acquisition of substantially all of the assets of EGEN.</w:t>
      </w:r>
    </w:p>
    <w:p>
      <w:pPr>
        <w:spacing w:after="0" w:line="229"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We have incurred and expect to continue to incur a number of non-recurring costs associated with our integration of the assets purchased from EGEN. These costs and expenses include the incurrence of $5.0 million of new indebtedness and approximately $1.2 million in financial advisory, legal, accounting, consulting and other advisory fees and expenses, reorganization and restructuring costs, severance/employee benefit-related expenses, filing fees, printing expenses and other related charges. There are also a large number of processes, policies, procedures, operations, technologies and systems that must be integrated in connection with the acquisition. There are many factors beyond our control that could affect the total amount or the timing of integration and implementation expense, and we may incur unanticipated expense in connection with the EGEN acquisition. These costs and expenses could, particularly in the near term, exceed the cost savings that we expect to achieve from the elimination of duplicative expenses and the realization of economies of scale, other efficiencies and cost savings, which benefit may not be achieved in the near term or at all.</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future, we may consider other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240" w:hanging="110"/>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markets for the products of acquired businesses, technologies or product lines to develop as expected;</w:t>
      </w:r>
    </w:p>
    <w:p>
      <w:pPr>
        <w:spacing w:after="0" w:line="225" w:lineRule="exact"/>
        <w:rPr>
          <w:rFonts w:ascii="Times New Roman" w:cs="Times New Roman" w:eastAsia="Times New Roman" w:hAnsi="Times New Roman"/>
          <w:sz w:val="18"/>
          <w:szCs w:val="18"/>
          <w:color w:val="auto"/>
        </w:rPr>
      </w:pPr>
    </w:p>
    <w:p>
      <w:pPr>
        <w:ind w:left="240" w:hanging="110"/>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identifying and pursuing acquisition targets;</w:t>
      </w:r>
    </w:p>
    <w:p>
      <w:pPr>
        <w:spacing w:after="0" w:line="225" w:lineRule="exact"/>
        <w:rPr>
          <w:rFonts w:ascii="Times New Roman" w:cs="Times New Roman" w:eastAsia="Times New Roman" w:hAnsi="Times New Roman"/>
          <w:sz w:val="18"/>
          <w:szCs w:val="18"/>
          <w:color w:val="auto"/>
        </w:rPr>
      </w:pPr>
    </w:p>
    <w:p>
      <w:pPr>
        <w:ind w:left="240" w:hanging="110"/>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 achieving strategic objectives, cost savings and other benefits expected from acquisitions;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ind w:left="240" w:right="140" w:hanging="110"/>
        <w:spacing w:after="0" w:line="282"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financial returns on acquisitions will not support the expenditures incurred to acquire such businesses or the capital expenditures needed to develop such businesses;</w:t>
      </w:r>
    </w:p>
    <w:p>
      <w:pPr>
        <w:spacing w:after="0" w:line="161" w:lineRule="exact"/>
        <w:rPr>
          <w:rFonts w:ascii="Times New Roman" w:cs="Times New Roman" w:eastAsia="Times New Roman" w:hAnsi="Times New Roman"/>
          <w:sz w:val="18"/>
          <w:szCs w:val="18"/>
          <w:color w:val="auto"/>
        </w:rPr>
      </w:pPr>
    </w:p>
    <w:p>
      <w:pPr>
        <w:ind w:left="240" w:hanging="110"/>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the acquired businesses, technologies or product lines;</w:t>
      </w:r>
    </w:p>
    <w:p>
      <w:pPr>
        <w:spacing w:after="0" w:line="225" w:lineRule="exact"/>
        <w:rPr>
          <w:rFonts w:ascii="Times New Roman" w:cs="Times New Roman" w:eastAsia="Times New Roman" w:hAnsi="Times New Roman"/>
          <w:sz w:val="18"/>
          <w:szCs w:val="18"/>
          <w:color w:val="auto"/>
        </w:rPr>
      </w:pPr>
    </w:p>
    <w:p>
      <w:pPr>
        <w:ind w:left="240" w:right="140" w:hanging="110"/>
        <w:spacing w:after="0" w:line="282"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manage additional business locations, including the additional infrastructure and resources necessary to support and integrate such locations;</w:t>
      </w:r>
    </w:p>
    <w:p>
      <w:pPr>
        <w:spacing w:after="0" w:line="161" w:lineRule="exact"/>
        <w:rPr>
          <w:rFonts w:ascii="Times New Roman" w:cs="Times New Roman" w:eastAsia="Times New Roman" w:hAnsi="Times New Roman"/>
          <w:sz w:val="18"/>
          <w:szCs w:val="18"/>
          <w:color w:val="auto"/>
        </w:rPr>
      </w:pPr>
    </w:p>
    <w:p>
      <w:pPr>
        <w:ind w:left="240" w:right="140" w:hanging="110"/>
        <w:spacing w:after="0" w:line="282"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61" w:lineRule="exact"/>
        <w:rPr>
          <w:rFonts w:ascii="Times New Roman" w:cs="Times New Roman" w:eastAsia="Times New Roman" w:hAnsi="Times New Roman"/>
          <w:sz w:val="18"/>
          <w:szCs w:val="18"/>
          <w:color w:val="auto"/>
        </w:rPr>
      </w:pPr>
    </w:p>
    <w:p>
      <w:pPr>
        <w:ind w:left="240" w:hanging="110"/>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240" w:hanging="110"/>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or conducting operations with which we have no or limited direct prior experience;</w:t>
      </w:r>
    </w:p>
    <w:p>
      <w:pPr>
        <w:spacing w:after="0" w:line="225" w:lineRule="exact"/>
        <w:rPr>
          <w:rFonts w:ascii="Times New Roman" w:cs="Times New Roman" w:eastAsia="Times New Roman" w:hAnsi="Times New Roman"/>
          <w:sz w:val="18"/>
          <w:szCs w:val="18"/>
          <w:color w:val="auto"/>
        </w:rPr>
      </w:pPr>
    </w:p>
    <w:p>
      <w:pPr>
        <w:ind w:left="240" w:hanging="110"/>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assuming the legal obligations of acquired businesses, technologies or product lines;</w:t>
      </w:r>
    </w:p>
    <w:p>
      <w:pPr>
        <w:spacing w:after="0" w:line="225" w:lineRule="exact"/>
        <w:rPr>
          <w:rFonts w:ascii="Times New Roman" w:cs="Times New Roman" w:eastAsia="Times New Roman" w:hAnsi="Times New Roman"/>
          <w:sz w:val="18"/>
          <w:szCs w:val="18"/>
          <w:color w:val="auto"/>
        </w:rPr>
      </w:pPr>
    </w:p>
    <w:p>
      <w:pPr>
        <w:ind w:left="240" w:right="140" w:hanging="110"/>
        <w:spacing w:after="0" w:line="282"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61" w:lineRule="exact"/>
        <w:rPr>
          <w:rFonts w:ascii="Times New Roman" w:cs="Times New Roman" w:eastAsia="Times New Roman" w:hAnsi="Times New Roman"/>
          <w:sz w:val="18"/>
          <w:szCs w:val="18"/>
          <w:color w:val="auto"/>
        </w:rPr>
      </w:pPr>
    </w:p>
    <w:p>
      <w:pPr>
        <w:ind w:left="240" w:hanging="110"/>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related to acquired businesses, technologies or product lines; and</w:t>
      </w:r>
    </w:p>
    <w:p>
      <w:pPr>
        <w:spacing w:after="0" w:line="225" w:lineRule="exact"/>
        <w:rPr>
          <w:rFonts w:ascii="Times New Roman" w:cs="Times New Roman" w:eastAsia="Times New Roman" w:hAnsi="Times New Roman"/>
          <w:sz w:val="18"/>
          <w:szCs w:val="18"/>
          <w:color w:val="auto"/>
        </w:rPr>
      </w:pPr>
    </w:p>
    <w:p>
      <w:pPr>
        <w:ind w:left="240" w:hanging="110"/>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Additionally, we have a joint research agreement with Philips Healthcare, a division of Royal Philips Electronics, to evaluate the combination of Philips’ high intensity focused ultrasound (HIFU) with ThermoDox® to determine the potential of this combination to treat a broad range of cancers. As part of the assets we acquired from EGEN in June 2014, we became party to a license agreement with The Wistar Institute of Anatomy and Biology pursuant to which we in-license certain technologies use in the development of our newly acquired proprietary delivery platform technologies, TheraPlas® and TheraSilence®. If we breach any provisions of the license and research agreements, we may our ability to use the subject technology, as well as compensation for our efforts in developing or exploiting the technology. Any such loss of rights and access to technology could have a material adverse effect on our business.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8"/>
          <w:szCs w:val="18"/>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 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and expect to continue to rely, on third-party clinical investigators, clinical research organizations (CROs), clinical data management organizations and consultants to design, conduct, supervise and monitor our clinical trials. Because we do not have the ability to conduct our own clinical trials, we must rely on the efforts of others and have limited control over, and cannot predict accurately, the timing of such trials, the costs associated with such trials or the procedures that are followed for such trials. We do not expect to significantly increase our personnel in the foreseeable future and may continue to rely on third parties to conduct all of our future clinical trials.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all events, we are responsible for ensuring that each of our clinical trials is conducted in accordance with the general investigational plan and protocols for the trial. The FDA requires clinical trials to be conducted in accordance with good clinical practices, including for conducting, recording and reporting the results of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such event could have a material adverse effect on our business, financial condition, results of operations and prospects.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 A Form 483 notice is generally issued at the conclusion of an FDA inspection and lists conditions the FDA inspectors believe may violate FDA regulations. FDA guidelines specify that a warning letter is issued only for violations of “regulatory significance” for which the failure to adequately and promptly achieve correction may be expected to result in an enforcement action.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These actual and potential changes are causing the marketplace to put increased emphasis on the delivery of more cost-effective treatments. In addition, uncertainty remains regarding proposed significant reforms to the U.S. health care system.</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products may be harmed if the government, private health insurers and other third-party payers do not provide sufficient coverage or reimbursement.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commercial success of our products will depend upon their acceptance by the medical community and third-party payers as clinically useful, cost effective and safe. Any or our drug candidates may prove not to be effective in practice. If testing and clinical practice do not confirm the safety and efficacy of our product candidates or even if further testing and clinical practice produce positive results but the medical community does not view these new forms of treatment as effective and desirable, our efforts to market our new products may fail, which would have an adverse effect on our business, financial condition and results of operations.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 and there can be no assurance that such third parties will establish adequate sales and distribution capabilities or be successful in gaining market acceptance for our products and services.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Our success will depend in part on our ability to grow and diversify, which in turn will require that we manage and control our growth effectively.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and the failure to compete effectively could adversely affect our ability to develop and market our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has been, and we expect it to continue to be volatile and fluctuate significantly, which could result in substantial losses for investors and subject us to securities class action litigation.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More recently, our acquisition of the assets of EGEN in June 2014 has been followed with increased volatility in the price of our common stock.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$42.12 and a low price of $3.47 in the 52-week period ended December 31, 2013, as adjusted to reflect the 4.5-to-1 reverse split of our common stock effected as of October 28, 2013, and a high price of $4.57 and a low price of $2.52 from January 2, 2014 through November 7, 2014. Among the factors that may cause the market price of our common stock to fluctuate are the risks described in this “Risk Factors” section and other factors, including:</w:t>
      </w:r>
    </w:p>
    <w:p>
      <w:pPr>
        <w:spacing w:after="0" w:line="200" w:lineRule="exact"/>
        <w:rPr>
          <w:sz w:val="20"/>
          <w:szCs w:val="20"/>
          <w:color w:val="auto"/>
        </w:rPr>
      </w:pPr>
    </w:p>
    <w:p>
      <w:pPr>
        <w:spacing w:after="0" w:line="207" w:lineRule="exact"/>
        <w:rPr>
          <w:sz w:val="20"/>
          <w:szCs w:val="20"/>
          <w:color w:val="auto"/>
        </w:rPr>
      </w:pPr>
    </w:p>
    <w:p>
      <w:pPr>
        <w:ind w:left="520" w:hanging="28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and clinical studies of our product candidates or those of our competitors;</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and regulations applicable to our product candidates;</w:t>
      </w:r>
    </w:p>
    <w:p>
      <w:pPr>
        <w:spacing w:after="0" w:line="225" w:lineRule="exact"/>
        <w:rPr>
          <w:rFonts w:ascii="Times New Roman" w:cs="Times New Roman" w:eastAsia="Times New Roman" w:hAnsi="Times New Roman"/>
          <w:sz w:val="18"/>
          <w:szCs w:val="18"/>
          <w:color w:val="auto"/>
        </w:rPr>
      </w:pPr>
    </w:p>
    <w:p>
      <w:pPr>
        <w:ind w:left="500" w:hanging="26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225" w:lineRule="exact"/>
        <w:rPr>
          <w:rFonts w:ascii="Times New Roman" w:cs="Times New Roman" w:eastAsia="Times New Roman" w:hAnsi="Times New Roman"/>
          <w:sz w:val="18"/>
          <w:szCs w:val="18"/>
          <w:color w:val="auto"/>
        </w:rPr>
      </w:pPr>
    </w:p>
    <w:p>
      <w:pPr>
        <w:ind w:left="500" w:hanging="26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or our competitors, and the timing of these introductions or announcements;</w:t>
      </w:r>
    </w:p>
    <w:p>
      <w:pPr>
        <w:spacing w:after="0" w:line="225" w:lineRule="exact"/>
        <w:rPr>
          <w:rFonts w:ascii="Times New Roman" w:cs="Times New Roman" w:eastAsia="Times New Roman" w:hAnsi="Times New Roman"/>
          <w:sz w:val="18"/>
          <w:szCs w:val="18"/>
          <w:color w:val="auto"/>
        </w:rPr>
      </w:pPr>
    </w:p>
    <w:p>
      <w:pPr>
        <w:ind w:left="500" w:hanging="26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other strategic transactions or capital commitments;</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or the operating results of our competitors;</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investors;</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changes in interpretations of existing principles, which could affect our financial results;</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to achieve or maintain market acceptance or commercial success;</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markets we serve;</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industry and market conditions;</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competitive products and services;</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our competitors;</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8" w:name="page49"/>
    <w:bookmarkEnd w:id="48"/>
    <w:p>
      <w:pPr>
        <w:ind w:left="520" w:hanging="28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regulatory policies, practices or actions;</w:t>
      </w:r>
    </w:p>
    <w:p>
      <w:pPr>
        <w:spacing w:after="0" w:line="225" w:lineRule="exact"/>
        <w:rPr>
          <w:rFonts w:ascii="Times New Roman" w:cs="Times New Roman" w:eastAsia="Times New Roman" w:hAnsi="Times New Roman"/>
          <w:sz w:val="18"/>
          <w:szCs w:val="18"/>
          <w:color w:val="auto"/>
        </w:rPr>
      </w:pPr>
    </w:p>
    <w:p>
      <w:pPr>
        <w:ind w:left="500" w:hanging="26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outcome of litigation involving our company, our general industry or both;</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500" w:hanging="26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161"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sales of our common stock by our stockholders;</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financings, including the EGEN acquisition; and</w:t>
      </w:r>
    </w:p>
    <w:p>
      <w:pPr>
        <w:spacing w:after="0" w:line="225" w:lineRule="exact"/>
        <w:rPr>
          <w:rFonts w:ascii="Times New Roman" w:cs="Times New Roman" w:eastAsia="Times New Roman" w:hAnsi="Times New Roman"/>
          <w:sz w:val="18"/>
          <w:szCs w:val="18"/>
          <w:color w:val="auto"/>
        </w:rPr>
      </w:pPr>
    </w:p>
    <w:p>
      <w:pPr>
        <w:ind w:left="520" w:hanging="28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November 10, 2014, we had 19,976,546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stockholders may experience significant dilution as a result of future equity offerings or issuances and exercise of outstanding options and warrants.</w:t>
      </w:r>
    </w:p>
    <w:p>
      <w:pPr>
        <w:spacing w:after="0" w:line="1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 Investors purchasing shares or other securities in the future could have rights superior to existing stockholders. As of November 10, 2014, we have a significant number of securities convertible into, or allowing the purchase of, our common stock, including 5,069,815 shares of common stock issuable upon exercise of warrants outstanding, 1,754,698 options to purchase shares of our common stock and restricted stock awards outstanding, and 1,920,072 shares of common stock reserved for future issuance under our stock incentive plans. Under the Controlled Equity Offering</w:t>
      </w:r>
      <w:r>
        <w:rPr>
          <w:rFonts w:ascii="Times New Roman" w:cs="Times New Roman" w:eastAsia="Times New Roman" w:hAnsi="Times New Roman"/>
          <w:sz w:val="30"/>
          <w:szCs w:val="30"/>
          <w:color w:val="auto"/>
          <w:vertAlign w:val="superscript"/>
        </w:rPr>
        <w:t>SM</w:t>
      </w:r>
      <w:r>
        <w:rPr>
          <w:rFonts w:ascii="Times New Roman" w:cs="Times New Roman" w:eastAsia="Times New Roman" w:hAnsi="Times New Roman"/>
          <w:sz w:val="18"/>
          <w:szCs w:val="18"/>
          <w:color w:val="auto"/>
        </w:rPr>
        <w:t xml:space="preserve"> Sales Agreement entered into with Cantor Fitzgerald &amp; Co. on February 1, 2013, we may offer and sell, from time to time through “at-the-market” offerings, up to an aggregate of $25 million of shares of our common stock. We had only sold $6.8 million under the Sales Agreement as of November 10, 2014.</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be unable to maintain compliance with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November 7, 2014, the closing sale price of our common stock was $2.52, the total market value of our publicly held shares of our common stock (excluding shares held by our executive officers, directors and 10% or more stockholders) was approximately $50 million and the total market value of our listed securities was approximately $50 million. There is no assurance that we will continue to meet the minimum closing price requirement and other listing requirements. As of September 30, 2014, we had stockholders’ equity of $38.9 million.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28, 2013, we effected a 4.5-to-1 reverse stock split of our common stock primarily for purposes of increasing the market price of our common stock, among others, and our common stock started to trade on the post-split basis on October 29, 2013. Other companies have found that the increased stock prices resulting from reverse splits tend to diminish over time unless supported by positive developments in the business. The closing price of our common stock as reported on The NASDAQ Capital Market has declined from $5.14 on October 29, 2013 to $2.52 on November 7, 2014.</w:t>
      </w:r>
    </w:p>
    <w:p>
      <w:pPr>
        <w:spacing w:after="0" w:line="180"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18"/>
          <w:szCs w:val="18"/>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2013, 2012 and 2011 the Company performed analyses to determine if there were changes in ownership, as defined by Section 382 of the Internal Revenue Code that would limit its ability to utilize certain net operating loss and tax credit carry forwards. The Company determined that it experienced an ownership change, as defined by Section 382, in connection with certain common stock offerings on July 25, 2011, February 5, 2013 and on June 3, 2013. As a result, the utilization of the Company's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Our effective tax rate may be impacted by a number of factors, including tax effects of the EGEN acquisition.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effective tax rate may be impacted by the tax effects of the EGEN acquisition, dispositions, changes to tax laws or regulations, examinations by tax authorities, stock-based compensation, uncertain tax positions, and changes in our ability to realize deferred tax assets. Significant judgment and estimates are required in determining the impact on our effective tax rate related to these items, including whether it is more likely than not that some or all of our deferred tax assets will be realized. Such estimates are subject to uncertainty due to various factors, including the economic environment, industry and market conditions, and the length of time of the projections included in the analyses. If our actual results are less favorable than current estimates, or we revise our estimates downward in future analyses, a valuation allowance may be required related to our deferred tax assets with a corresponding adjustment to earnings in the period in which such determination is made, which could have a material effect on our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never paid cash dividends on our common stock in the past and do not anticipate paying cash dividends on our common stock in the foreseeable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8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ind w:left="1000" w:right="340" w:hanging="985"/>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Chief Executive Officer pursuant to Rule 13a-14(a)/15d-14(a), as adopted pursuant to Section 302 of the Sarbanes-Oxley Act of 2002.</w:t>
      </w:r>
    </w:p>
    <w:p>
      <w:pPr>
        <w:spacing w:after="0" w:line="162" w:lineRule="exact"/>
        <w:rPr>
          <w:sz w:val="20"/>
          <w:szCs w:val="20"/>
          <w:color w:val="auto"/>
        </w:rPr>
      </w:pPr>
    </w:p>
    <w:p>
      <w:pPr>
        <w:ind w:left="1000" w:right="380" w:hanging="985"/>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Chief Financial Officer pursuant to Rule 13a-14(a)/15d-14(a), as adopted pursuant to Section 302 of the Sarbanes-Oxley Act of 2002.</w:t>
      </w:r>
    </w:p>
    <w:p>
      <w:pPr>
        <w:spacing w:after="0" w:line="16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Certification pursuant to 18 U.S.C. Section 1350, as adopted pursuant to Section 906 of the Sarbanes-Oxley Act of 2002.</w:t>
      </w:r>
    </w:p>
    <w:p>
      <w:pPr>
        <w:spacing w:after="0" w:line="225" w:lineRule="exact"/>
        <w:rPr>
          <w:sz w:val="20"/>
          <w:szCs w:val="20"/>
          <w:color w:val="auto"/>
        </w:rPr>
      </w:pPr>
    </w:p>
    <w:p>
      <w:pPr>
        <w:ind w:left="1040" w:hanging="987"/>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1000" w:right="40" w:hanging="999"/>
        <w:spacing w:after="0" w:line="261" w:lineRule="auto"/>
        <w:tabs>
          <w:tab w:leader="none" w:pos="9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Company’s Quarterly Report on Form 10-Q for the quarter ended September 30, 2014, formatted in XBRL (Extensible Business Reporting Language): (i) the unaudited Balance Sheets, (ii) the unaudited Statements of Operations, (iii) the unaudited Statements of Comprehensive Loss, (iv) the unaudited Statements of Cash Flows, (v) the unaudited Statements of Change in Stockholders' Equity (Deficit), and (vi) Notes to Financial Statements.</w:t>
      </w:r>
    </w:p>
    <w:p>
      <w:pPr>
        <w:spacing w:after="0" w:line="180" w:lineRule="exact"/>
        <w:rPr>
          <w:sz w:val="20"/>
          <w:szCs w:val="20"/>
          <w:color w:val="auto"/>
        </w:rPr>
      </w:pPr>
    </w:p>
    <w:p>
      <w:pPr>
        <w:jc w:val="both"/>
        <w:ind w:left="1000" w:hanging="327"/>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sz w:val="20"/>
          <w:szCs w:val="20"/>
          <w:color w:val="auto"/>
        </w:rPr>
      </w:pPr>
    </w:p>
    <w:p>
      <w:pPr>
        <w:ind w:left="640"/>
        <w:spacing w:after="0"/>
        <w:tabs>
          <w:tab w:leader="none" w:pos="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XBRL information is 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240" w:top="576" w:right="899" w:bottom="1440" w:gutter="0" w:footer="0" w:header="0"/>
        </w:sectPr>
      </w:pPr>
    </w:p>
    <w:bookmarkStart w:id="52" w:name="page53"/>
    <w:bookmarkEnd w:id="5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2014</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17145</wp:posOffset>
            </wp:positionV>
            <wp:extent cx="34817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Registrant</w:t>
      </w:r>
    </w:p>
    <w:p>
      <w:pPr>
        <w:spacing w:after="0" w:line="223" w:lineRule="exact"/>
        <w:rPr>
          <w:sz w:val="20"/>
          <w:szCs w:val="20"/>
          <w:color w:val="auto"/>
        </w:rPr>
      </w:pPr>
    </w:p>
    <w:p>
      <w:pPr>
        <w:ind w:left="4780"/>
        <w:spacing w:after="0"/>
        <w:tabs>
          <w:tab w:leader="none" w:pos="5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H. Tardugno</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-130810</wp:posOffset>
            </wp:positionV>
            <wp:extent cx="31470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5" w:lineRule="exact"/>
        <w:rPr>
          <w:sz w:val="20"/>
          <w:szCs w:val="20"/>
          <w:color w:val="auto"/>
        </w:rPr>
      </w:pPr>
    </w:p>
    <w:p>
      <w:pPr>
        <w:ind w:left="4780"/>
        <w:spacing w:after="0"/>
        <w:tabs>
          <w:tab w:leader="none" w:pos="5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Jeffrey W. Church</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-130810</wp:posOffset>
            </wp:positionV>
            <wp:extent cx="31470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4160" w:type="dxa"/>
            <w:vAlign w:val="bottom"/>
          </w:tcPr>
          <w:p>
            <w:pPr>
              <w:spacing w:after="0"/>
              <w:rPr>
                <w:sz w:val="17"/>
                <w:szCs w:val="17"/>
                <w:color w:val="auto"/>
              </w:rPr>
            </w:pPr>
          </w:p>
        </w:tc>
      </w:tr>
      <w:tr>
        <w:trPr>
          <w:trHeight w:val="43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20" w:type="dxa"/>
            <w:vAlign w:val="bottom"/>
          </w:tcPr>
          <w:p>
            <w:pPr>
              <w:spacing w:after="0"/>
              <w:rPr>
                <w:sz w:val="24"/>
                <w:szCs w:val="24"/>
                <w:color w:val="auto"/>
              </w:rPr>
            </w:pPr>
          </w:p>
        </w:tc>
        <w:tc>
          <w:tcPr>
            <w:tcW w:w="5560" w:type="dxa"/>
            <w:vAlign w:val="bottom"/>
            <w:gridSpan w:val="2"/>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Description of</w:t>
            </w:r>
          </w:p>
        </w:tc>
      </w:tr>
      <w:tr>
        <w:trPr>
          <w:trHeight w:val="23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020" w:type="dxa"/>
            <w:vAlign w:val="bottom"/>
          </w:tcPr>
          <w:p>
            <w:pPr>
              <w:spacing w:after="0"/>
              <w:rPr>
                <w:sz w:val="20"/>
                <w:szCs w:val="20"/>
                <w:color w:val="auto"/>
              </w:rPr>
            </w:pPr>
          </w:p>
        </w:tc>
        <w:tc>
          <w:tcPr>
            <w:tcW w:w="5560" w:type="dxa"/>
            <w:vAlign w:val="bottom"/>
            <w:gridSpan w:val="2"/>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9"/>
              </w:rPr>
              <w:t>Documents</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Rule 13a-14(a)/15d-14(a), as adopted pursuant to Section 302 of the Sarbanes-</w:t>
            </w:r>
          </w:p>
        </w:tc>
      </w:tr>
      <w:tr>
        <w:trPr>
          <w:trHeight w:val="234"/>
        </w:trPr>
        <w:tc>
          <w:tcPr>
            <w:tcW w:w="1000" w:type="dxa"/>
            <w:vAlign w:val="bottom"/>
          </w:tcPr>
          <w:p>
            <w:pPr>
              <w:spacing w:after="0"/>
              <w:rPr>
                <w:sz w:val="20"/>
                <w:szCs w:val="20"/>
                <w:color w:val="auto"/>
              </w:rPr>
            </w:pPr>
          </w:p>
        </w:tc>
        <w:tc>
          <w:tcPr>
            <w:tcW w:w="9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13a-14(a)/15d-14(a), as adopted pursuant to Section 302 of the Sarbanes-</w:t>
            </w:r>
          </w:p>
        </w:tc>
      </w:tr>
      <w:tr>
        <w:trPr>
          <w:trHeight w:val="234"/>
        </w:trPr>
        <w:tc>
          <w:tcPr>
            <w:tcW w:w="1000" w:type="dxa"/>
            <w:vAlign w:val="bottom"/>
          </w:tcPr>
          <w:p>
            <w:pPr>
              <w:spacing w:after="0"/>
              <w:rPr>
                <w:sz w:val="20"/>
                <w:szCs w:val="20"/>
                <w:color w:val="auto"/>
              </w:rPr>
            </w:pPr>
          </w:p>
        </w:tc>
        <w:tc>
          <w:tcPr>
            <w:tcW w:w="9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bl>
    <w:p>
      <w:pPr>
        <w:spacing w:after="0" w:line="198" w:lineRule="exact"/>
        <w:rPr>
          <w:sz w:val="20"/>
          <w:szCs w:val="20"/>
          <w:color w:val="auto"/>
        </w:rPr>
      </w:pPr>
    </w:p>
    <w:p>
      <w:pPr>
        <w:ind w:left="1200" w:hanging="1147"/>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7"/>
              </w:rPr>
              <w:t>101**</w:t>
            </w:r>
          </w:p>
        </w:tc>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The following materials from the Company’s Quarterly Report on Form 10-Q for the quarter ended September 30, 2014, formatted in</w:t>
            </w:r>
          </w:p>
        </w:tc>
      </w:tr>
      <w:tr>
        <w:trPr>
          <w:trHeight w:val="216"/>
        </w:trPr>
        <w:tc>
          <w:tcPr>
            <w:tcW w:w="800" w:type="dxa"/>
            <w:vAlign w:val="bottom"/>
          </w:tcPr>
          <w:p>
            <w:pPr>
              <w:spacing w:after="0"/>
              <w:rPr>
                <w:sz w:val="18"/>
                <w:szCs w:val="18"/>
                <w:color w:val="auto"/>
              </w:rPr>
            </w:pPr>
          </w:p>
        </w:tc>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(Extensible Business Reporting Language): (i) the unaudited Balance Sheets, (ii) the unaudited Statements of Operations, (iii)</w:t>
            </w:r>
          </w:p>
        </w:tc>
      </w:tr>
      <w:tr>
        <w:trPr>
          <w:trHeight w:val="216"/>
        </w:trPr>
        <w:tc>
          <w:tcPr>
            <w:tcW w:w="800" w:type="dxa"/>
            <w:vAlign w:val="bottom"/>
          </w:tcPr>
          <w:p>
            <w:pPr>
              <w:spacing w:after="0"/>
              <w:rPr>
                <w:sz w:val="18"/>
                <w:szCs w:val="18"/>
                <w:color w:val="auto"/>
              </w:rPr>
            </w:pPr>
          </w:p>
        </w:tc>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unaudited Statements of Comprehensive Loss, (iv) the unaudited Statements of Cash Flows, (v) the unaudited Statements of</w:t>
            </w:r>
          </w:p>
        </w:tc>
      </w:tr>
      <w:tr>
        <w:trPr>
          <w:trHeight w:val="234"/>
        </w:trPr>
        <w:tc>
          <w:tcPr>
            <w:tcW w:w="800" w:type="dxa"/>
            <w:vAlign w:val="bottom"/>
          </w:tcPr>
          <w:p>
            <w:pPr>
              <w:spacing w:after="0"/>
              <w:rPr>
                <w:sz w:val="20"/>
                <w:szCs w:val="20"/>
                <w:color w:val="auto"/>
              </w:rPr>
            </w:pPr>
          </w:p>
        </w:tc>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Stockholders' Equity (Deficit), and (vi) Notes to Financial Statements.</w:t>
            </w:r>
          </w:p>
        </w:tc>
      </w:tr>
    </w:tbl>
    <w:p>
      <w:pPr>
        <w:spacing w:after="0" w:line="198" w:lineRule="exact"/>
        <w:rPr>
          <w:sz w:val="20"/>
          <w:szCs w:val="20"/>
          <w:color w:val="auto"/>
        </w:rPr>
      </w:pPr>
    </w:p>
    <w:p>
      <w:pPr>
        <w:jc w:val="both"/>
        <w:ind w:left="1160" w:hanging="1107"/>
        <w:spacing w:after="0" w:line="261" w:lineRule="auto"/>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sz w:val="20"/>
          <w:szCs w:val="20"/>
          <w:color w:val="auto"/>
        </w:rPr>
      </w:pPr>
    </w:p>
    <w:p>
      <w:pPr>
        <w:ind w:left="1160" w:hanging="1107"/>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filed herewith.</w:t>
      </w:r>
    </w:p>
    <w:p>
      <w:pPr>
        <w:sectPr>
          <w:pgSz w:w="11900" w:h="16838" w:orient="portrait"/>
          <w:cols w:equalWidth="0" w:num="1">
            <w:col w:w="10800"/>
          </w:cols>
          <w:pgMar w:left="240" w:top="567" w:right="8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H. Tardugno, certify that:</w:t>
      </w:r>
    </w:p>
    <w:p>
      <w:pPr>
        <w:spacing w:after="0" w:line="225" w:lineRule="exact"/>
        <w:rPr>
          <w:sz w:val="20"/>
          <w:szCs w:val="20"/>
          <w:color w:val="auto"/>
        </w:rPr>
      </w:pPr>
    </w:p>
    <w:p>
      <w:pPr>
        <w:ind w:left="880" w:hanging="507"/>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Celsion Corporation;</w:t>
      </w:r>
    </w:p>
    <w:p>
      <w:pPr>
        <w:spacing w:after="0" w:line="225" w:lineRule="exact"/>
        <w:rPr>
          <w:rFonts w:ascii="Times New Roman" w:cs="Times New Roman" w:eastAsia="Times New Roman" w:hAnsi="Times New Roman"/>
          <w:sz w:val="18"/>
          <w:szCs w:val="18"/>
          <w:color w:val="auto"/>
        </w:rPr>
      </w:pPr>
    </w:p>
    <w:p>
      <w:pPr>
        <w:jc w:val="both"/>
        <w:ind w:left="880" w:right="60" w:hanging="507"/>
        <w:spacing w:after="0" w:line="266"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80" w:right="60" w:hanging="507"/>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80" w:right="60" w:hanging="507"/>
        <w:spacing w:after="0" w:line="261"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 (f)), for the registrant and have:</w:t>
      </w:r>
    </w:p>
    <w:p>
      <w:pPr>
        <w:spacing w:after="0" w:line="206" w:lineRule="exact"/>
        <w:rPr>
          <w:rFonts w:ascii="Times New Roman" w:cs="Times New Roman" w:eastAsia="Times New Roman" w:hAnsi="Times New Roman"/>
          <w:sz w:val="18"/>
          <w:szCs w:val="18"/>
          <w:color w:val="auto"/>
        </w:rPr>
      </w:pPr>
    </w:p>
    <w:p>
      <w:pPr>
        <w:jc w:val="both"/>
        <w:ind w:left="880" w:right="60" w:hanging="265"/>
        <w:spacing w:after="0" w:line="266"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880" w:right="60" w:hanging="275"/>
        <w:spacing w:after="0" w:line="266"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80" w:right="60" w:hanging="265"/>
        <w:spacing w:after="0" w:line="282"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880" w:right="60" w:hanging="275"/>
        <w:spacing w:after="0" w:line="282"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880" w:right="60" w:hanging="507"/>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80" w:right="60" w:hanging="265"/>
        <w:spacing w:after="0" w:line="282"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right="60" w:hanging="275"/>
        <w:spacing w:after="0" w:line="282"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16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Celsion Corporation</w:t>
            </w:r>
          </w:p>
        </w:tc>
      </w:tr>
      <w:tr>
        <w:trPr>
          <w:trHeight w:val="4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2014</w:t>
            </w:r>
          </w:p>
        </w:tc>
        <w:tc>
          <w:tcPr>
            <w:tcW w:w="64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Michael H. Tardugno</w:t>
            </w:r>
          </w:p>
        </w:tc>
      </w:tr>
      <w:tr>
        <w:trPr>
          <w:trHeight w:val="191"/>
        </w:trPr>
        <w:tc>
          <w:tcPr>
            <w:tcW w:w="3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2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Michael H. Tardugno</w:t>
            </w:r>
          </w:p>
        </w:tc>
      </w:tr>
      <w:tr>
        <w:trPr>
          <w:trHeight w:val="234"/>
        </w:trPr>
        <w:tc>
          <w:tcPr>
            <w:tcW w:w="33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117"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 Church, certify that:</w:t>
      </w:r>
    </w:p>
    <w:p>
      <w:pPr>
        <w:spacing w:after="0" w:line="225" w:lineRule="exact"/>
        <w:rPr>
          <w:sz w:val="20"/>
          <w:szCs w:val="20"/>
          <w:color w:val="auto"/>
        </w:rPr>
      </w:pPr>
    </w:p>
    <w:p>
      <w:pPr>
        <w:ind w:left="880" w:hanging="507"/>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Celsion Corporation;</w:t>
      </w:r>
    </w:p>
    <w:p>
      <w:pPr>
        <w:spacing w:after="0" w:line="225" w:lineRule="exact"/>
        <w:rPr>
          <w:rFonts w:ascii="Times New Roman" w:cs="Times New Roman" w:eastAsia="Times New Roman" w:hAnsi="Times New Roman"/>
          <w:sz w:val="18"/>
          <w:szCs w:val="18"/>
          <w:color w:val="auto"/>
        </w:rPr>
      </w:pPr>
    </w:p>
    <w:p>
      <w:pPr>
        <w:jc w:val="both"/>
        <w:ind w:left="880" w:right="60" w:hanging="507"/>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80" w:right="60" w:hanging="507"/>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80" w:right="60" w:hanging="507"/>
        <w:spacing w:after="0" w:line="261"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 (f)), for the registrant and have:</w:t>
      </w:r>
    </w:p>
    <w:p>
      <w:pPr>
        <w:spacing w:after="0" w:line="206" w:lineRule="exact"/>
        <w:rPr>
          <w:rFonts w:ascii="Times New Roman" w:cs="Times New Roman" w:eastAsia="Times New Roman" w:hAnsi="Times New Roman"/>
          <w:sz w:val="18"/>
          <w:szCs w:val="18"/>
          <w:color w:val="auto"/>
        </w:rPr>
      </w:pPr>
    </w:p>
    <w:p>
      <w:pPr>
        <w:jc w:val="both"/>
        <w:ind w:left="900" w:right="60" w:hanging="258"/>
        <w:spacing w:after="0" w:line="266" w:lineRule="auto"/>
        <w:tabs>
          <w:tab w:leader="none" w:pos="9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880" w:right="60" w:hanging="275"/>
        <w:spacing w:after="0" w:line="266"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80" w:right="60" w:hanging="265"/>
        <w:spacing w:after="0" w:line="282"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880" w:right="60" w:hanging="275"/>
        <w:spacing w:after="0" w:line="282"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880" w:right="60" w:hanging="507"/>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80" w:right="60" w:hanging="265"/>
        <w:spacing w:after="0" w:line="282"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right="60" w:hanging="275"/>
        <w:spacing w:after="0" w:line="282"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162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Celsion Corporation</w:t>
            </w:r>
          </w:p>
        </w:tc>
      </w:tr>
      <w:tr>
        <w:trPr>
          <w:trHeight w:val="42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2014</w:t>
            </w:r>
          </w:p>
        </w:tc>
        <w:tc>
          <w:tcPr>
            <w:tcW w:w="64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Jeffrey W. Church</w:t>
            </w:r>
          </w:p>
        </w:tc>
      </w:tr>
      <w:tr>
        <w:trPr>
          <w:trHeight w:val="191"/>
        </w:trPr>
        <w:tc>
          <w:tcPr>
            <w:tcW w:w="3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20" w:type="dxa"/>
            <w:vAlign w:val="bottom"/>
            <w:tcBorders>
              <w:top w:val="single" w:sz="8" w:color="auto"/>
            </w:tcBorders>
          </w:tcPr>
          <w:p>
            <w:pPr>
              <w:ind w:left="320"/>
              <w:spacing w:after="0" w:line="191" w:lineRule="exact"/>
              <w:rPr>
                <w:sz w:val="20"/>
                <w:szCs w:val="20"/>
                <w:color w:val="auto"/>
              </w:rPr>
            </w:pPr>
            <w:r>
              <w:rPr>
                <w:rFonts w:ascii="Times New Roman" w:cs="Times New Roman" w:eastAsia="Times New Roman" w:hAnsi="Times New Roman"/>
                <w:sz w:val="18"/>
                <w:szCs w:val="18"/>
                <w:color w:val="auto"/>
              </w:rPr>
              <w:t>Jeffrey W. Church</w:t>
            </w:r>
          </w:p>
        </w:tc>
      </w:tr>
      <w:tr>
        <w:trPr>
          <w:trHeight w:val="234"/>
        </w:trPr>
        <w:tc>
          <w:tcPr>
            <w:tcW w:w="3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420"/>
          </w:cols>
          <w:pgMar w:left="240" w:top="117"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September 30, 2014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23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2014</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/s/ Michael H. Tardugno</w:t>
            </w:r>
          </w:p>
        </w:tc>
      </w:tr>
      <w:tr>
        <w:trPr>
          <w:trHeight w:val="191"/>
        </w:trPr>
        <w:tc>
          <w:tcPr>
            <w:tcW w:w="3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4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Michael H. Tardugno</w:t>
            </w:r>
          </w:p>
        </w:tc>
      </w:tr>
      <w:tr>
        <w:trPr>
          <w:trHeight w:val="234"/>
        </w:trPr>
        <w:tc>
          <w:tcPr>
            <w:tcW w:w="3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2014</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/s/ Jeffrey W. Church</w:t>
            </w:r>
          </w:p>
        </w:tc>
      </w:tr>
      <w:tr>
        <w:trPr>
          <w:trHeight w:val="191"/>
        </w:trPr>
        <w:tc>
          <w:tcPr>
            <w:tcW w:w="3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4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Jeffrey W. Church</w:t>
            </w:r>
          </w:p>
        </w:tc>
      </w:tr>
      <w:tr>
        <w:trPr>
          <w:trHeight w:val="234"/>
        </w:trPr>
        <w:tc>
          <w:tcPr>
            <w:tcW w:w="3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198" w:lineRule="exact"/>
        <w:rPr>
          <w:sz w:val="20"/>
          <w:szCs w:val="20"/>
          <w:color w:val="auto"/>
        </w:rPr>
      </w:pPr>
    </w:p>
    <w:p>
      <w:pPr>
        <w:jc w:val="both"/>
        <w:ind w:firstLine="8"/>
        <w:spacing w:after="0" w:line="266" w:lineRule="auto"/>
        <w:tabs>
          <w:tab w:leader="none" w:pos="1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2019-12-05T20:07:50Z</dcterms:created>
  <dcterms:modified xsi:type="dcterms:W3CDTF">2019-12-05T20:07:50Z</dcterms:modified>
</cp:coreProperties>
</file>