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1" w:lineRule="exact"/>
        <w:rPr>
          <w:sz w:val="24"/>
          <w:szCs w:val="24"/>
          <w:color w:val="auto"/>
        </w:rPr>
      </w:pPr>
    </w:p>
    <w:p>
      <w:pPr>
        <w:ind w:left="4060" w:right="2320" w:hanging="4052"/>
        <w:spacing w:after="0" w:line="501" w:lineRule="auto"/>
        <w:tabs>
          <w:tab w:leader="none" w:pos="45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2015</w:t>
      </w: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3420" w:right="2300" w:hanging="3412"/>
        <w:spacing w:after="0" w:line="530" w:lineRule="auto"/>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 to ____________</w:t>
      </w:r>
    </w:p>
    <w:p>
      <w:pPr>
        <w:ind w:left="434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001-15911</w:t>
      </w:r>
    </w:p>
    <w:p>
      <w:pPr>
        <w:spacing w:after="0" w:line="22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60"/>
              <w:spacing w:after="0"/>
              <w:rPr>
                <w:sz w:val="20"/>
                <w:szCs w:val="20"/>
                <w:color w:val="auto"/>
              </w:rPr>
            </w:pPr>
            <w:r>
              <w:rPr>
                <w:rFonts w:ascii="Arial" w:cs="Arial" w:eastAsia="Arial" w:hAnsi="Arial"/>
                <w:sz w:val="18"/>
                <w:szCs w:val="18"/>
                <w:b w:val="1"/>
                <w:bCs w:val="1"/>
                <w:color w:val="auto"/>
              </w:rPr>
              <w:t>Delaware</w:t>
            </w:r>
          </w:p>
        </w:tc>
        <w:tc>
          <w:tcPr>
            <w:tcW w:w="5800" w:type="dxa"/>
            <w:vAlign w:val="bottom"/>
            <w:gridSpan w:val="2"/>
          </w:tcPr>
          <w:p>
            <w:pPr>
              <w:jc w:val="right"/>
              <w:ind w:right="2650"/>
              <w:spacing w:after="0"/>
              <w:rPr>
                <w:sz w:val="20"/>
                <w:szCs w:val="20"/>
                <w:color w:val="auto"/>
              </w:rPr>
            </w:pPr>
            <w:r>
              <w:rPr>
                <w:rFonts w:ascii="Arial" w:cs="Arial" w:eastAsia="Arial" w:hAnsi="Arial"/>
                <w:sz w:val="18"/>
                <w:szCs w:val="18"/>
                <w:b w:val="1"/>
                <w:bCs w:val="1"/>
                <w:color w:val="auto"/>
              </w:rPr>
              <w:t>52-1256615</w:t>
            </w:r>
          </w:p>
        </w:tc>
      </w:tr>
      <w:tr>
        <w:trPr>
          <w:trHeight w:val="224"/>
        </w:trPr>
        <w:tc>
          <w:tcPr>
            <w:tcW w:w="5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(State or other jurisdiction of incorporation or organization)</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right"/>
              <w:ind w:right="1530"/>
              <w:spacing w:after="0"/>
              <w:rPr>
                <w:sz w:val="20"/>
                <w:szCs w:val="20"/>
                <w:color w:val="auto"/>
              </w:rPr>
            </w:pPr>
            <w:r>
              <w:rPr>
                <w:rFonts w:ascii="Arial" w:cs="Arial" w:eastAsia="Arial" w:hAnsi="Arial"/>
                <w:sz w:val="18"/>
                <w:szCs w:val="18"/>
                <w:color w:val="auto"/>
              </w:rPr>
              <w:t>(I.R.S. Employer Identification Number)</w:t>
            </w:r>
          </w:p>
        </w:tc>
      </w:tr>
    </w:tbl>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997 Lenox Drive, Suite 100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Lawrenceville </w:t>
      </w:r>
      <w:r>
        <w:rPr>
          <w:rFonts w:ascii="Arial" w:cs="Arial" w:eastAsia="Arial" w:hAnsi="Arial"/>
          <w:sz w:val="18"/>
          <w:szCs w:val="18"/>
          <w:color w:val="auto"/>
        </w:rPr>
        <w:t>,</w:t>
      </w:r>
      <w:r>
        <w:rPr>
          <w:rFonts w:ascii="Arial" w:cs="Arial" w:eastAsia="Arial" w:hAnsi="Arial"/>
          <w:sz w:val="18"/>
          <w:szCs w:val="18"/>
          <w:b w:val="1"/>
          <w:bCs w:val="1"/>
          <w:color w:val="auto"/>
        </w:rPr>
        <w:t xml:space="preserve"> NJ 08648</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656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3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2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656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900" w:type="dxa"/>
            <w:vAlign w:val="bottom"/>
            <w:gridSpan w:val="2"/>
          </w:tcPr>
          <w:p>
            <w:pPr>
              <w:ind w:left="6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432"/>
        </w:trPr>
        <w:tc>
          <w:tcPr>
            <w:tcW w:w="8940" w:type="dxa"/>
            <w:vAlign w:val="bottom"/>
            <w:gridSpan w:val="2"/>
          </w:tcPr>
          <w:p>
            <w:pPr>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p>
        </w:tc>
        <w:tc>
          <w:tcPr>
            <w:tcW w:w="252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12"/>
        </w:trPr>
        <w:tc>
          <w:tcPr>
            <w:tcW w:w="8940" w:type="dxa"/>
            <w:vAlign w:val="bottom"/>
            <w:gridSpan w:val="2"/>
          </w:tcPr>
          <w:p>
            <w:pPr>
              <w:spacing w:after="0"/>
              <w:rPr>
                <w:sz w:val="20"/>
                <w:szCs w:val="20"/>
                <w:color w:val="auto"/>
              </w:rPr>
            </w:pPr>
            <w:r>
              <w:rPr>
                <w:rFonts w:ascii="Arial" w:cs="Arial" w:eastAsia="Arial" w:hAnsi="Arial"/>
                <w:sz w:val="18"/>
                <w:szCs w:val="18"/>
                <w:color w:val="auto"/>
                <w:w w:val="94"/>
              </w:rPr>
              <w:t>As of August 7, 2015, the Registrant had 23,027,988 shares of common stock, $0.01 par value per share, outstanding.</w:t>
            </w:r>
          </w:p>
        </w:tc>
        <w:tc>
          <w:tcPr>
            <w:tcW w:w="2520" w:type="dxa"/>
            <w:vAlign w:val="bottom"/>
          </w:tcPr>
          <w:p>
            <w:pPr>
              <w:spacing w:after="0"/>
              <w:rPr>
                <w:sz w:val="24"/>
                <w:szCs w:val="24"/>
                <w:color w:val="auto"/>
              </w:rPr>
            </w:pPr>
          </w:p>
        </w:tc>
      </w:tr>
      <w:tr>
        <w:trPr>
          <w:trHeight w:val="834"/>
        </w:trPr>
        <w:tc>
          <w:tcPr>
            <w:tcW w:w="6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61"/>
        </w:trPr>
        <w:tc>
          <w:tcPr>
            <w:tcW w:w="6560" w:type="dxa"/>
            <w:vAlign w:val="bottom"/>
            <w:shd w:val="clear" w:color="auto" w:fill="808080"/>
          </w:tcPr>
          <w:p>
            <w:pPr>
              <w:spacing w:after="0"/>
              <w:rPr>
                <w:sz w:val="5"/>
                <w:szCs w:val="5"/>
                <w:color w:val="auto"/>
              </w:rPr>
            </w:pPr>
          </w:p>
        </w:tc>
        <w:tc>
          <w:tcPr>
            <w:tcW w:w="2380" w:type="dxa"/>
            <w:vAlign w:val="bottom"/>
            <w:shd w:val="clear" w:color="auto" w:fill="808080"/>
          </w:tcPr>
          <w:p>
            <w:pPr>
              <w:spacing w:after="0"/>
              <w:rPr>
                <w:sz w:val="5"/>
                <w:szCs w:val="5"/>
                <w:color w:val="auto"/>
              </w:rPr>
            </w:pPr>
          </w:p>
        </w:tc>
        <w:tc>
          <w:tcPr>
            <w:tcW w:w="25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9" w:right="1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8"/>
              </w:rPr>
              <w:t>Page(s)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w:t>
            </w: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540" w:type="dxa"/>
            <w:vAlign w:val="bottom"/>
          </w:tcPr>
          <w:p>
            <w:pPr>
              <w:ind w:left="180"/>
              <w:spacing w:after="0"/>
              <w:rPr>
                <w:sz w:val="20"/>
                <w:szCs w:val="20"/>
                <w:color w:val="auto"/>
              </w:rPr>
            </w:pPr>
            <w:r>
              <w:rPr>
                <w:rFonts w:ascii="Arial" w:cs="Arial" w:eastAsia="Arial" w:hAnsi="Arial"/>
                <w:sz w:val="18"/>
                <w:szCs w:val="18"/>
                <w:color w:val="auto"/>
              </w:rPr>
              <w:t>Condensed Consolidated Balance Sheets</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Condensed Consolidated Statements of Operations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540" w:type="dxa"/>
            <w:vAlign w:val="bottom"/>
          </w:tcPr>
          <w:p>
            <w:pPr>
              <w:ind w:left="180"/>
              <w:spacing w:after="0"/>
              <w:rPr>
                <w:sz w:val="20"/>
                <w:szCs w:val="20"/>
                <w:color w:val="auto"/>
              </w:rPr>
            </w:pPr>
            <w:r>
              <w:rPr>
                <w:rFonts w:ascii="Arial" w:cs="Arial" w:eastAsia="Arial" w:hAnsi="Arial"/>
                <w:sz w:val="18"/>
                <w:szCs w:val="18"/>
                <w:color w:val="auto"/>
              </w:rPr>
              <w:t>Condensed Consolidated Statements of Comprehensive Loss</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Condensed Consolidated Statements of Cash Flows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540" w:type="dxa"/>
            <w:vAlign w:val="bottom"/>
          </w:tcPr>
          <w:p>
            <w:pPr>
              <w:ind w:left="180"/>
              <w:spacing w:after="0"/>
              <w:rPr>
                <w:sz w:val="20"/>
                <w:szCs w:val="20"/>
                <w:color w:val="auto"/>
              </w:rPr>
            </w:pPr>
            <w:r>
              <w:rPr>
                <w:rFonts w:ascii="Arial" w:cs="Arial" w:eastAsia="Arial" w:hAnsi="Arial"/>
                <w:sz w:val="18"/>
                <w:szCs w:val="18"/>
                <w:color w:val="auto"/>
              </w:rPr>
              <w:t>Notes to Condensed Consolidated Financial Statements</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Item 2.</w:t>
            </w:r>
          </w:p>
        </w:tc>
        <w:tc>
          <w:tcPr>
            <w:tcW w:w="95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Item 3.</w:t>
            </w:r>
          </w:p>
        </w:tc>
        <w:tc>
          <w:tcPr>
            <w:tcW w:w="9540" w:type="dxa"/>
            <w:vAlign w:val="bottom"/>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Item 4.</w:t>
            </w:r>
          </w:p>
        </w:tc>
        <w:tc>
          <w:tcPr>
            <w:tcW w:w="9540" w:type="dxa"/>
            <w:vAlign w:val="bottom"/>
          </w:tcPr>
          <w:p>
            <w:pPr>
              <w:spacing w:after="0"/>
              <w:rPr>
                <w:sz w:val="20"/>
                <w:szCs w:val="20"/>
                <w:color w:val="auto"/>
              </w:rPr>
            </w:pPr>
            <w:r>
              <w:rPr>
                <w:rFonts w:ascii="Arial" w:cs="Arial" w:eastAsia="Arial" w:hAnsi="Arial"/>
                <w:sz w:val="18"/>
                <w:szCs w:val="18"/>
                <w:color w:val="auto"/>
              </w:rPr>
              <w:t>Controls and Procedures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8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8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Item 1.</w:t>
            </w:r>
          </w:p>
        </w:tc>
        <w:tc>
          <w:tcPr>
            <w:tcW w:w="9540" w:type="dxa"/>
            <w:vAlign w:val="bottom"/>
          </w:tcPr>
          <w:p>
            <w:pPr>
              <w:spacing w:after="0"/>
              <w:rPr>
                <w:sz w:val="20"/>
                <w:szCs w:val="20"/>
                <w:color w:val="auto"/>
              </w:rPr>
            </w:pPr>
            <w:r>
              <w:rPr>
                <w:rFonts w:ascii="Arial" w:cs="Arial" w:eastAsia="Arial" w:hAnsi="Arial"/>
                <w:sz w:val="18"/>
                <w:szCs w:val="18"/>
                <w:color w:val="auto"/>
              </w:rPr>
              <w:t>Legal Proceedings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1A.</w:t>
            </w: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Item 2.</w:t>
            </w:r>
          </w:p>
        </w:tc>
        <w:tc>
          <w:tcPr>
            <w:tcW w:w="9540" w:type="dxa"/>
            <w:vAlign w:val="bottom"/>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w:t>
            </w: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Defaults Upon Senior Securities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Item 4.</w:t>
            </w:r>
          </w:p>
        </w:tc>
        <w:tc>
          <w:tcPr>
            <w:tcW w:w="9540" w:type="dxa"/>
            <w:vAlign w:val="bottom"/>
          </w:tcPr>
          <w:p>
            <w:pPr>
              <w:spacing w:after="0"/>
              <w:rPr>
                <w:sz w:val="20"/>
                <w:szCs w:val="20"/>
                <w:color w:val="auto"/>
              </w:rPr>
            </w:pPr>
            <w:r>
              <w:rPr>
                <w:rFonts w:ascii="Arial" w:cs="Arial" w:eastAsia="Arial" w:hAnsi="Arial"/>
                <w:sz w:val="18"/>
                <w:szCs w:val="18"/>
                <w:color w:val="auto"/>
              </w:rPr>
              <w:t>Mine Safety Disclosures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5.</w:t>
            </w: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8"/>
                <w:szCs w:val="18"/>
                <w:color w:val="auto"/>
              </w:rPr>
              <w:t>Item 6.</w:t>
            </w:r>
          </w:p>
        </w:tc>
        <w:tc>
          <w:tcPr>
            <w:tcW w:w="9540" w:type="dxa"/>
            <w:vAlign w:val="bottom"/>
          </w:tcPr>
          <w:p>
            <w:pPr>
              <w:spacing w:after="0"/>
              <w:rPr>
                <w:sz w:val="20"/>
                <w:szCs w:val="20"/>
                <w:color w:val="auto"/>
              </w:rPr>
            </w:pPr>
            <w:r>
              <w:rPr>
                <w:rFonts w:ascii="Arial" w:cs="Arial" w:eastAsia="Arial" w:hAnsi="Arial"/>
                <w:sz w:val="18"/>
                <w:szCs w:val="18"/>
                <w:color w:val="auto"/>
              </w:rPr>
              <w:t>Exhibits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w w:val="94"/>
              </w:rPr>
              <w:t>SIGNATURES</w:t>
            </w:r>
          </w:p>
        </w:tc>
        <w:tc>
          <w:tcPr>
            <w:tcW w:w="95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Celsion brand and product names, including but not limited to Celsion®, ThermoDox®, EGEN®, TheraPlas™ and TheraSilence™,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920" w:type="dxa"/>
            <w:vAlign w:val="bottom"/>
          </w:tcPr>
          <w:p>
            <w:pPr>
              <w:jc w:val="center"/>
              <w:ind w:left="343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9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20" w:type="dxa"/>
            <w:vAlign w:val="bottom"/>
          </w:tcPr>
          <w:p>
            <w:pPr>
              <w:ind w:left="4560"/>
              <w:spacing w:after="0"/>
              <w:rPr>
                <w:sz w:val="20"/>
                <w:szCs w:val="20"/>
                <w:color w:val="auto"/>
              </w:rPr>
            </w:pPr>
            <w:r>
              <w:rPr>
                <w:rFonts w:ascii="Arial" w:cs="Arial" w:eastAsia="Arial" w:hAnsi="Arial"/>
                <w:sz w:val="18"/>
                <w:szCs w:val="18"/>
                <w:b w:val="1"/>
                <w:bCs w:val="1"/>
                <w:color w:val="auto"/>
              </w:rPr>
              <w:t>CELSION CORPORATION</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tcPr>
          <w:p>
            <w:pPr>
              <w:jc w:val="center"/>
              <w:ind w:left="3370"/>
              <w:spacing w:after="0"/>
              <w:rPr>
                <w:sz w:val="20"/>
                <w:szCs w:val="20"/>
                <w:color w:val="auto"/>
              </w:rPr>
            </w:pPr>
            <w:r>
              <w:rPr>
                <w:rFonts w:ascii="Arial" w:cs="Arial" w:eastAsia="Arial" w:hAnsi="Arial"/>
                <w:sz w:val="18"/>
                <w:szCs w:val="18"/>
                <w:b w:val="1"/>
                <w:bCs w:val="1"/>
                <w:color w:val="auto"/>
                <w:w w:val="99"/>
              </w:rPr>
              <w:t>CONDENSED CONSOLIDATED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tcPr>
          <w:p>
            <w:pPr>
              <w:jc w:val="center"/>
              <w:ind w:left="3410"/>
              <w:spacing w:after="0"/>
              <w:rPr>
                <w:sz w:val="20"/>
                <w:szCs w:val="20"/>
                <w:color w:val="auto"/>
              </w:rPr>
            </w:pPr>
            <w:r>
              <w:rPr>
                <w:rFonts w:ascii="Arial" w:cs="Arial" w:eastAsia="Arial" w:hAnsi="Arial"/>
                <w:sz w:val="18"/>
                <w:szCs w:val="18"/>
                <w:b w:val="1"/>
                <w:bCs w:val="1"/>
                <w:color w:val="auto"/>
                <w:w w:val="98"/>
              </w:rPr>
              <w:t>BALANCE SHEETS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7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20" w:type="dxa"/>
            <w:vAlign w:val="bottom"/>
          </w:tcPr>
          <w:p>
            <w:pPr>
              <w:ind w:left="34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11,950,991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12,686,881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660"/>
              <w:spacing w:after="0"/>
              <w:rPr>
                <w:sz w:val="20"/>
                <w:szCs w:val="20"/>
                <w:color w:val="auto"/>
              </w:rPr>
            </w:pPr>
            <w:r>
              <w:rPr>
                <w:rFonts w:ascii="Arial" w:cs="Arial" w:eastAsia="Arial" w:hAnsi="Arial"/>
                <w:sz w:val="18"/>
                <w:szCs w:val="18"/>
                <w:color w:val="auto"/>
              </w:rPr>
              <w:t>Investment securities – available for sale, at fair value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18,778,343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24,173,406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interest receivable on investment securities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660"/>
              <w:spacing w:after="0"/>
              <w:rPr>
                <w:sz w:val="20"/>
                <w:szCs w:val="20"/>
                <w:color w:val="auto"/>
              </w:rPr>
            </w:pPr>
            <w:r>
              <w:rPr>
                <w:rFonts w:ascii="Arial" w:cs="Arial" w:eastAsia="Arial" w:hAnsi="Arial"/>
                <w:sz w:val="18"/>
                <w:szCs w:val="18"/>
                <w:color w:val="auto"/>
              </w:rPr>
              <w:t>Advances, deposits and other current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684,317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435,954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31,465,416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37,506,271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w w:val="97"/>
              </w:rPr>
              <w:t xml:space="preserve">Property and equipment </w:t>
            </w:r>
            <w:r>
              <w:rPr>
                <w:rFonts w:ascii="Arial" w:cs="Arial" w:eastAsia="Arial" w:hAnsi="Arial"/>
                <w:sz w:val="18"/>
                <w:szCs w:val="18"/>
                <w:color w:val="auto"/>
                <w:w w:val="97"/>
              </w:rPr>
              <w:t>(at cost, less accumulated depreciation of $1,849,517 and $1,633,517,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1,009,408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1,170,497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66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25,801,728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25,801,728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660"/>
              <w:spacing w:after="0"/>
              <w:rPr>
                <w:sz w:val="20"/>
                <w:szCs w:val="20"/>
                <w:color w:val="auto"/>
              </w:rPr>
            </w:pPr>
            <w:r>
              <w:rPr>
                <w:rFonts w:ascii="Arial" w:cs="Arial" w:eastAsia="Arial" w:hAnsi="Arial"/>
                <w:sz w:val="18"/>
                <w:szCs w:val="18"/>
                <w:color w:val="auto"/>
              </w:rPr>
              <w:t>Deposits, deferred fees and other assets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152,450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226,810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Patent licensing fees, net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980"/>
              <w:spacing w:after="0"/>
              <w:rPr>
                <w:sz w:val="20"/>
                <w:szCs w:val="20"/>
                <w:color w:val="auto"/>
              </w:rPr>
            </w:pPr>
            <w:r>
              <w:rPr>
                <w:rFonts w:ascii="Arial" w:cs="Arial" w:eastAsia="Arial" w:hAnsi="Arial"/>
                <w:sz w:val="18"/>
                <w:szCs w:val="18"/>
                <w:color w:val="auto"/>
              </w:rPr>
              <w:t>Total other assets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27,939,654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28,017,764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98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60,414,478</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66,694,532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jc w:val="center"/>
              <w:ind w:left="3430"/>
              <w:spacing w:after="0"/>
              <w:rPr>
                <w:sz w:val="20"/>
                <w:szCs w:val="20"/>
                <w:color w:val="auto"/>
              </w:rPr>
            </w:pPr>
            <w:r>
              <w:rPr>
                <w:rFonts w:ascii="Arial" w:cs="Arial" w:eastAsia="Arial" w:hAnsi="Arial"/>
                <w:sz w:val="18"/>
                <w:szCs w:val="18"/>
                <w:b w:val="1"/>
                <w:bCs w:val="1"/>
                <w:color w:val="auto"/>
                <w:w w:val="87"/>
              </w:rPr>
              <w:t>See accompanying notes to the financial statements.</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920" w:type="dxa"/>
            <w:vAlign w:val="bottom"/>
          </w:tcPr>
          <w:p>
            <w:pPr>
              <w:jc w:val="center"/>
              <w:ind w:left="341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9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jc w:val="center"/>
              <w:ind w:left="3270"/>
              <w:spacing w:after="0"/>
              <w:rPr>
                <w:sz w:val="20"/>
                <w:szCs w:val="20"/>
                <w:color w:val="auto"/>
              </w:rPr>
            </w:pPr>
            <w:r>
              <w:rPr>
                <w:rFonts w:ascii="Arial" w:cs="Arial" w:eastAsia="Arial" w:hAnsi="Arial"/>
                <w:sz w:val="18"/>
                <w:szCs w:val="18"/>
                <w:b w:val="1"/>
                <w:bCs w:val="1"/>
                <w:color w:val="auto"/>
              </w:rPr>
              <w:t>CELSION CORPORATION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60" w:type="dxa"/>
            <w:vAlign w:val="bottom"/>
          </w:tcPr>
          <w:p>
            <w:pPr>
              <w:jc w:val="center"/>
              <w:ind w:left="3270"/>
              <w:spacing w:after="0"/>
              <w:rPr>
                <w:sz w:val="20"/>
                <w:szCs w:val="20"/>
                <w:color w:val="auto"/>
              </w:rPr>
            </w:pPr>
            <w:r>
              <w:rPr>
                <w:rFonts w:ascii="Arial" w:cs="Arial" w:eastAsia="Arial" w:hAnsi="Arial"/>
                <w:sz w:val="18"/>
                <w:szCs w:val="18"/>
                <w:b w:val="1"/>
                <w:bCs w:val="1"/>
                <w:color w:val="auto"/>
                <w:w w:val="99"/>
              </w:rPr>
              <w:t>CONDENSED CONSOLIDATED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60" w:type="dxa"/>
            <w:vAlign w:val="bottom"/>
          </w:tcPr>
          <w:p>
            <w:pPr>
              <w:jc w:val="center"/>
              <w:ind w:left="3270"/>
              <w:spacing w:after="0"/>
              <w:rPr>
                <w:sz w:val="20"/>
                <w:szCs w:val="20"/>
                <w:color w:val="auto"/>
              </w:rPr>
            </w:pPr>
            <w:r>
              <w:rPr>
                <w:rFonts w:ascii="Arial" w:cs="Arial" w:eastAsia="Arial" w:hAnsi="Arial"/>
                <w:sz w:val="18"/>
                <w:szCs w:val="18"/>
                <w:b w:val="1"/>
                <w:bCs w:val="1"/>
                <w:color w:val="auto"/>
                <w:w w:val="98"/>
              </w:rPr>
              <w:t>BALANCE SHEETS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60" w:type="dxa"/>
            <w:vAlign w:val="bottom"/>
          </w:tcPr>
          <w:p>
            <w:pPr>
              <w:jc w:val="center"/>
              <w:ind w:left="3270"/>
              <w:spacing w:after="0"/>
              <w:rPr>
                <w:sz w:val="20"/>
                <w:szCs w:val="20"/>
                <w:color w:val="auto"/>
              </w:rPr>
            </w:pPr>
            <w:r>
              <w:rPr>
                <w:rFonts w:ascii="Arial" w:cs="Arial" w:eastAsia="Arial" w:hAnsi="Arial"/>
                <w:sz w:val="18"/>
                <w:szCs w:val="18"/>
                <w:b w:val="1"/>
                <w:bCs w:val="1"/>
                <w:color w:val="auto"/>
                <w:w w:val="93"/>
              </w:rPr>
              <w:t>(Continued)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(unaudited)</w:t>
            </w:r>
          </w:p>
        </w:tc>
        <w:tc>
          <w:tcPr>
            <w:tcW w:w="14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80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60" w:type="dxa"/>
            <w:vAlign w:val="bottom"/>
          </w:tcPr>
          <w:p>
            <w:pPr>
              <w:ind w:left="340"/>
              <w:spacing w:after="0"/>
              <w:rPr>
                <w:sz w:val="20"/>
                <w:szCs w:val="20"/>
                <w:color w:val="auto"/>
              </w:rPr>
            </w:pPr>
            <w:r>
              <w:rPr>
                <w:rFonts w:ascii="Arial" w:cs="Arial" w:eastAsia="Arial" w:hAnsi="Arial"/>
                <w:sz w:val="18"/>
                <w:szCs w:val="18"/>
                <w:b w:val="1"/>
                <w:bCs w:val="1"/>
                <w:color w:val="auto"/>
              </w:rPr>
              <w:t>Current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 trade</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3,202,950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3,480,225</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660"/>
              <w:spacing w:after="0"/>
              <w:rPr>
                <w:sz w:val="20"/>
                <w:szCs w:val="20"/>
                <w:color w:val="auto"/>
              </w:rPr>
            </w:pPr>
            <w:r>
              <w:rPr>
                <w:rFonts w:ascii="Arial" w:cs="Arial" w:eastAsia="Arial" w:hAnsi="Arial"/>
                <w:sz w:val="18"/>
                <w:szCs w:val="18"/>
                <w:color w:val="auto"/>
              </w:rPr>
              <w:t>Other accrued liabilities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2,235,966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2,456,365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Notes payable – current portion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3,865,219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3,654,231</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660"/>
              <w:spacing w:after="0"/>
              <w:rPr>
                <w:sz w:val="20"/>
                <w:szCs w:val="20"/>
                <w:color w:val="auto"/>
              </w:rPr>
            </w:pPr>
            <w:r>
              <w:rPr>
                <w:rFonts w:ascii="Arial" w:cs="Arial" w:eastAsia="Arial" w:hAnsi="Arial"/>
                <w:sz w:val="18"/>
                <w:szCs w:val="18"/>
                <w:color w:val="auto"/>
              </w:rPr>
              <w:t>Deferred revenue – current portion</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9,804,135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10,090,821</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Earn–out milestone liability</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13,905,238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13,663,710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660"/>
              <w:spacing w:after="0"/>
              <w:rPr>
                <w:sz w:val="20"/>
                <w:szCs w:val="20"/>
                <w:color w:val="auto"/>
              </w:rPr>
            </w:pPr>
            <w:r>
              <w:rPr>
                <w:rFonts w:ascii="Arial" w:cs="Arial" w:eastAsia="Arial" w:hAnsi="Arial"/>
                <w:sz w:val="18"/>
                <w:szCs w:val="18"/>
                <w:color w:val="auto"/>
              </w:rPr>
              <w:t>Common stock warrant liability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275,008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Notes payable – non-current portion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4,286,345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6,053,065</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660"/>
              <w:spacing w:after="0"/>
              <w:rPr>
                <w:sz w:val="20"/>
                <w:szCs w:val="20"/>
                <w:color w:val="auto"/>
              </w:rPr>
            </w:pPr>
            <w:r>
              <w:rPr>
                <w:rFonts w:ascii="Arial" w:cs="Arial" w:eastAsia="Arial" w:hAnsi="Arial"/>
                <w:sz w:val="18"/>
                <w:szCs w:val="18"/>
                <w:color w:val="auto"/>
              </w:rPr>
              <w:t>Deferred revenue – non-current portion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3,250,000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liabilities - non-current</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286,592</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Total liabilities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31,309,126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33,869,196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40"/>
              <w:spacing w:after="0"/>
              <w:rPr>
                <w:sz w:val="20"/>
                <w:szCs w:val="20"/>
                <w:color w:val="auto"/>
              </w:rPr>
            </w:pPr>
            <w:r>
              <w:rPr>
                <w:rFonts w:ascii="Arial" w:cs="Arial" w:eastAsia="Arial" w:hAnsi="Arial"/>
                <w:sz w:val="18"/>
                <w:szCs w:val="18"/>
                <w:b w:val="1"/>
                <w:bCs w:val="1"/>
                <w:color w:val="auto"/>
              </w:rPr>
              <w:t>Stockholders' equity: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820"/>
              <w:spacing w:after="0" w:line="201" w:lineRule="exact"/>
              <w:rPr>
                <w:sz w:val="20"/>
                <w:szCs w:val="20"/>
                <w:color w:val="auto"/>
              </w:rPr>
            </w:pPr>
            <w:r>
              <w:rPr>
                <w:rFonts w:ascii="Arial" w:cs="Arial" w:eastAsia="Arial" w:hAnsi="Arial"/>
                <w:sz w:val="18"/>
                <w:szCs w:val="18"/>
                <w:color w:val="auto"/>
                <w:w w:val="89"/>
              </w:rPr>
              <w:t>Preferred stock, $0.01 par value: 100,000 shares authorized; no shares issued or outstanding at June</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30, 2015 and December 31, 2014, respectively</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60" w:type="dxa"/>
            <w:vAlign w:val="bottom"/>
          </w:tcPr>
          <w:p>
            <w:pPr>
              <w:ind w:left="820"/>
              <w:spacing w:after="0" w:line="201" w:lineRule="exact"/>
              <w:rPr>
                <w:sz w:val="20"/>
                <w:szCs w:val="20"/>
                <w:color w:val="auto"/>
              </w:rPr>
            </w:pPr>
            <w:r>
              <w:rPr>
                <w:rFonts w:ascii="Arial" w:cs="Arial" w:eastAsia="Arial" w:hAnsi="Arial"/>
                <w:sz w:val="18"/>
                <w:szCs w:val="18"/>
                <w:color w:val="auto"/>
                <w:w w:val="91"/>
              </w:rPr>
              <w:t>Common stock, $0.01 par value; 75,000,000 shares authorized; 23,099,103 and 20,097,603 shares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980"/>
              <w:spacing w:after="0"/>
              <w:rPr>
                <w:sz w:val="20"/>
                <w:szCs w:val="20"/>
                <w:color w:val="auto"/>
              </w:rPr>
            </w:pPr>
            <w:r>
              <w:rPr>
                <w:rFonts w:ascii="Arial" w:cs="Arial" w:eastAsia="Arial" w:hAnsi="Arial"/>
                <w:sz w:val="18"/>
                <w:szCs w:val="18"/>
                <w:color w:val="auto"/>
                <w:w w:val="98"/>
              </w:rPr>
              <w:t>issued at June 30, 2015 and December 31, 2014, and 23,006,186 and 19,984,203 shares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980"/>
              <w:spacing w:after="0"/>
              <w:rPr>
                <w:sz w:val="20"/>
                <w:szCs w:val="20"/>
                <w:color w:val="auto"/>
              </w:rPr>
            </w:pPr>
            <w:r>
              <w:rPr>
                <w:rFonts w:ascii="Arial" w:cs="Arial" w:eastAsia="Arial" w:hAnsi="Arial"/>
                <w:sz w:val="18"/>
                <w:szCs w:val="18"/>
                <w:color w:val="auto"/>
              </w:rPr>
              <w:t>outstanding at June 30, 2015 and December 31, 2014, respectively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230,991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200,976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238,644,773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229,778,703</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66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(4,315)</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(208,074,411)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(195,073,702)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tcPr>
          <w:p>
            <w:pPr>
              <w:ind w:left="980"/>
              <w:spacing w:after="0"/>
              <w:rPr>
                <w:sz w:val="20"/>
                <w:szCs w:val="20"/>
                <w:color w:val="auto"/>
              </w:rPr>
            </w:pPr>
            <w:r>
              <w:rPr>
                <w:rFonts w:ascii="Arial" w:cs="Arial" w:eastAsia="Arial" w:hAnsi="Arial"/>
                <w:sz w:val="18"/>
                <w:szCs w:val="18"/>
                <w:color w:val="auto"/>
              </w:rPr>
              <w:t>Subtotal</w:t>
            </w: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30,797,038</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34,889,945</w:t>
            </w:r>
          </w:p>
        </w:tc>
        <w:tc>
          <w:tcPr>
            <w:tcW w:w="1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820"/>
              <w:spacing w:after="0" w:line="201" w:lineRule="exact"/>
              <w:rPr>
                <w:sz w:val="20"/>
                <w:szCs w:val="20"/>
                <w:color w:val="auto"/>
              </w:rPr>
            </w:pPr>
            <w:r>
              <w:rPr>
                <w:rFonts w:ascii="Arial" w:cs="Arial" w:eastAsia="Arial" w:hAnsi="Arial"/>
                <w:sz w:val="18"/>
                <w:szCs w:val="18"/>
                <w:color w:val="auto"/>
                <w:w w:val="95"/>
              </w:rPr>
              <w:t>Treasury stock, at cost (92,917 and 113,400 shares at June 30, 2015 and December 31, 2014,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(1,691,686)</w:t>
            </w:r>
          </w:p>
        </w:tc>
        <w:tc>
          <w:tcPr>
            <w:tcW w:w="1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(2,064,609)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respectively)</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Total stockholders' equity</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29,105,352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32,825,336</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6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60,414,478</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66,694,532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8060" w:type="dxa"/>
            <w:vAlign w:val="bottom"/>
            <w:tcBorders>
              <w:top w:val="single" w:sz="8" w:color="CCEEFF"/>
            </w:tcBorders>
          </w:tcPr>
          <w:p>
            <w:pPr>
              <w:jc w:val="center"/>
              <w:ind w:left="3290"/>
              <w:spacing w:after="0"/>
              <w:rPr>
                <w:sz w:val="20"/>
                <w:szCs w:val="20"/>
                <w:color w:val="auto"/>
              </w:rPr>
            </w:pPr>
            <w:r>
              <w:rPr>
                <w:rFonts w:ascii="Arial" w:cs="Arial" w:eastAsia="Arial" w:hAnsi="Arial"/>
                <w:sz w:val="18"/>
                <w:szCs w:val="18"/>
                <w:b w:val="1"/>
                <w:bCs w:val="1"/>
                <w:color w:val="auto"/>
                <w:w w:val="87"/>
              </w:rPr>
              <w:t>See accompanying notes to the financial statements.</w:t>
            </w: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8060" w:type="dxa"/>
            <w:vAlign w:val="bottom"/>
          </w:tcPr>
          <w:p>
            <w:pPr>
              <w:jc w:val="center"/>
              <w:ind w:left="327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gridSpan w:val="5"/>
          </w:tcPr>
          <w:p>
            <w:pPr>
              <w:jc w:val="center"/>
              <w:ind w:left="3930"/>
              <w:spacing w:after="0"/>
              <w:rPr>
                <w:sz w:val="20"/>
                <w:szCs w:val="20"/>
                <w:color w:val="auto"/>
              </w:rPr>
            </w:pPr>
            <w:r>
              <w:rPr>
                <w:rFonts w:ascii="Arial" w:cs="Arial" w:eastAsia="Arial" w:hAnsi="Arial"/>
                <w:sz w:val="18"/>
                <w:szCs w:val="18"/>
                <w:b w:val="1"/>
                <w:bCs w:val="1"/>
                <w:color w:val="auto"/>
              </w:rPr>
              <w:t>CELSION CORPORATION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60" w:type="dxa"/>
            <w:vAlign w:val="bottom"/>
            <w:gridSpan w:val="5"/>
          </w:tcPr>
          <w:p>
            <w:pPr>
              <w:jc w:val="center"/>
              <w:ind w:left="3930"/>
              <w:spacing w:after="0"/>
              <w:rPr>
                <w:sz w:val="20"/>
                <w:szCs w:val="20"/>
                <w:color w:val="auto"/>
              </w:rPr>
            </w:pPr>
            <w:r>
              <w:rPr>
                <w:rFonts w:ascii="Arial" w:cs="Arial" w:eastAsia="Arial" w:hAnsi="Arial"/>
                <w:sz w:val="18"/>
                <w:szCs w:val="18"/>
                <w:b w:val="1"/>
                <w:bCs w:val="1"/>
                <w:color w:val="auto"/>
                <w:w w:val="99"/>
              </w:rPr>
              <w:t>CONDENSED CONSOLIDATED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5"/>
          </w:tcPr>
          <w:p>
            <w:pPr>
              <w:jc w:val="center"/>
              <w:ind w:left="3950"/>
              <w:spacing w:after="0"/>
              <w:rPr>
                <w:sz w:val="20"/>
                <w:szCs w:val="20"/>
                <w:color w:val="auto"/>
              </w:rPr>
            </w:pPr>
            <w:r>
              <w:rPr>
                <w:rFonts w:ascii="Arial" w:cs="Arial" w:eastAsia="Arial" w:hAnsi="Arial"/>
                <w:sz w:val="18"/>
                <w:szCs w:val="18"/>
                <w:b w:val="1"/>
                <w:bCs w:val="1"/>
                <w:color w:val="auto"/>
                <w:w w:val="98"/>
              </w:rPr>
              <w:t>STATEMENTS OF OPERATIONS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(Unaudited)</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w w:val="97"/>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3,567,699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3,165,473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8,074,107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6,058,641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1,801,843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2,305,208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3,833,683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4,739,065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Acquisition costs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1,067,267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1,067,267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operating expenses</w:t>
            </w: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5,369,542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6,537,948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11,907,790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11,864,973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from operations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(5,244,542)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(6,412,948)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(11,657,790)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(11,614,973)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(expense) income: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w w:val="93"/>
              </w:rPr>
              <w:t>Loss from change in valuation of common stock warrant liability</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(18,613)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(61,246)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from valuation of earn-out milestone liability</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(69,392)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(241,528)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Investment income, net</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16,865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23,734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33,245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(360,259)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(263,115)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(752,562)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500"/>
              <w:spacing w:after="0"/>
              <w:rPr>
                <w:sz w:val="20"/>
                <w:szCs w:val="20"/>
                <w:color w:val="auto"/>
              </w:rPr>
            </w:pPr>
            <w:r>
              <w:rPr>
                <w:rFonts w:ascii="Arial" w:cs="Arial" w:eastAsia="Arial" w:hAnsi="Arial"/>
                <w:sz w:val="18"/>
                <w:szCs w:val="18"/>
                <w:color w:val="auto"/>
              </w:rPr>
              <w:t>Other income (expense)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(2,488)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(expense) income, net</w:t>
            </w: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(430,203)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(260,482)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(1,022,023)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loss</w:t>
            </w: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(5,674,745)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(6,673,430)</w:t>
            </w:r>
          </w:p>
        </w:tc>
        <w:tc>
          <w:tcPr>
            <w:tcW w:w="1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(12,679,813)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(12,096,123)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b w:val="1"/>
                <w:bCs w:val="1"/>
                <w:color w:val="auto"/>
              </w:rPr>
              <w:t>Net loss per common share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0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rPr>
              <w:t>Basic and diluted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b w:val="1"/>
                <w:bCs w:val="1"/>
                <w:color w:val="auto"/>
              </w:rPr>
              <w:t>Weighted average shares outstanding</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rPr>
              <w:t>Basic and diluted</w:t>
            </w: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20,969,821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17,526,531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20,477,344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16,931,914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380" w:type="dxa"/>
            <w:vAlign w:val="bottom"/>
            <w:gridSpan w:val="5"/>
          </w:tcPr>
          <w:p>
            <w:pPr>
              <w:jc w:val="center"/>
              <w:ind w:left="3950"/>
              <w:spacing w:after="0"/>
              <w:rPr>
                <w:sz w:val="20"/>
                <w:szCs w:val="20"/>
                <w:color w:val="auto"/>
              </w:rPr>
            </w:pPr>
            <w:r>
              <w:rPr>
                <w:rFonts w:ascii="Arial" w:cs="Arial" w:eastAsia="Arial" w:hAnsi="Arial"/>
                <w:sz w:val="18"/>
                <w:szCs w:val="18"/>
                <w:b w:val="1"/>
                <w:bCs w:val="1"/>
                <w:color w:val="auto"/>
              </w:rPr>
              <w:t>CELSION CORPORATION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80" w:type="dxa"/>
            <w:vAlign w:val="bottom"/>
            <w:gridSpan w:val="5"/>
          </w:tcPr>
          <w:p>
            <w:pPr>
              <w:jc w:val="center"/>
              <w:ind w:left="3990"/>
              <w:spacing w:after="0"/>
              <w:rPr>
                <w:sz w:val="20"/>
                <w:szCs w:val="20"/>
                <w:color w:val="auto"/>
              </w:rPr>
            </w:pPr>
            <w:r>
              <w:rPr>
                <w:rFonts w:ascii="Arial" w:cs="Arial" w:eastAsia="Arial" w:hAnsi="Arial"/>
                <w:sz w:val="18"/>
                <w:szCs w:val="18"/>
                <w:b w:val="1"/>
                <w:bCs w:val="1"/>
                <w:color w:val="auto"/>
                <w:w w:val="99"/>
              </w:rPr>
              <w:t>CONDENSED CONSOLIDATED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gridSpan w:val="7"/>
          </w:tcPr>
          <w:p>
            <w:pPr>
              <w:jc w:val="center"/>
              <w:ind w:left="3630"/>
              <w:spacing w:after="0"/>
              <w:rPr>
                <w:sz w:val="20"/>
                <w:szCs w:val="20"/>
                <w:color w:val="auto"/>
              </w:rPr>
            </w:pPr>
            <w:r>
              <w:rPr>
                <w:rFonts w:ascii="Arial" w:cs="Arial" w:eastAsia="Arial" w:hAnsi="Arial"/>
                <w:sz w:val="18"/>
                <w:szCs w:val="18"/>
                <w:b w:val="1"/>
                <w:bCs w:val="1"/>
                <w:color w:val="auto"/>
                <w:w w:val="99"/>
              </w:rPr>
              <w:t>STATEMENTS OF COMPREHENSIVE LOSS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gridSpan w:val="2"/>
          </w:tcPr>
          <w:p>
            <w:pPr>
              <w:jc w:val="center"/>
              <w:ind w:left="5030"/>
              <w:spacing w:after="0"/>
              <w:rPr>
                <w:sz w:val="20"/>
                <w:szCs w:val="20"/>
                <w:color w:val="auto"/>
              </w:rPr>
            </w:pPr>
            <w:r>
              <w:rPr>
                <w:rFonts w:ascii="Arial" w:cs="Arial" w:eastAsia="Arial" w:hAnsi="Arial"/>
                <w:sz w:val="18"/>
                <w:szCs w:val="18"/>
                <w:b w:val="1"/>
                <w:bCs w:val="1"/>
                <w:color w:val="auto"/>
                <w:w w:val="93"/>
              </w:rPr>
              <w:t>(Unaudited)</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7"/>
          </w:tcPr>
          <w:p>
            <w:pPr>
              <w:jc w:val="right"/>
              <w:ind w:right="760"/>
              <w:spacing w:after="0"/>
              <w:rPr>
                <w:sz w:val="20"/>
                <w:szCs w:val="20"/>
                <w:color w:val="auto"/>
              </w:rPr>
            </w:pPr>
            <w:r>
              <w:rPr>
                <w:rFonts w:ascii="Arial" w:cs="Arial" w:eastAsia="Arial" w:hAnsi="Arial"/>
                <w:sz w:val="18"/>
                <w:szCs w:val="18"/>
                <w:b w:val="1"/>
                <w:bCs w:val="1"/>
                <w:color w:val="auto"/>
                <w:w w:val="97"/>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Other comprehensive (loss) gain</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Changes in:</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Realized loss on investment securities recognized in investment income, net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23,691</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Unrealized gain on investment securities</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8,646</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Other comprehensive gain</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16,068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11,717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32,337</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(5,674,745)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(6,673,430)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(12,679,813)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(12,096,123)</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48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(5,671,106)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(6,657,362)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(12,668,096)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(12,063,786)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0" w:type="dxa"/>
            <w:vAlign w:val="bottom"/>
          </w:tcPr>
          <w:p>
            <w:pPr>
              <w:jc w:val="center"/>
              <w:ind w:left="3690"/>
              <w:spacing w:after="0"/>
              <w:rPr>
                <w:sz w:val="20"/>
                <w:szCs w:val="20"/>
                <w:color w:val="auto"/>
              </w:rPr>
            </w:pPr>
            <w:r>
              <w:rPr>
                <w:rFonts w:ascii="Arial" w:cs="Arial" w:eastAsia="Arial" w:hAnsi="Arial"/>
                <w:sz w:val="18"/>
                <w:szCs w:val="18"/>
                <w:b w:val="1"/>
                <w:bCs w:val="1"/>
                <w:color w:val="auto"/>
              </w:rPr>
              <w:t>CELSION CORPORATION</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00" w:type="dxa"/>
            <w:vAlign w:val="bottom"/>
          </w:tcPr>
          <w:p>
            <w:pPr>
              <w:jc w:val="center"/>
              <w:ind w:left="3690"/>
              <w:spacing w:after="0"/>
              <w:rPr>
                <w:sz w:val="20"/>
                <w:szCs w:val="20"/>
                <w:color w:val="auto"/>
              </w:rPr>
            </w:pPr>
            <w:r>
              <w:rPr>
                <w:rFonts w:ascii="Arial" w:cs="Arial" w:eastAsia="Arial" w:hAnsi="Arial"/>
                <w:sz w:val="18"/>
                <w:szCs w:val="18"/>
                <w:b w:val="1"/>
                <w:bCs w:val="1"/>
                <w:color w:val="auto"/>
                <w:w w:val="99"/>
              </w:rPr>
              <w:t>CONDENSED CONSOLIDATED</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jc w:val="center"/>
              <w:ind w:left="3690"/>
              <w:spacing w:after="0"/>
              <w:rPr>
                <w:sz w:val="20"/>
                <w:szCs w:val="20"/>
                <w:color w:val="auto"/>
              </w:rPr>
            </w:pPr>
            <w:r>
              <w:rPr>
                <w:rFonts w:ascii="Arial" w:cs="Arial" w:eastAsia="Arial" w:hAnsi="Arial"/>
                <w:sz w:val="18"/>
                <w:szCs w:val="18"/>
                <w:b w:val="1"/>
                <w:bCs w:val="1"/>
                <w:color w:val="auto"/>
                <w:w w:val="98"/>
              </w:rPr>
              <w:t>STATEMENTS OF CASH FLOWS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tcPr>
          <w:p>
            <w:pPr>
              <w:jc w:val="center"/>
              <w:ind w:left="3690"/>
              <w:spacing w:after="0"/>
              <w:rPr>
                <w:sz w:val="20"/>
                <w:szCs w:val="20"/>
                <w:color w:val="auto"/>
              </w:rPr>
            </w:pPr>
            <w:r>
              <w:rPr>
                <w:rFonts w:ascii="Arial" w:cs="Arial" w:eastAsia="Arial" w:hAnsi="Arial"/>
                <w:sz w:val="18"/>
                <w:szCs w:val="18"/>
                <w:b w:val="1"/>
                <w:bCs w:val="1"/>
                <w:color w:val="auto"/>
                <w:w w:val="93"/>
              </w:rPr>
              <w:t>(Unaudited)</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(12,679,813)</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(12,096,123)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Non-cash items included in net loss: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219,750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Change in fair value of common stock warrant liability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61,246</w:t>
            </w: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 in fair value of earn-out milestone liability</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241,528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Stock-based compensation</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1,310,081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Shares issued out of treasury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52,027</w:t>
            </w: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Amortization of deferred finance charges and debt discount associated with notes payable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245,230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Change in deferred rent liability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(13,999)</w:t>
            </w: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Loss realized on sale of investment securities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Net changes in:</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Accrued interest on short term investments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158,265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Prepaid expenses, deposits and other assets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(248,363)</w:t>
            </w: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Accounts payable - trade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(486,460)</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(220,399)</w:t>
            </w: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(834,533)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b w:val="1"/>
                <w:bCs w:val="1"/>
                <w:color w:val="auto"/>
              </w:rPr>
              <w:t>Net cash used in operating activities</w:t>
            </w:r>
          </w:p>
        </w:tc>
        <w:tc>
          <w:tcPr>
            <w:tcW w:w="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(11,610,697)</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(9,006,543)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Purchases of investment securities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(15,487,755)</w:t>
            </w: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(22,491,879)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Proceeds from sale and maturity of investment securities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20,894,325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Cash used in acquisition of EGEN, Inc. assets, net of cash received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(2,820,849)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Refund on security for letter of credit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Purchases of property and equipment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(54,911)</w:t>
            </w: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(119,745)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5,401,659</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(5,892,473)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Proceeds from sale of common stock equity, net of issuance costs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7,249,750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13,788,811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Proceeds from note payable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Principal payments on notes payable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(1,776,602)</w:t>
            </w: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b w:val="1"/>
                <w:bCs w:val="1"/>
                <w:color w:val="auto"/>
              </w:rPr>
              <w:t>Net cash provided by financing activities</w:t>
            </w:r>
          </w:p>
        </w:tc>
        <w:tc>
          <w:tcPr>
            <w:tcW w:w="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5,473,148</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18,777,920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60"/>
          </w:cols>
          <w:pgMar w:left="240" w:top="850" w:right="199" w:bottom="1440" w:gutter="0" w:footer="0" w:header="0"/>
        </w:sectPr>
      </w:pPr>
    </w:p>
    <w:p>
      <w:pPr>
        <w:spacing w:after="0"/>
        <w:rPr>
          <w:sz w:val="20"/>
          <w:szCs w:val="20"/>
          <w:color w:val="auto"/>
        </w:rPr>
      </w:pPr>
      <w:r>
        <w:rPr>
          <w:rFonts w:ascii="Arial" w:cs="Arial" w:eastAsia="Arial" w:hAnsi="Arial"/>
          <w:sz w:val="16"/>
          <w:szCs w:val="16"/>
          <w:b w:val="1"/>
          <w:bCs w:val="1"/>
          <w:color w:val="auto"/>
        </w:rPr>
        <w:t>(Decrease)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(735,890)</w:t>
            </w: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3,878,904</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12,686,881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5,718,504</w:t>
            </w:r>
          </w:p>
        </w:tc>
      </w:tr>
      <w:tr>
        <w:trPr>
          <w:trHeight w:val="210"/>
        </w:trPr>
        <w:tc>
          <w:tcPr>
            <w:tcW w:w="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11,950,991</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9,597,408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40"/>
          </w:cols>
          <w:pgMar w:left="240" w:top="850"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660"/>
              <w:spacing w:after="0"/>
              <w:rPr>
                <w:sz w:val="20"/>
                <w:szCs w:val="20"/>
                <w:color w:val="auto"/>
              </w:rPr>
            </w:pPr>
            <w:r>
              <w:rPr>
                <w:rFonts w:ascii="Arial" w:cs="Arial" w:eastAsia="Arial" w:hAnsi="Arial"/>
                <w:sz w:val="18"/>
                <w:szCs w:val="18"/>
                <w:color w:val="auto"/>
              </w:rPr>
              <w:t>Fair value of common stock issued in acquisition of EGEN, Inc. assets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10,852,266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480" w:type="dxa"/>
            <w:vAlign w:val="bottom"/>
            <w:gridSpan w:val="2"/>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660"/>
              <w:spacing w:after="0"/>
              <w:rPr>
                <w:sz w:val="20"/>
                <w:szCs w:val="20"/>
                <w:color w:val="auto"/>
              </w:rPr>
            </w:pPr>
            <w:r>
              <w:rPr>
                <w:rFonts w:ascii="Arial" w:cs="Arial" w:eastAsia="Arial" w:hAnsi="Arial"/>
                <w:sz w:val="18"/>
                <w:szCs w:val="18"/>
                <w:color w:val="auto"/>
              </w:rPr>
              <w:t>Interest paid</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507,332</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317,600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jc w:val="center"/>
              <w:ind w:left="3430"/>
              <w:spacing w:after="0"/>
              <w:rPr>
                <w:sz w:val="20"/>
                <w:szCs w:val="20"/>
                <w:color w:val="auto"/>
              </w:rPr>
            </w:pPr>
            <w:r>
              <w:rPr>
                <w:rFonts w:ascii="Arial" w:cs="Arial" w:eastAsia="Arial" w:hAnsi="Arial"/>
                <w:sz w:val="18"/>
                <w:szCs w:val="18"/>
                <w:b w:val="1"/>
                <w:bCs w:val="1"/>
                <w:color w:val="auto"/>
                <w:w w:val="87"/>
              </w:rPr>
              <w:t>See accompanying notes to the financial statements.</w:t>
            </w: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920" w:type="dxa"/>
            <w:vAlign w:val="bottom"/>
          </w:tcPr>
          <w:p>
            <w:pPr>
              <w:jc w:val="right"/>
              <w:ind w:right="207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9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850" w:right="19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 PERIODS ENDED JUNE 30, 2015 AND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Celsion Corporation, a Delaware corporation based in Lawrenceville, New Jersey, and its wholly owned subsidiary, CLSN Laboratories, Inc., also a Delaware corporation, referred to herein as “Celsion”, “we”, or “the Company,” as the context requires,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and in Phase II development for the treatment of recurrent chest wall breast cancer. Our pipeline also includes GEN-1,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 effects common to cancer treatments.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Celsion Corporation and CLSN Laboratories, Inc., have been prepared in accordance with generally accepted accounting principles in the United States (GAAP) for interim financial information and with the instructions to Form 10-Q and Article 10 of Regulation S-X. All intercompany balances and transactions have been eliminated. Certain information and footnote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and six month periods ended June 30, 2015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2014 filed on March 12, 2015 with the Securities and Exchange Commission (SEC).</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both"/>
        <w:ind w:right="40"/>
        <w:spacing w:after="0" w:line="259"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(Topic 606). This guidance is intended to improve and converge with international standards regarding the financial reporting requirements for revenue from contracts with customers. It will be effective for our first quarter of 2018 and early adoption is not permitted. We are currently evaluating the impact of adoption of this new accounting pronouncement on our financial statements.</w:t>
      </w:r>
    </w:p>
    <w:p>
      <w:pPr>
        <w:spacing w:after="0" w:line="1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April 2015, the FASB issued Accounting Standards Update No. 2015-03 Interest – Imputation of Interest (Subtopic 835-30). This guidance is to simplify the presentation of debt issuance costs by recognizing a debt liability in the balance sheet as a direct deduction from that debt liability consistent with the presentation of a debt discount. It will be effective for our first quarter of 2016 and early adoption is permitted. We are currently evaluating the impact of adoption of this new accounting pronouncement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Loss per Common Share</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Basic earnings per share is calculated based upon the net income (loss) available to common shareholders divided by the weighted average number of common shares outstanding during the period. Diluted earnings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For the three and six month periods ended June 30, 2015 and 2014, diluted loss attributable to common shareholders per common share was the same as basic loss attributable to common shareholders per common share as all options and warrants that were convertible into shares of the Company’s common stock were excluded from the calculation of diluted earnings attributable to common shareholders per common share as their effect would have been anti-dilutive. The total number of shares of common stock issuable upon exercise of warrants and equity awards were 8,188,708 for the three and six month periods ended June 30, 2015 and were 6,948,415 for the three and six month periods ended June 30,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Securities - Available For Sale</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Investment securities available for sale of $18,778,343 and $24,173,406 as of June 30, 2015 and December 31, 2014, respectively, consist of commercial paper and corporate debt securities. They are valued at fair value, with unrealized gains and losses reported as a separate component of Stockholders’ Equity in Accumulated Other Comprehensive Loss.</w:t>
      </w:r>
    </w:p>
    <w:p>
      <w:pPr>
        <w:spacing w:after="0" w:line="181"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Investment securities available for sale are evaluated periodically to determine whether a decline in their value is other than temporary. The term “other than temporary” is not intended to indicate a permanent decline in value. Rather, it means that the prospects for near-term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2015</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6"/>
          </w:tcPr>
          <w:p>
            <w:pPr>
              <w:ind w:left="28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10"/>
        </w:trPr>
        <w:tc>
          <w:tcPr>
            <w:tcW w:w="2740" w:type="dxa"/>
            <w:vAlign w:val="bottom"/>
            <w:vMerge w:val="restart"/>
          </w:tcPr>
          <w:p>
            <w:pPr>
              <w:spacing w:after="0"/>
              <w:rPr>
                <w:sz w:val="20"/>
                <w:szCs w:val="20"/>
                <w:color w:val="auto"/>
              </w:rPr>
            </w:pPr>
            <w:r>
              <w:rPr>
                <w:rFonts w:ascii="Arial" w:cs="Arial" w:eastAsia="Arial" w:hAnsi="Arial"/>
                <w:sz w:val="18"/>
                <w:szCs w:val="18"/>
                <w:b w:val="1"/>
                <w:bCs w:val="1"/>
                <w:color w:val="auto"/>
              </w:rPr>
              <w:t>Short-term investments</w:t>
            </w:r>
          </w:p>
        </w:tc>
        <w:tc>
          <w:tcPr>
            <w:tcW w:w="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Cost</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9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4,760,000</w:t>
            </w:r>
          </w:p>
        </w:tc>
        <w:tc>
          <w:tcPr>
            <w:tcW w:w="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4,760,488</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4,996,568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Bonds- corporate issuances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14,020,888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14,017,855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19,189,438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19,176,838</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investments</w:t>
            </w: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18,780,888</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18,778,343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24,189,438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24,173,406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 2015</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6"/>
          </w:tcPr>
          <w:p>
            <w:pPr>
              <w:ind w:left="280"/>
              <w:spacing w:after="0"/>
              <w:rPr>
                <w:sz w:val="20"/>
                <w:szCs w:val="20"/>
                <w:color w:val="auto"/>
              </w:rPr>
            </w:pPr>
            <w:r>
              <w:rPr>
                <w:rFonts w:ascii="Arial" w:cs="Arial" w:eastAsia="Arial" w:hAnsi="Arial"/>
                <w:sz w:val="18"/>
                <w:szCs w:val="18"/>
                <w:b w:val="1"/>
                <w:bCs w:val="1"/>
                <w:color w:val="auto"/>
              </w:rPr>
              <w:t>December 31, 2014</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0" w:type="dxa"/>
            <w:vAlign w:val="bottom"/>
            <w:vMerge w:val="restart"/>
          </w:tcPr>
          <w:p>
            <w:pPr>
              <w:spacing w:after="0"/>
              <w:rPr>
                <w:sz w:val="20"/>
                <w:szCs w:val="20"/>
                <w:color w:val="auto"/>
              </w:rPr>
            </w:pPr>
            <w:r>
              <w:rPr>
                <w:rFonts w:ascii="Arial" w:cs="Arial" w:eastAsia="Arial" w:hAnsi="Arial"/>
                <w:sz w:val="18"/>
                <w:szCs w:val="18"/>
                <w:b w:val="1"/>
                <w:bCs w:val="1"/>
                <w:color w:val="auto"/>
              </w:rPr>
              <w:t>Short-term investment maturities</w:t>
            </w:r>
          </w:p>
        </w:tc>
        <w:tc>
          <w:tcPr>
            <w:tcW w:w="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Cost</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Within 3 months</w:t>
            </w:r>
          </w:p>
        </w:tc>
        <w:tc>
          <w:tcPr>
            <w:tcW w:w="6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7,601,405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7,601,830</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16,881,490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16,872,158</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Between 3-12 months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11,179,483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11,176,513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7,307,948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7,301,248</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18,780,888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18,778,343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24,189,438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24,173,406</w:t>
            </w:r>
          </w:p>
        </w:tc>
        <w:tc>
          <w:tcPr>
            <w:tcW w:w="80" w:type="dxa"/>
            <w:vAlign w:val="bottom"/>
            <w:tcBorders>
              <w:bottom w:val="single" w:sz="8" w:color="CCEEFF"/>
            </w:tcBorders>
            <w:shd w:val="clear" w:color="auto" w:fill="CCEEFF"/>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3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7"/>
          <w:szCs w:val="17"/>
          <w:color w:val="auto"/>
        </w:rPr>
        <w:t>The following table shows the Company’s investment securities with unrealized holding gains and losses and their fair value by investment category and length of time that individual securities have been in a continuous unrealized loss position at June 30, 2015 and December 31, 2014. The Company has reviewed individual securities to determine whether a decline in fair value below the amortizable cost basis is other than temporary.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25"/>
              <w:spacing w:after="0"/>
              <w:rPr>
                <w:sz w:val="20"/>
                <w:szCs w:val="20"/>
                <w:color w:val="auto"/>
              </w:rPr>
            </w:pPr>
            <w:r>
              <w:rPr>
                <w:rFonts w:ascii="Arial" w:cs="Arial" w:eastAsia="Arial" w:hAnsi="Arial"/>
                <w:sz w:val="18"/>
                <w:szCs w:val="18"/>
                <w:b w:val="1"/>
                <w:bCs w:val="1"/>
                <w:color w:val="auto"/>
              </w:rPr>
              <w:t>June 30, 2015</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2014</w:t>
            </w:r>
          </w:p>
        </w:tc>
      </w:tr>
      <w:tr>
        <w:trPr>
          <w:trHeight w:val="191"/>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8"/>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6"/>
                <w:szCs w:val="16"/>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Holding</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Holding</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Gains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Gains</w:t>
            </w:r>
          </w:p>
        </w:tc>
      </w:tr>
      <w:tr>
        <w:trPr>
          <w:trHeight w:val="234"/>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 of Securities</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r>
      <w:tr>
        <w:trPr>
          <w:trHeight w:val="411"/>
        </w:trPr>
        <w:tc>
          <w:tcPr>
            <w:tcW w:w="5160" w:type="dxa"/>
            <w:vAlign w:val="bottom"/>
            <w:gridSpan w:val="2"/>
          </w:tcPr>
          <w:p>
            <w:pPr>
              <w:ind w:left="180"/>
              <w:spacing w:after="0"/>
              <w:rPr>
                <w:sz w:val="20"/>
                <w:szCs w:val="20"/>
                <w:color w:val="auto"/>
              </w:rPr>
            </w:pPr>
            <w:r>
              <w:rPr>
                <w:rFonts w:ascii="Arial" w:cs="Arial" w:eastAsia="Arial" w:hAnsi="Arial"/>
                <w:sz w:val="18"/>
                <w:szCs w:val="18"/>
                <w:color w:val="auto"/>
                <w:w w:val="94"/>
              </w:rPr>
              <w:t>Available for Sale (all unrealized holding gains and losses are less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5160" w:type="dxa"/>
            <w:vAlign w:val="bottom"/>
            <w:gridSpan w:val="2"/>
          </w:tcPr>
          <w:p>
            <w:pPr>
              <w:ind w:left="340"/>
              <w:spacing w:after="0"/>
              <w:rPr>
                <w:sz w:val="20"/>
                <w:szCs w:val="20"/>
                <w:color w:val="auto"/>
              </w:rPr>
            </w:pPr>
            <w:r>
              <w:rPr>
                <w:rFonts w:ascii="Arial" w:cs="Arial" w:eastAsia="Arial" w:hAnsi="Arial"/>
                <w:sz w:val="18"/>
                <w:szCs w:val="18"/>
                <w:color w:val="auto"/>
              </w:rPr>
              <w:t>than 12 months at date of measurement)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5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Short-term investments with unrealized gains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6,080,493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gridSpan w:val="2"/>
          </w:tcPr>
          <w:p>
            <w:pPr>
              <w:ind w:left="660"/>
              <w:spacing w:after="0"/>
              <w:rPr>
                <w:sz w:val="20"/>
                <w:szCs w:val="20"/>
                <w:color w:val="auto"/>
              </w:rPr>
            </w:pPr>
            <w:r>
              <w:rPr>
                <w:rFonts w:ascii="Arial" w:cs="Arial" w:eastAsia="Arial" w:hAnsi="Arial"/>
                <w:sz w:val="18"/>
                <w:szCs w:val="18"/>
                <w:color w:val="auto"/>
              </w:rPr>
              <w:t>Short-term investments with unrealized losses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12,697,850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(4,874)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24,173,406</w:t>
            </w:r>
          </w:p>
        </w:tc>
        <w:tc>
          <w:tcPr>
            <w:tcW w:w="280" w:type="dxa"/>
            <w:vAlign w:val="bottom"/>
          </w:tcPr>
          <w:p>
            <w:pPr>
              <w:spacing w:after="0"/>
              <w:rPr>
                <w:sz w:val="18"/>
                <w:szCs w:val="18"/>
                <w:color w:val="auto"/>
              </w:rPr>
            </w:pP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(16,032)</w:t>
            </w:r>
          </w:p>
        </w:tc>
      </w:tr>
      <w:tr>
        <w:trPr>
          <w:trHeight w:val="250"/>
        </w:trPr>
        <w:tc>
          <w:tcPr>
            <w:tcW w:w="516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18,778,343</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24,173,406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0"/>
              </w:rPr>
              <w:t>(16,032)</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4536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6440" cy="8890"/>
                    </a:xfrm>
                    <a:prstGeom prst="rect">
                      <a:avLst/>
                    </a:prstGeom>
                    <a:noFill/>
                  </pic:spPr>
                </pic:pic>
              </a:graphicData>
            </a:graphic>
          </wp:anchor>
        </w:drawing>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Interest and dividends accrued and paid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Accretion of investment premium</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Realized losses</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income, net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8"/>
                <w:szCs w:val="18"/>
                <w:color w:val="auto"/>
              </w:rPr>
            </w:pPr>
          </w:p>
        </w:tc>
      </w:tr>
      <w:tr>
        <w:trPr>
          <w:trHeight w:val="411"/>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38,772</w:t>
            </w:r>
          </w:p>
        </w:tc>
        <w:tc>
          <w:tcPr>
            <w:tcW w:w="22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277,761</w:t>
            </w:r>
          </w:p>
        </w:tc>
      </w:tr>
      <w:tr>
        <w:trPr>
          <w:trHeight w:val="216"/>
        </w:trPr>
        <w:tc>
          <w:tcPr>
            <w:tcW w:w="5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(21,569)</w:t>
            </w:r>
          </w:p>
        </w:tc>
        <w:tc>
          <w:tcPr>
            <w:tcW w:w="5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(250,946)</w:t>
            </w:r>
          </w:p>
        </w:tc>
      </w:tr>
      <w:tr>
        <w:trPr>
          <w:trHeight w:val="230"/>
        </w:trPr>
        <w:tc>
          <w:tcPr>
            <w:tcW w:w="5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(339)</w:t>
            </w:r>
          </w:p>
        </w:tc>
        <w:tc>
          <w:tcPr>
            <w:tcW w:w="5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(3,081)</w:t>
            </w:r>
          </w:p>
        </w:tc>
      </w:tr>
      <w:tr>
        <w:trPr>
          <w:trHeight w:val="210"/>
        </w:trPr>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16,865</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23,734</w:t>
            </w:r>
          </w:p>
        </w:tc>
        <w:tc>
          <w:tcPr>
            <w:tcW w:w="60" w:type="dxa"/>
            <w:vAlign w:val="bottom"/>
          </w:tcPr>
          <w:p>
            <w:pPr>
              <w:spacing w:after="0"/>
              <w:rPr>
                <w:sz w:val="18"/>
                <w:szCs w:val="18"/>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-582295</wp:posOffset>
            </wp:positionV>
            <wp:extent cx="687768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-307975</wp:posOffset>
            </wp:positionV>
            <wp:extent cx="687768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880"/>
          </w:cols>
          <w:pgMar w:left="240" w:top="584" w:right="239" w:bottom="1440" w:gutter="0" w:footer="0" w:header="0"/>
          <w:type w:val="continuous"/>
        </w:sectPr>
      </w:pP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Six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Securities</w:t>
            </w:r>
          </w:p>
        </w:tc>
        <w:tc>
          <w:tcPr>
            <w:tcW w:w="100" w:type="dxa"/>
            <w:vAlign w:val="bottom"/>
            <w:vMerge w:val="restart"/>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580,975</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Accretion of investment premium</w:t>
            </w:r>
          </w:p>
        </w:tc>
        <w:tc>
          <w:tcPr>
            <w:tcW w:w="5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(98,519)</w:t>
            </w:r>
          </w:p>
        </w:tc>
        <w:tc>
          <w:tcPr>
            <w:tcW w:w="7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(526,531)</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losses</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(23,691)</w:t>
            </w:r>
          </w:p>
        </w:tc>
        <w:tc>
          <w:tcPr>
            <w:tcW w:w="0" w:type="dxa"/>
            <w:vAlign w:val="bottom"/>
          </w:tcPr>
          <w:p>
            <w:pPr>
              <w:spacing w:after="0"/>
              <w:rPr>
                <w:sz w:val="1"/>
                <w:szCs w:val="1"/>
                <w:color w:val="auto"/>
              </w:rPr>
            </w:pPr>
          </w:p>
        </w:tc>
      </w:tr>
      <w:tr>
        <w:trPr>
          <w:trHeight w:val="20"/>
        </w:trPr>
        <w:tc>
          <w:tcPr>
            <w:tcW w:w="7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2"/>
          </w:tcPr>
          <w:p>
            <w:pPr>
              <w:ind w:left="320"/>
              <w:spacing w:after="0"/>
              <w:rPr>
                <w:sz w:val="20"/>
                <w:szCs w:val="20"/>
                <w:color w:val="auto"/>
              </w:rPr>
            </w:pPr>
            <w:r>
              <w:rPr>
                <w:rFonts w:ascii="Arial" w:cs="Arial" w:eastAsia="Arial" w:hAnsi="Arial"/>
                <w:sz w:val="18"/>
                <w:szCs w:val="18"/>
                <w:color w:val="auto"/>
              </w:rPr>
              <w:t>Investment income, net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33,245</w:t>
            </w:r>
          </w:p>
        </w:tc>
        <w:tc>
          <w:tcPr>
            <w:tcW w:w="220" w:type="dxa"/>
            <w:vAlign w:val="bottom"/>
          </w:tcPr>
          <w:p>
            <w:pPr>
              <w:spacing w:after="0"/>
              <w:rPr>
                <w:sz w:val="18"/>
                <w:szCs w:val="18"/>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30,753</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 by component, in accumulated other comprehensive loss for the first six months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Balance at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-130175</wp:posOffset>
            </wp:positionV>
            <wp:extent cx="687768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Unrealized gains on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-121920</wp:posOffset>
            </wp:positionV>
            <wp:extent cx="687768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Realized loss reclassified from other accumulated comprehensive loss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Net other comprehensive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687768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7685" cy="14605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151765</wp:posOffset>
            </wp:positionV>
            <wp:extent cx="687768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Balance at June 30,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right"/>
        <w:ind w:right="500"/>
        <w:spacing w:after="0"/>
        <w:rPr>
          <w:sz w:val="20"/>
          <w:szCs w:val="20"/>
          <w:color w:val="auto"/>
        </w:rPr>
      </w:pPr>
      <w:r>
        <w:rPr>
          <w:rFonts w:ascii="Arial" w:cs="Arial" w:eastAsia="Arial" w:hAnsi="Arial"/>
          <w:sz w:val="18"/>
          <w:szCs w:val="18"/>
          <w:b w:val="1"/>
          <w:bCs w:val="1"/>
          <w:color w:val="auto"/>
        </w:rPr>
        <w:t>Accumulated</w:t>
      </w:r>
    </w:p>
    <w:p>
      <w:pPr>
        <w:spacing w:after="0" w:line="27" w:lineRule="exact"/>
        <w:rPr>
          <w:sz w:val="20"/>
          <w:szCs w:val="20"/>
          <w:color w:val="auto"/>
        </w:rPr>
      </w:pPr>
    </w:p>
    <w:p>
      <w:pPr>
        <w:jc w:val="right"/>
        <w:ind w:right="500"/>
        <w:spacing w:after="0"/>
        <w:rPr>
          <w:sz w:val="20"/>
          <w:szCs w:val="20"/>
          <w:color w:val="auto"/>
        </w:rPr>
      </w:pPr>
      <w:r>
        <w:rPr>
          <w:rFonts w:ascii="Arial" w:cs="Arial" w:eastAsia="Arial" w:hAnsi="Arial"/>
          <w:sz w:val="18"/>
          <w:szCs w:val="18"/>
          <w:b w:val="1"/>
          <w:bCs w:val="1"/>
          <w:color w:val="auto"/>
        </w:rPr>
        <w:t>Other</w:t>
      </w:r>
    </w:p>
    <w:p>
      <w:pPr>
        <w:spacing w:after="0" w:line="9" w:lineRule="exact"/>
        <w:rPr>
          <w:sz w:val="20"/>
          <w:szCs w:val="20"/>
          <w:color w:val="auto"/>
        </w:rPr>
      </w:pPr>
    </w:p>
    <w:p>
      <w:pPr>
        <w:jc w:val="right"/>
        <w:ind w:right="500"/>
        <w:spacing w:after="0"/>
        <w:rPr>
          <w:sz w:val="20"/>
          <w:szCs w:val="20"/>
          <w:color w:val="auto"/>
        </w:rPr>
      </w:pPr>
      <w:r>
        <w:rPr>
          <w:rFonts w:ascii="Arial" w:cs="Arial" w:eastAsia="Arial" w:hAnsi="Arial"/>
          <w:sz w:val="18"/>
          <w:szCs w:val="18"/>
          <w:b w:val="1"/>
          <w:bCs w:val="1"/>
          <w:color w:val="auto"/>
        </w:rPr>
        <w:t>Comprehensive</w:t>
      </w:r>
    </w:p>
    <w:p>
      <w:pPr>
        <w:spacing w:after="0" w:line="9" w:lineRule="exact"/>
        <w:rPr>
          <w:sz w:val="20"/>
          <w:szCs w:val="20"/>
          <w:color w:val="auto"/>
        </w:rPr>
      </w:pPr>
    </w:p>
    <w:p>
      <w:pPr>
        <w:jc w:val="right"/>
        <w:ind w:right="500"/>
        <w:spacing w:after="0"/>
        <w:rPr>
          <w:sz w:val="20"/>
          <w:szCs w:val="20"/>
          <w:color w:val="auto"/>
        </w:rPr>
      </w:pPr>
      <w:r>
        <w:rPr>
          <w:rFonts w:ascii="Arial" w:cs="Arial" w:eastAsia="Arial" w:hAnsi="Arial"/>
          <w:sz w:val="18"/>
          <w:szCs w:val="18"/>
          <w:b w:val="1"/>
          <w:bCs w:val="1"/>
          <w:color w:val="auto"/>
        </w:rPr>
        <w:t>Loss</w:t>
      </w:r>
    </w:p>
    <w:p>
      <w:pPr>
        <w:spacing w:after="0" w:line="9" w:lineRule="exact"/>
        <w:rPr>
          <w:sz w:val="20"/>
          <w:szCs w:val="20"/>
          <w:color w:val="auto"/>
        </w:rPr>
      </w:pPr>
    </w:p>
    <w:p>
      <w:pPr>
        <w:ind w:left="960" w:hanging="957"/>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(16,032)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960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41"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11,507</w:t>
      </w:r>
    </w:p>
    <w:p>
      <w:pPr>
        <w:spacing w:after="0" w:line="2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210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960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18" w:lineRule="exact"/>
        <w:rPr>
          <w:sz w:val="20"/>
          <w:szCs w:val="20"/>
          <w:color w:val="auto"/>
        </w:rPr>
      </w:pPr>
    </w:p>
    <w:p>
      <w:pPr>
        <w:ind w:left="1060" w:hanging="1057"/>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(4,315)</w:t>
      </w:r>
    </w:p>
    <w:p>
      <w:pPr>
        <w:spacing w:after="0" w:line="263" w:lineRule="exact"/>
        <w:rPr>
          <w:sz w:val="20"/>
          <w:szCs w:val="20"/>
          <w:color w:val="auto"/>
        </w:rPr>
      </w:pPr>
    </w:p>
    <w:p>
      <w:pPr>
        <w:sectPr>
          <w:pgSz w:w="11900" w:h="16838" w:orient="portrait"/>
          <w:cols w:equalWidth="0" w:num="2">
            <w:col w:w="9380" w:space="80"/>
            <w:col w:w="1960"/>
          </w:cols>
          <w:pgMar w:left="240" w:top="584"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Fair Value of Measurements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FASB Accounting Standards Codification (ASC) Section 820 (formerly SFAS No. 157)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7"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Quoted prices (unadjusted) or identical assets or liabilities in active markets that the entity has the ability to access as of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62"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and</w:t>
      </w:r>
    </w:p>
    <w:p>
      <w:pPr>
        <w:spacing w:after="0" w:line="162"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Significant unobservable inputs that reflect a reporting entity’s own assumptions that market participants would use in pricing an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Cash and cash equivalents, other current assets, accounts payable and other accrued liabilities are reflected in the balance sheet at their estimated fair values primarily due to their short-term nature. There were no transfers of assets of liabilities between Level 1 and Level 2 and no transfers in or out of Level 3 during the six months ended June 30, 2015 except for the change in the fair market value of the warrant liability and the change in the earn-out milestone liability were included in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are summarized below:</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Quoted Prices In</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Active Markets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Significant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Total 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For Identical</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Unobservable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Value on the</w:t>
            </w:r>
          </w:p>
        </w:tc>
        <w:tc>
          <w:tcPr>
            <w:tcW w:w="120" w:type="dxa"/>
            <w:vAlign w:val="bottom"/>
          </w:tcPr>
          <w:p>
            <w:pPr>
              <w:spacing w:after="0"/>
              <w:rPr>
                <w:sz w:val="18"/>
                <w:szCs w:val="18"/>
                <w:color w:val="auto"/>
              </w:rPr>
            </w:pPr>
          </w:p>
        </w:tc>
        <w:tc>
          <w:tcPr>
            <w:tcW w:w="15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Assets / Liabilities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Inputs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Balance Sheet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(Level 1)</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(Level 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Recurring items as of June 30, 2015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18,778,343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18,778,343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24,173,406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24,173,406</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Non-recurring items as of December 31, 2014</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In-process research and development (Note 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25,801,728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25,801,728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(Note 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1,976,101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0"/>
        </w:trPr>
        <w:tc>
          <w:tcPr>
            <w:tcW w:w="20" w:type="dxa"/>
            <w:vAlign w:val="bottom"/>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Quoted Prices In</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Significant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Active Markets</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Total Fair</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For Identical</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Observable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Value on the</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Assets / Liabilities</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Inputs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Balance Sheet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(Level 1)</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(Level 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Recurring items as of June 30, 2015</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warrant liability (Note 13)</w:t>
            </w:r>
          </w:p>
        </w:tc>
        <w:tc>
          <w:tcPr>
            <w:tcW w:w="2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milestone liability (Note 12)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13,905,238</w:t>
            </w:r>
          </w:p>
        </w:tc>
        <w:tc>
          <w:tcPr>
            <w:tcW w:w="14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13,905,238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2014</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Common stock warrant liability (Note 13)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275,008</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275,008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spacing w:after="0"/>
              <w:rPr>
                <w:sz w:val="17"/>
                <w:szCs w:val="17"/>
                <w:color w:val="auto"/>
              </w:rPr>
            </w:pPr>
          </w:p>
        </w:tc>
        <w:tc>
          <w:tcPr>
            <w:tcW w:w="1620" w:type="dxa"/>
            <w:vAlign w:val="bottom"/>
            <w:gridSpan w:val="2"/>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14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Earn-out milestone liability (Note 12)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13,663,710</w:t>
            </w:r>
          </w:p>
        </w:tc>
        <w:tc>
          <w:tcPr>
            <w:tcW w:w="14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13,663,710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Acquisition of EGEN, Inc.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2014, Celsion completed the acquisition of substantially all of the assets of Egen, Inc., an Alabama Corporation (EGEN) pursuant to an Asset Purchase Agreement (EGEN Purchase Agreement). CLSN Laboratories, Inc., a Delaware corporation and a wholly-owned subsidiary of Celsion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Celsion paid approximately $3.0 million in cash after expense adjustment and issued 2,712,188 shares of its common stock to EGEN. The shares of common stock were issued in a private transaction exempt from registration under the Securities Act of 1933, as amended (the Securities Act), pursuant to Section 4(2) thereof. In addition, 670,070 shares of common stock are issuable to EGEN on or after August 2, 2016 pending satisfactory resolution of any post-closing adjustments of expenses and EGEN’s indemnification obligations under the EGEN Purchase Agreement (Holdback Shares). A registration statement (File No. 333-198786) was filed on September 16, 2014 and declared effective on September 30, 2014 for the resale of the shares of common stock issued and issuable to EGEN under the EGEN Purchase Agreement.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Celsion common stock or a combination thereof, at Celsion’s option, as follows:</w:t>
      </w:r>
    </w:p>
    <w:p>
      <w:pPr>
        <w:spacing w:after="0" w:line="170" w:lineRule="exact"/>
        <w:rPr>
          <w:sz w:val="20"/>
          <w:szCs w:val="20"/>
          <w:color w:val="auto"/>
        </w:rPr>
      </w:pPr>
    </w:p>
    <w:p>
      <w:pPr>
        <w:ind w:left="920" w:right="340" w:hanging="331"/>
        <w:spacing w:after="0" w:line="277"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920" w:right="40" w:hanging="331"/>
        <w:spacing w:after="0" w:line="277"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 and</w:t>
      </w:r>
    </w:p>
    <w:p>
      <w:pPr>
        <w:spacing w:after="0" w:line="147" w:lineRule="exact"/>
        <w:rPr>
          <w:rFonts w:ascii="Arial" w:cs="Arial" w:eastAsia="Arial" w:hAnsi="Arial"/>
          <w:sz w:val="18"/>
          <w:szCs w:val="18"/>
          <w:color w:val="auto"/>
        </w:rPr>
      </w:pPr>
    </w:p>
    <w:p>
      <w:pPr>
        <w:ind w:left="920" w:right="40" w:hanging="331"/>
        <w:spacing w:after="0" w:line="204"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development milestones relating to the TheraSilence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acquired from EGEN in the acquisition.</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9, 2014, Celsion borrowed an additional $5 million pursuant to a certain Loan and Security Agreement dated as of November 25, 2013, by and between Celsion and Hercules Technology Growth Capital, Inc. (see Note 9). Celsion used the loan proceeds to pay the upfront cash payment at closing and certain transaction costs incurred by Celsion in connection with the acquisition.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 determined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shd w:val="clear" w:color="auto" w:fill="CCEEFF"/>
          </w:tcPr>
          <w:p>
            <w:pPr>
              <w:jc w:val="center"/>
              <w:ind w:right="7330"/>
              <w:spacing w:after="0"/>
              <w:rPr>
                <w:sz w:val="20"/>
                <w:szCs w:val="20"/>
                <w:color w:val="auto"/>
              </w:rPr>
            </w:pPr>
            <w:r>
              <w:rPr>
                <w:rFonts w:ascii="Arial" w:cs="Arial" w:eastAsia="Arial" w:hAnsi="Arial"/>
                <w:sz w:val="18"/>
                <w:szCs w:val="18"/>
                <w:b w:val="1"/>
                <w:bCs w:val="1"/>
                <w:color w:val="auto"/>
                <w:w w:val="90"/>
              </w:rPr>
              <w:t>Consideration Paid at Closing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jc w:val="center"/>
              <w:ind w:right="7310"/>
              <w:spacing w:after="0"/>
              <w:rPr>
                <w:sz w:val="20"/>
                <w:szCs w:val="20"/>
                <w:color w:val="auto"/>
              </w:rPr>
            </w:pPr>
            <w:r>
              <w:rPr>
                <w:rFonts w:ascii="Arial" w:cs="Arial" w:eastAsia="Arial" w:hAnsi="Arial"/>
                <w:sz w:val="18"/>
                <w:szCs w:val="18"/>
                <w:color w:val="auto"/>
                <w:w w:val="88"/>
              </w:rPr>
              <w:t>Cash, net of cash acquired</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2,821,000</w:t>
            </w:r>
          </w:p>
        </w:tc>
      </w:tr>
      <w:tr>
        <w:trPr>
          <w:trHeight w:val="202"/>
        </w:trPr>
        <w:tc>
          <w:tcPr>
            <w:tcW w:w="9740" w:type="dxa"/>
            <w:vAlign w:val="bottom"/>
            <w:shd w:val="clear" w:color="auto" w:fill="CCEEFF"/>
          </w:tcPr>
          <w:p>
            <w:pPr>
              <w:ind w:left="1140"/>
              <w:spacing w:after="0" w:line="201" w:lineRule="exact"/>
              <w:rPr>
                <w:sz w:val="20"/>
                <w:szCs w:val="20"/>
                <w:color w:val="auto"/>
              </w:rPr>
            </w:pPr>
            <w:r>
              <w:rPr>
                <w:rFonts w:ascii="Arial" w:cs="Arial" w:eastAsia="Arial" w:hAnsi="Arial"/>
                <w:sz w:val="18"/>
                <w:szCs w:val="18"/>
                <w:color w:val="auto"/>
                <w:w w:val="91"/>
              </w:rPr>
              <w:t>Celsion common stock (2,712,188 shares valued at $3.48 which was the last closing price of our common stock at the</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74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time of closing the transaction on June 20, 2014)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9,438,000</w:t>
            </w:r>
          </w:p>
        </w:tc>
      </w:tr>
      <w:tr>
        <w:trPr>
          <w:trHeight w:val="216"/>
        </w:trPr>
        <w:tc>
          <w:tcPr>
            <w:tcW w:w="9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Future Consideration</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740" w:type="dxa"/>
            <w:vAlign w:val="bottom"/>
          </w:tcPr>
          <w:p>
            <w:pPr>
              <w:ind w:left="1440"/>
              <w:spacing w:after="0" w:line="201" w:lineRule="exact"/>
              <w:rPr>
                <w:sz w:val="20"/>
                <w:szCs w:val="20"/>
                <w:color w:val="auto"/>
              </w:rPr>
            </w:pPr>
            <w:r>
              <w:rPr>
                <w:rFonts w:ascii="Arial" w:cs="Arial" w:eastAsia="Arial" w:hAnsi="Arial"/>
                <w:sz w:val="18"/>
                <w:szCs w:val="18"/>
                <w:color w:val="auto"/>
                <w:w w:val="92"/>
              </w:rPr>
              <w:t>Holdback Shares (670,070 shares of Celsion common stock which were discounted by 38% to reflect the cost of</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740" w:type="dxa"/>
            <w:vAlign w:val="bottom"/>
          </w:tcPr>
          <w:p>
            <w:pPr>
              <w:ind w:left="1680"/>
              <w:spacing w:after="0"/>
              <w:rPr>
                <w:sz w:val="20"/>
                <w:szCs w:val="20"/>
                <w:color w:val="auto"/>
              </w:rPr>
            </w:pPr>
            <w:r>
              <w:rPr>
                <w:rFonts w:ascii="Arial" w:cs="Arial" w:eastAsia="Arial" w:hAnsi="Arial"/>
                <w:sz w:val="18"/>
                <w:szCs w:val="18"/>
                <w:color w:val="auto"/>
              </w:rPr>
              <w:t>the restriction)</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1,441,000</w:t>
            </w:r>
          </w:p>
        </w:tc>
      </w:tr>
      <w:tr>
        <w:trPr>
          <w:trHeight w:val="216"/>
        </w:trPr>
        <w:tc>
          <w:tcPr>
            <w:tcW w:w="97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Earn-out Payments (at fair value*)</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13,878,000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7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r>
      <w:tr>
        <w:trPr>
          <w:trHeight w:val="236"/>
        </w:trPr>
        <w:tc>
          <w:tcPr>
            <w:tcW w:w="97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fair value of consideration</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27,578,000</w:t>
            </w:r>
          </w:p>
        </w:tc>
      </w:tr>
      <w:tr>
        <w:trPr>
          <w:trHeight w:val="20"/>
        </w:trPr>
        <w:tc>
          <w:tcPr>
            <w:tcW w:w="9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right="640" w:hanging="263"/>
        <w:spacing w:after="0" w:line="272" w:lineRule="auto"/>
        <w:tabs>
          <w:tab w:leader="none" w:pos="59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total aggregate purchase price for the acquisition of substantially all the assets of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statements. As of June 30, 2015, the Company fair valued these milestones at $13.9 million and recognized a non-cash charge of $241,528 as a result of the change in the fair value of these milestones from December 31, 2014.</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acquisition method of accounting, the total purchase price is allocated to EGEN’s net tangible and intangible assets and liabilities based on their estimated fair values as of the acquisition date. There were no subsequent adjustments to provisional amounts in finalizing the purchase price allocation of acquisition of substantially all of the assets of Egen, Inc. on June 20, 2014. The following table summarizes the fair values of these assets acquired and liabilities assumed related to the acquisition.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10"/>
        </w:trPr>
        <w:tc>
          <w:tcPr>
            <w:tcW w:w="20" w:type="dxa"/>
            <w:vAlign w:val="bottom"/>
          </w:tcPr>
          <w:p>
            <w:pPr>
              <w:spacing w:after="0"/>
              <w:rPr>
                <w:sz w:val="18"/>
                <w:szCs w:val="18"/>
                <w:color w:val="auto"/>
              </w:rPr>
            </w:pPr>
          </w:p>
        </w:tc>
        <w:tc>
          <w:tcPr>
            <w:tcW w:w="9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Acquired IPR&amp;D consists of EGEN's drug technology platforms: TheraPlas™ and TheraSilence™. The fair value of the IPR&amp;D drug technology platforms was estimated to be $25.8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87" w:lineRule="auto"/>
        <w:rPr>
          <w:sz w:val="20"/>
          <w:szCs w:val="20"/>
          <w:color w:val="auto"/>
        </w:rPr>
      </w:pPr>
      <w:r>
        <w:rPr>
          <w:rFonts w:ascii="Arial" w:cs="Arial" w:eastAsia="Arial" w:hAnsi="Arial"/>
          <w:sz w:val="16"/>
          <w:szCs w:val="16"/>
          <w:color w:val="auto"/>
        </w:rPr>
        <w:t>To calculate fair value of the IPR&amp;D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the closing of the acquisition, the IPR&amp;D is considered indefinite lived intangible assets and will not be amortized. IPR&amp;D will be reviewed for possible impairment on an annual basis by each year end or more frequently if events are indicative of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unaudited pro forma information presents our condensed results of operations as if the acquisition of EGEN had occurred on January 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5"/>
              </w:rPr>
              <w:t>Three Months Ended June 30,</w:t>
            </w:r>
          </w:p>
        </w:tc>
      </w:tr>
      <w:tr>
        <w:trPr>
          <w:trHeight w:val="210"/>
        </w:trPr>
        <w:tc>
          <w:tcPr>
            <w:tcW w:w="8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(5,244,542)</w:t>
            </w: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(6,214,162)</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shareholders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(5,674,745)</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(6,575,376)</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10"/>
        </w:trPr>
        <w:tc>
          <w:tcPr>
            <w:tcW w:w="8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(11,657,790)</w:t>
            </w: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(12,116,500)</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shareholders</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(12,679,813)</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(12,582,418)</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above unaudited pro forma condensed consolidated financial information is presented for illustrative purposes only. It is not necessarily indicative of what the results of operations actually would have been had the acquisition been completed on the date indicated. In addition, it does not purport to project the future operating results of the combined entity.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represents the difference between the total purchase price for the net assets purchased from EGEN and the aggregate fair values of tangible and intangible assets acquired, less liabilities assumed. We will test our goodwill for impairment annually and between annual tests if we become aware of an event or a change in circumstances that would indicate the carrying amount may be impaired.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accrued liabilities at June 30, 2015 and December 31, 2014 include the following: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Amounts due to Contract Research Organizations and other contractual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-107315</wp:posOffset>
            </wp:positionV>
            <wp:extent cx="687768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Accrued payroll and related benefits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Accrued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687768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Accrued interest on notes payable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68776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7685" cy="14605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151765</wp:posOffset>
            </wp:positionV>
            <wp:extent cx="687768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Accrued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Note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Hercules Credit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40" w:type="dxa"/>
            <w:vAlign w:val="bottom"/>
          </w:tcPr>
          <w:p>
            <w:pPr>
              <w:spacing w:after="0"/>
              <w:rPr>
                <w:sz w:val="20"/>
                <w:szCs w:val="20"/>
                <w:color w:val="auto"/>
              </w:rPr>
            </w:pPr>
          </w:p>
        </w:tc>
        <w:tc>
          <w:tcPr>
            <w:tcW w:w="1480" w:type="dxa"/>
            <w:vAlign w:val="bottom"/>
            <w:gridSpan w:val="3"/>
          </w:tcPr>
          <w:p>
            <w:pPr>
              <w:ind w:left="160"/>
              <w:spacing w:after="0"/>
              <w:rPr>
                <w:sz w:val="20"/>
                <w:szCs w:val="20"/>
                <w:color w:val="auto"/>
              </w:rPr>
            </w:pPr>
            <w:r>
              <w:rPr>
                <w:rFonts w:ascii="Arial" w:cs="Arial" w:eastAsia="Arial" w:hAnsi="Arial"/>
                <w:sz w:val="18"/>
                <w:szCs w:val="18"/>
                <w:b w:val="1"/>
                <w:bCs w:val="1"/>
                <w:color w:val="auto"/>
              </w:rPr>
              <w:t>June 30, 2015</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r>
      <w:tr>
        <w:trPr>
          <w:trHeight w:val="195"/>
        </w:trPr>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1,084,432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857,730</w:t>
            </w:r>
          </w:p>
        </w:tc>
        <w:tc>
          <w:tcPr>
            <w:tcW w:w="2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612,920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961,440</w:t>
            </w:r>
          </w:p>
        </w:tc>
      </w:tr>
      <w:tr>
        <w:trPr>
          <w:trHeight w:val="216"/>
        </w:trPr>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441,500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502,300</w:t>
            </w:r>
          </w:p>
        </w:tc>
      </w:tr>
      <w:tr>
        <w:trPr>
          <w:trHeight w:val="216"/>
        </w:trPr>
        <w:tc>
          <w:tcPr>
            <w:tcW w:w="24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77,094</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96,875</w:t>
            </w:r>
          </w:p>
        </w:tc>
      </w:tr>
      <w:tr>
        <w:trPr>
          <w:trHeight w:val="230"/>
        </w:trPr>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20,020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38,020</w:t>
            </w:r>
          </w:p>
        </w:tc>
        <w:tc>
          <w:tcPr>
            <w:tcW w:w="20" w:type="dxa"/>
            <w:vAlign w:val="bottom"/>
          </w:tcPr>
          <w:p>
            <w:pPr>
              <w:spacing w:after="0"/>
              <w:rPr>
                <w:sz w:val="20"/>
                <w:szCs w:val="20"/>
                <w:color w:val="auto"/>
              </w:rPr>
            </w:pPr>
          </w:p>
        </w:tc>
      </w:tr>
      <w:tr>
        <w:trPr>
          <w:trHeight w:val="426"/>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2,235,966</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2,456,365</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40" w:lineRule="exact"/>
        <w:rPr>
          <w:sz w:val="20"/>
          <w:szCs w:val="20"/>
          <w:color w:val="auto"/>
        </w:rPr>
      </w:pPr>
    </w:p>
    <w:p>
      <w:pPr>
        <w:sectPr>
          <w:pgSz w:w="11900" w:h="16838" w:orient="portrait"/>
          <w:cols w:equalWidth="0" w:num="2">
            <w:col w:w="7060" w:space="720"/>
            <w:col w:w="3520"/>
          </w:cols>
          <w:pgMar w:left="240" w:top="580" w:right="359" w:bottom="1440" w:gutter="0" w:footer="0" w:header="0"/>
        </w:sectPr>
      </w:pPr>
    </w:p>
    <w:p>
      <w:pPr>
        <w:spacing w:after="0" w:line="25"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obligations under the Hercules Credit Agreement are in the form of secured indebtedness bearing interest at a calculated prime-based variable rate (11.25% per annum since inception). Payments under the loan agreement are interest only for the first twelve months after loan closing, followed by a 30-month amortization period of principal and interest through the scheduled maturity date.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Hercules Credit Agreement, the Company incurred cash expenses of $122,378 which were recorded as deferred financing fees. These deferred financing fees are being amortized as interest expense using the effective interest method over the life of the loan. Also in connection with the Hercules Credit Facility, the Company paid loan origination fees of $230,000 which has been classified as debt discount. This amount is being amortized as interest expense using the effective interest method over the life of the loan.</w:t>
      </w:r>
    </w:p>
    <w:p>
      <w:pPr>
        <w:spacing w:after="0" w:line="18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As a fee in connection with the Hercules Credit Agreement, the Company issued Hercules a warrant for a total of 97,493 shares of the Company’s common stock (the Hercules Warrant) at a per share exercise price of $3.59, exercisable for cash or by net exercise from November 25, 2013. Upon the closing of the second tranche on June 10, 2014, this warrant became exercisable for an additional 97,493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 A registration statement (File No. 333-193936) was filed on February 13, 2014, amended on September 16, 2014 and declared effective on September 30, 2014 for the resale of the shares of common stock issuable pursuant to the Hercules Warrant.</w:t>
      </w: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type w:val="continuous"/>
        </w:sectPr>
      </w:pPr>
    </w:p>
    <w:bookmarkStart w:id="16" w:name="page17"/>
    <w:bookmarkEnd w:id="16"/>
    <w:p>
      <w:pPr>
        <w:jc w:val="both"/>
        <w:ind w:right="140"/>
        <w:spacing w:after="0" w:line="268" w:lineRule="auto"/>
        <w:rPr>
          <w:sz w:val="20"/>
          <w:szCs w:val="20"/>
          <w:color w:val="auto"/>
        </w:rPr>
      </w:pPr>
      <w:r>
        <w:rPr>
          <w:rFonts w:ascii="Arial" w:cs="Arial" w:eastAsia="Arial" w:hAnsi="Arial"/>
          <w:sz w:val="17"/>
          <w:szCs w:val="17"/>
          <w:color w:val="auto"/>
        </w:rPr>
        <w:t>The Company valued the Hercules Warrant issued at the inception of the loan using the Black-Scholes option pricing model and recorded $521,763 in 2013 as deferred financing fees. In calculating the value of the warrant, the Company assumed a volatility rate of 102%, risk free interest rate of 1.37%, an expected life of 5 years, a stock price of $3.55 (closing price on date of the Hercules Warrant) and no expected forfeitures nor dividends. In the second quarter of 2014, the Company reassessed the classification of the warrant and concluded the original amount should be reclassified from deferred financing fees and equity as the warrant contains a provision which required the exercise price to be adjusted downward to a lower price at which time the Company would sell and issue shares in a financing for cash during the one-year anniversary of the date of issuance of the warrant. Therefore, other assets and additional paid in capital were both reduced by the $521,763. The Company then valued the warrant for the initial 97,493 shares of the common stock as of the inception of the loan and recorded $260,928 as a debt discount to be amortized as interest expense using the effective interest method over the life of the loan and recognized a warrant liability for this amount. In connection with the closing of the second $5 million tranche on June 9, 2014, the Company then valued the warrant for the additional 97,493 shares of the common stock which became available and exercisable as of the date and recorded $215,333 as a debt discount to be amortized as interest expense using the effective interest method over the life of the loan and recognized a warrant liability for this amount. In calculating the value of the warrant for the additional shares of the common stock on June 10, 2014, the Company assumed a volatility rate of 104%, risk free interest rate of 1.69%, an expected remaining life of 4.5 years, a stock price of $3.07 (closing price June 9, 2014) and no expected forfeitures nor dividends. The warrant liability was fair valued at the end of each quarter and the resulting change in fair value will be recognized in net income.</w:t>
      </w:r>
    </w:p>
    <w:p>
      <w:pPr>
        <w:spacing w:after="0" w:line="18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the second quarter of 2015, the Company concluded the warrant provision which provided for the exercise price to be adjusted downward as described above had expired. Therefore, the Company valued the warrant at $336,254 immediately prior to this event and recorded non-cash charges to net income of $18,018 and $61,246 in the second quarter and year to date periods of 2015, respectively. The Company also reduced the liability to zero and increased equity by $336,254 at this time.</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Also in connection with each of the $5.0 million tranches, the Company will be required to pay an end of term charge equal to 3.5% of each original loan amount at time of maturity. Therefore, these amounts totaling $350,000 are being amortized as interest expense using the effective interest method over the life of the loan.</w:t>
      </w:r>
    </w:p>
    <w:p>
      <w:pPr>
        <w:spacing w:after="0" w:line="181"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For the three and six month periods ended June 30, 2015, the Company incurred $242,421 and $507,332 in interest expense and amortized $117,838 and $245,230 as interest expense for deferred fees, debt discount and end of term charges in connection with the Hercules Credit Agreement.</w:t>
      </w:r>
    </w:p>
    <w:p>
      <w:pPr>
        <w:spacing w:after="0" w:line="124"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gridSpan w:val="2"/>
          </w:tcPr>
          <w:p>
            <w:pPr>
              <w:spacing w:after="0"/>
              <w:rPr>
                <w:sz w:val="20"/>
                <w:szCs w:val="20"/>
                <w:color w:val="auto"/>
              </w:rPr>
            </w:pPr>
            <w:r>
              <w:rPr>
                <w:rFonts w:ascii="Arial" w:cs="Arial" w:eastAsia="Arial" w:hAnsi="Arial"/>
                <w:sz w:val="18"/>
                <w:szCs w:val="18"/>
                <w:color w:val="auto"/>
              </w:rPr>
              <w:t>Following is a schedule of future principal payments before debt discount due on the Hercules Credit Agreement:</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Year ending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8,223,398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Oxford &amp; Horizon Credit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2012, the Company entered into a Loan and Security Agreement (the Oxford &amp; Horizon Credit Agreement) with Oxford Finance LLC (Oxford) and Horizon Technology Finance Corporation (Horizon). The Oxford &amp; Horizon Credit Agreement provided for a secured term loan of up to $10 million, with 50% of any loans to be funded by Oxford and 50% to be funded by Horizon. The aggregate loan amount could have been advanced in two tranches of $5 million each. The first tranche (the Term A Loan) was made available to the Company on June 27, 2012 and the second tranche was to be made available, if at all, during the period beginning on the date that the Company achieved positive data in its Phase III clinical trial of RFA and ThermoDox® (the HEAT Study) and ending on March 31, 2013. On January 31, 2013, the Company announced it did not meet the primary endpoint of the HEAT Study.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The Term A Loan was originally scheduled to mature on October 15, 2015. As a result of the Hercules Credit Agreement discussed above, the Company terminated the Oxford &amp; Horizon Credit Agreement and repaid the outstanding principal, accrued interest and termination fees totaling approximately $4.1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proceeds of the Oxford &amp; Horizon Credit Agreement were used to fund the Company’s working capital and general corporate purposes. The obligations under the Oxford &amp; Horizon Credit Agreement were secured by substantially all assets of the Company other than its intellectual property and certain other agreed-upon exclusions.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fee in connection with the Oxford &amp; Horizon Credit Agreement, the Company issued warrants to Horizon and Oxford (the Oxford &amp; Horizon Warrants) to purchase the number of shares of the Company’s common stock equal to 3% of each loan amount divided by the exercise price of $13.14 per share, which was calculated as the average NASDAQ closing price of the Company’s common stock for the three days prior to the funding of the loan amount. This resulted in 11,415 warrant shares issued in connection with the Term A Loan. The Oxford &amp; Horizon Warrants issued in connection with the Term A Loan are exercisable for cash or by net exercise and will expire seven years after their issuance, which is June 27,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2015 Common Stock Offering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27, 2015, the Company entered into a Securities Purchase Agreement with certain investors, pursuant to which the Company sold and issued on June 1, 2015, in a registered direct offering (the May 2015 Offering), an aggregate of 3,000,000 shares of common stock at an offering price of $2.675 per share for gross proceeds of $8.0 million before the deduction of the placement agent fee and offering expenses. The Shares were offered by the Company pursuant to a registration statement on Form S-3 (File No. 333-183286), which was initially filed with the SEC on August 13, 2012, as amended on August 20, 2012, and was declared effective by the SEC on September 14, 2012 (the Shelf Registration Statement).</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concurrent private placement closed on June 1, 2015, the Company issued to the investors in the May 2015 Offering certain warrants (the May 2015 Warrants) at an exercise price of $2.60 per share. The May 2015 Warrants are exercisable to purchase 0.65 share of common stock for each share of common stock purchased in the May 2015 Offering for an aggregate of 1,950,000 shares of common stock. Each May 2015 Warrant will be exercisable on the date of its issuance until the five-year anniversary of the date of issuance. On July 10, 2015, the Company filed a registration statement for the resale of any shares of common stock issuable upon the exercise of the May 2015 Warrants on Form S-3 (File No. 333-205608) which was declared effective by the SEC on July 30, 2015.</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this purchase agreement, the Company is prohibited, for a period of three months after the closing, from effecting or entering into an agreement to issue common stock or, for a period of five months after the closing,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2014 Common Stock Offering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15, 2014, the Company entered into a Securities Purchase Agreement with certain institutional investors, pursuant to which the Company sold, in a registered offering, an aggregate of 3,603,604 shares of its common stock and warrants to purchase up to 1,801,802 shares of common stock, for an aggregate purchase price of approximately $15 million (the January 2014 Offering). The shares of common stock and warrants were sold in units, with each unit consisting of one share of common stock, a Series A warrant to purchase 0.25 share of common stock and a Series B warrant to purchase 0.25 share of common stock. Each unit was sold at a purchase price of $4.1625. Each Series A warrant will be exercisable during one year after its issuance date and until the five-year anniversary of the issuance date. Each Series B warrant was exercisable at any time on or after its issuance date had expired as of January 15, 2015. Each warrant has an exercise price of $4.10 per share.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Controlled Equity Offering</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On February 1, 2013, the Company entered into a 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(the ATM Agreement) with Cantor Fitzgerald &amp; Co., as sales agent (Cantor), pursuant to which the Company may offer and sell, from time to time, through Cantor, shares of its common stock having an aggregate offering price of up to $25.0 million (the ATM Shares) pursuant to the Shelf Registration Statement.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February 25, 2013, the Company sold and issued an aggregate of 1,195,927 shares of common stock under the ATM Agreement, receiving approximately $6.8 million in net proceeds.</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We have sold and issued an aggregate of 1,195,927 shares under the ATM Agreement so far, receiving approximately $6.8 million in net proceeds. In connection with the May 2015 Offering, we have agreed not to sell any additional shares under the ATM Agreement until September 1,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2013 Preferred Stock Offering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22, 2013, the Company entered into a Securities Purchase Agreement with certain institutional investors, pursuant to which the Company sold, in a registered offering, an aggregate of 15,000.00422 shares of its Series A 0% convertible preferred stock and the warrants to purchase shares of its common stock, for an aggregate purchase price of approximately $15.0 million (the February 2013 Preferred Stock Offering). The closing of the February 2013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2,682,764 shares of common stock, and the warrants are exercisable to purchase an aggregate of up to 1,341,382 shares of common stock. Each warrant has an exercise price of $5.31 per share, equal to the closing bid price of common stock on February 21, 2013. The warrants were immediately exercisable and expire five years after the date of issuance.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2013, 2,682,764 shares of common stock in the aggregate were issued upon conversion of all of the 15,000.00422 shares of the Series A 0%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28, 2013, the Company effected a 4.5-to-1 reverse stock split of its common stock which was made effective for trading purposes as of the commencement of trading on October 29, 2013. As of October 28, 2013, each nine shares of issued and outstanding common stock and equivalents were combined and converted into two shares of common stock outstanding at the time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2007, the Company adopted the Celsion Corporation 2007 Stock Incentive Plan (the 2007 Plan) under which 222,222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June 7, 2012 and June 20, 2014, the stockholders approved amendments to the Plan. The only material difference between the original Plan and the amended Plan was the number of shares of common stock available for issuance under the amended Plan which was increased by 222,222 to a total of 444,444 shares in 2010, by 500,000 to a total of 944,444 shares in 2012 and by 2,500,000 to a total of 3,444,444 shares in 2014.</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the adoption of the 2007 Plan, the Company adopted two stock plans for directors, officers and employees (one in 2001 and another in 2004) under which 148,148 shares were reserved for future issuance under each of these plans. As these plans have been superseded by the 2007 Plan, any options previously granted which expire, forfeit, or cancel under these plans will be rolled into the 2007 Plan.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assumptions for determining the fair value of options granted under the Black-Scholes option pricing model: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3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0"/>
              </w:rPr>
              <w:t>Six Months Ended</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23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56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2.06-2.93%</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2.63 - 2.75%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92.9-93.0%</w:t>
            </w:r>
          </w:p>
        </w:tc>
        <w:tc>
          <w:tcPr>
            <w:tcW w:w="5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98.7 - 100.72%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 free interest rate is derived from values assigned to U.S. Treasury bonds as published in the Wall Street Journal in effect at the time of grant. The model incorporates exercise, pre-vesting and post-vesting forfeiture assumptions based on analysis of historical data. The expected life of the fiscal 2015 and 2014 grants was generated using the simplified method.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 summary of the Company’s stock option and restricted stock awards for the six months ended June 30, 2015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780" w:type="dxa"/>
            <w:vAlign w:val="bottom"/>
            <w:gridSpan w:val="4"/>
            <w:vMerge w:val="restart"/>
          </w:tcPr>
          <w:p>
            <w:pPr>
              <w:jc w:val="right"/>
              <w:ind w:right="80"/>
              <w:spacing w:after="0"/>
              <w:rPr>
                <w:sz w:val="20"/>
                <w:szCs w:val="20"/>
                <w:color w:val="auto"/>
              </w:rPr>
            </w:pPr>
            <w:r>
              <w:rPr>
                <w:rFonts w:ascii="Arial" w:cs="Arial" w:eastAsia="Arial" w:hAnsi="Arial"/>
                <w:sz w:val="18"/>
                <w:szCs w:val="18"/>
                <w:b w:val="1"/>
                <w:bCs w:val="1"/>
                <w:color w:val="auto"/>
              </w:rPr>
              <w:t>Stock Options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vMerge w:val="restart"/>
          </w:tcPr>
          <w:p>
            <w:pPr>
              <w:jc w:val="right"/>
              <w:ind w:right="620"/>
              <w:spacing w:after="0"/>
              <w:rPr>
                <w:sz w:val="20"/>
                <w:szCs w:val="20"/>
                <w:color w:val="auto"/>
              </w:rPr>
            </w:pPr>
            <w:r>
              <w:rPr>
                <w:rFonts w:ascii="Arial" w:cs="Arial" w:eastAsia="Arial" w:hAnsi="Arial"/>
                <w:sz w:val="18"/>
                <w:szCs w:val="18"/>
                <w:b w:val="1"/>
                <w:bCs w:val="1"/>
                <w:color w:val="auto"/>
                <w:w w:val="91"/>
              </w:rPr>
              <w:t>Restricted Stock Awards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780" w:type="dxa"/>
            <w:vAlign w:val="bottom"/>
            <w:gridSpan w:val="4"/>
            <w:vMerge w:val="continue"/>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5"/>
            <w:vMerge w:val="continue"/>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6"/>
                <w:szCs w:val="16"/>
                <w:color w:val="auto"/>
              </w:rPr>
            </w:pPr>
          </w:p>
        </w:tc>
        <w:tc>
          <w:tcPr>
            <w:tcW w:w="1240" w:type="dxa"/>
            <w:vAlign w:val="bottom"/>
            <w:gridSpan w:val="2"/>
          </w:tcPr>
          <w:p>
            <w:pPr>
              <w:jc w:val="right"/>
              <w:ind w:right="140"/>
              <w:spacing w:after="0" w:line="191" w:lineRule="exact"/>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Non-vested</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Average</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Terms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Restricted</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Grant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Date</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Awards</w:t>
            </w: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Equity Awards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Outstanding</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Fair Value</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December 31, 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1,744,755</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Equity awards 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709,250</w:t>
            </w:r>
          </w:p>
        </w:tc>
        <w:tc>
          <w:tcPr>
            <w:tcW w:w="16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exercised</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Equity awards forfeited, cancelled or expired</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(201,490)</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outstanding at June 30, 2015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2,252,515</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Aggregate intrinsic value of outstanding awards at June 30,</w:t>
            </w:r>
          </w:p>
        </w:tc>
        <w:tc>
          <w:tcPr>
            <w:tcW w:w="1160" w:type="dxa"/>
            <w:vAlign w:val="bottom"/>
            <w:vMerge w:val="restart"/>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6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110,853</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2015</w:t>
            </w:r>
          </w:p>
        </w:tc>
        <w:tc>
          <w:tcPr>
            <w:tcW w:w="116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gridSpan w:val="2"/>
          </w:tcPr>
          <w:p>
            <w:pPr>
              <w:spacing w:after="0"/>
              <w:rPr>
                <w:sz w:val="17"/>
                <w:szCs w:val="17"/>
                <w:color w:val="auto"/>
              </w:rPr>
            </w:pPr>
          </w:p>
        </w:tc>
        <w:tc>
          <w:tcPr>
            <w:tcW w:w="88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exercisable at June 30, 2015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1,421,390</w:t>
            </w:r>
          </w:p>
        </w:tc>
        <w:tc>
          <w:tcPr>
            <w:tcW w:w="1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7"/>
        </w:trPr>
        <w:tc>
          <w:tcPr>
            <w:tcW w:w="4700" w:type="dxa"/>
            <w:vAlign w:val="bottom"/>
            <w:gridSpan w:val="2"/>
          </w:tcPr>
          <w:p>
            <w:pPr>
              <w:spacing w:after="0"/>
              <w:rPr>
                <w:sz w:val="17"/>
                <w:szCs w:val="17"/>
                <w:color w:val="auto"/>
              </w:rPr>
            </w:pPr>
          </w:p>
        </w:tc>
        <w:tc>
          <w:tcPr>
            <w:tcW w:w="13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Aggregate intrinsic value of awards exercisable June 30, 2015</w:t>
            </w:r>
          </w:p>
        </w:tc>
        <w:tc>
          <w:tcPr>
            <w:tcW w:w="11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cost related to employee stock options and restricted stock awards amounted to $462,468 and $1,035,196 for the six months ended June 30, 2015 and 2014, respectively. Total compensation cost related to employee stock options and restricted stock awards amounted to $1,310,081 and $1,721,476 for the six months ended June 30, 2015 and 2014, respectively. No compensation cost related to share-based payments arrangements was capitalized as part of the cost of any asset as of June 30, 2015 and 2014.</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2015, there was $1.3 million of total unrecognized compensation cost related to non-vested share-based compensation arrangements. That cost is expected to be recognized over a weighted-average period of 1.3 years. The weighted average grant-date fair value was $2.15 and $3.19 per share for the options granted during the six months ended June 30, 2015 and 2014, respectively. The weighted average grant-date fair value was $3.47 and $3.72 for the restricted stock awards granted during the six months ended June 30, 2015 and 2014,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Collectively, for all of the Company’s stock option plans as of June 30, 2015, there were a total of 3,672,770 shares reserved with 2,294,033 equity awards granted and 1,378,737 equity awards available for future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Earn-out Milestone Liability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7.0 years). The earn-out milestone liability will be fair valued at the end of each quarter and any change in their value will be recognized in the financial statements. At June 30, 2015, the Company fair valued the earn-out milestone liability at $13.9 million and recognized a non-cash charge of $69,392 and $241,528 during the three and six month periods ended June 30, 2015, respectively, as a result of the change in the fair value of earn-out milestone liability from $13.8 million and $13.7 million at March 31, 2015 and December 31, 2014,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ind w:right="40"/>
        <w:spacing w:after="0" w:line="259" w:lineRule="auto"/>
        <w:rPr>
          <w:sz w:val="20"/>
          <w:szCs w:val="20"/>
          <w:color w:val="auto"/>
        </w:rPr>
      </w:pPr>
      <w:r>
        <w:rPr>
          <w:rFonts w:ascii="Arial" w:cs="Arial" w:eastAsia="Arial" w:hAnsi="Arial"/>
          <w:sz w:val="18"/>
          <w:szCs w:val="18"/>
          <w:color w:val="auto"/>
        </w:rPr>
        <w:t>The fair value of the earn-out milestone liability at June 30, 2015 was based on the Company's risk-adjusted assessment of each milestone (10% to 67%) utilizing a discount rate based on the estimated time to achieve the milestone (0.9 to 3.0 years). The fair value of the earn-out milestone liability at December 31, 2014 was based on the Company's risk-adjusted assessment of each milestone (10% to 67%) utilizing a discount rate based on the estimated time to achieve the milestone (1.2 to 6.5 years).</w:t>
      </w:r>
    </w:p>
    <w:p>
      <w:pPr>
        <w:sectPr>
          <w:pgSz w:w="11900" w:h="16838" w:orient="portrait"/>
          <w:cols w:equalWidth="0" w:num="1">
            <w:col w:w="11460"/>
          </w:cols>
          <w:pgMar w:left="240" w:top="584" w:right="19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earn-out milestone liability for 2015:</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Non-cash charge from the adjustment for the change in fair value included in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29210</wp:posOffset>
            </wp:positionV>
            <wp:extent cx="579755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June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all warrant activity for the six months ended June 30, 2015: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41763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763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1460" w:hanging="735"/>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13,663,710</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241,528</w:t>
      </w:r>
    </w:p>
    <w:p>
      <w:pPr>
        <w:spacing w:after="0" w:line="9" w:lineRule="exact"/>
        <w:rPr>
          <w:sz w:val="20"/>
          <w:szCs w:val="20"/>
          <w:color w:val="auto"/>
        </w:rPr>
      </w:pPr>
    </w:p>
    <w:p>
      <w:pPr>
        <w:ind w:left="1460" w:hanging="735"/>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13,905,238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-130810</wp:posOffset>
            </wp:positionV>
            <wp:extent cx="9861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w w:val="91"/>
              </w:rPr>
              <w:t>Number of</w:t>
            </w: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Warrants</w:t>
            </w: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Average</w:t>
            </w:r>
          </w:p>
        </w:tc>
      </w:tr>
      <w:tr>
        <w:trPr>
          <w:trHeight w:val="234"/>
        </w:trPr>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Issued</w:t>
            </w: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Exercise Price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-8255</wp:posOffset>
            </wp:positionV>
            <wp:extent cx="10547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640"/>
            <w:col w:w="3540"/>
          </w:cols>
          <w:pgMar w:left="240" w:top="584" w:right="199" w:bottom="1440" w:gutter="0" w:footer="0" w:header="0"/>
          <w:type w:val="continuous"/>
        </w:sectPr>
      </w:pPr>
    </w:p>
    <w:p>
      <w:pPr>
        <w:spacing w:after="0" w:line="1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2014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5,069,815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r>
      <w:tr>
        <w:trPr>
          <w:trHeight w:val="216"/>
        </w:trPr>
        <w:tc>
          <w:tcPr>
            <w:tcW w:w="6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during the six months ended June 30, 2015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16"/>
        </w:trPr>
        <w:tc>
          <w:tcPr>
            <w:tcW w:w="6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Warrants expired during the six months ended June 30, 2015</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(1,125,140)</w:t>
            </w:r>
          </w:p>
        </w:tc>
        <w:tc>
          <w:tcPr>
            <w:tcW w:w="7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r>
      <w:tr>
        <w:trPr>
          <w:trHeight w:val="210"/>
        </w:trPr>
        <w:tc>
          <w:tcPr>
            <w:tcW w:w="6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Warrants outstanding at June 30, 2015</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5,894,675</w:t>
            </w: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jc w:val="right"/>
              <w:ind w:right="5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6.37</w:t>
            </w:r>
          </w:p>
        </w:tc>
      </w:tr>
      <w:tr>
        <w:trPr>
          <w:trHeight w:val="20"/>
        </w:trPr>
        <w:tc>
          <w:tcPr>
            <w:tcW w:w="66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7"/>
        </w:trPr>
        <w:tc>
          <w:tcPr>
            <w:tcW w:w="66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Aggregate intrinsic value of outstanding warrants at June 30, 2015</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7"/>
        </w:trPr>
        <w:tc>
          <w:tcPr>
            <w:tcW w:w="66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Weighted average remaining contractual terms (in years)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In September 2009, the Company closed a registered direct offering with a select group of institutional investors that raised gross proceeds of $7.1 million and net proceeds of $6.3 million. In connection with this registered direct offering, the Company issued 448,478 shares of its common stock and warrants to purchase 224,239 shares of common stock. On March 31, 2015, all unexercised warrants associated with this registered direct offering expired. As discussed in Note 10, the Series B warrants to purchase 900,901 shares of common stock issued in connection with the January 2014 Offering expired in January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 Liability</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December 31, 2014, the Company recorded a common stock warrant liability of $275,008. The fair value of the warrants associated with the September 2009 registered direct offering at December 31, 2014 and the warrants associated with the Hercules loan, as more fully described in Note 9, at December 31, 2014 was calculated using the Black-Scholes option-pricing model with the following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0.04 - 1.66%</w:t>
            </w:r>
          </w:p>
        </w:tc>
        <w:tc>
          <w:tcPr>
            <w:tcW w:w="118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Expected volatility</w:t>
            </w:r>
          </w:p>
        </w:tc>
        <w:tc>
          <w:tcPr>
            <w:tcW w:w="6580" w:type="dxa"/>
            <w:vAlign w:val="bottom"/>
            <w:gridSpan w:val="3"/>
          </w:tcPr>
          <w:p>
            <w:pPr>
              <w:jc w:val="right"/>
              <w:ind w:right="40"/>
              <w:spacing w:after="0"/>
              <w:rPr>
                <w:sz w:val="20"/>
                <w:szCs w:val="20"/>
                <w:color w:val="auto"/>
              </w:rPr>
            </w:pPr>
            <w:r>
              <w:rPr>
                <w:rFonts w:ascii="Arial" w:cs="Arial" w:eastAsia="Arial" w:hAnsi="Arial"/>
                <w:sz w:val="18"/>
                <w:szCs w:val="18"/>
                <w:color w:val="auto"/>
              </w:rPr>
              <w:t>40.9- 98.35%</w:t>
            </w:r>
          </w:p>
        </w:tc>
        <w:tc>
          <w:tcPr>
            <w:tcW w:w="11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6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0.25 -3.9</w:t>
            </w:r>
          </w:p>
        </w:tc>
        <w:tc>
          <w:tcPr>
            <w:tcW w:w="118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658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c>
          <w:tcPr>
            <w:tcW w:w="11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1180" w:type="dxa"/>
            <w:vAlign w:val="bottom"/>
          </w:tcPr>
          <w:p>
            <w:pPr>
              <w:spacing w:after="0"/>
              <w:rPr>
                <w:sz w:val="18"/>
                <w:szCs w:val="18"/>
                <w:color w:val="auto"/>
              </w:rPr>
            </w:pPr>
          </w:p>
        </w:tc>
      </w:tr>
      <w:tr>
        <w:trPr>
          <w:trHeight w:val="675"/>
        </w:trPr>
        <w:tc>
          <w:tcPr>
            <w:tcW w:w="3700" w:type="dxa"/>
            <w:vAlign w:val="bottom"/>
          </w:tcPr>
          <w:p>
            <w:pPr>
              <w:spacing w:after="0"/>
              <w:rPr>
                <w:sz w:val="24"/>
                <w:szCs w:val="24"/>
                <w:color w:val="auto"/>
              </w:rPr>
            </w:pPr>
          </w:p>
        </w:tc>
        <w:tc>
          <w:tcPr>
            <w:tcW w:w="4880" w:type="dxa"/>
            <w:vAlign w:val="bottom"/>
          </w:tcPr>
          <w:p>
            <w:pPr>
              <w:jc w:val="right"/>
              <w:ind w:right="2690"/>
              <w:spacing w:after="0"/>
              <w:rPr>
                <w:sz w:val="20"/>
                <w:szCs w:val="20"/>
                <w:color w:val="auto"/>
              </w:rPr>
            </w:pPr>
            <w:r>
              <w:rPr>
                <w:rFonts w:ascii="Arial" w:cs="Arial" w:eastAsia="Arial" w:hAnsi="Arial"/>
                <w:sz w:val="18"/>
                <w:szCs w:val="18"/>
                <w:color w:val="auto"/>
              </w:rPr>
              <w:t>19</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37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3700" w:type="dxa"/>
            <w:vAlign w:val="bottom"/>
            <w:shd w:val="clear" w:color="auto" w:fill="808080"/>
          </w:tcPr>
          <w:p>
            <w:pPr>
              <w:spacing w:after="0"/>
              <w:rPr>
                <w:sz w:val="5"/>
                <w:szCs w:val="5"/>
                <w:color w:val="auto"/>
              </w:rPr>
            </w:pPr>
          </w:p>
        </w:tc>
        <w:tc>
          <w:tcPr>
            <w:tcW w:w="488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type w:val="continuous"/>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 xml:space="preserve">Under the terms of the warrants associated with the September 2009 registered direct offering, upon certain transactions, including a merger, tender offer or sale of all or substantially all of the assets of the Company, each warrant holder could have elected to receive a cash payment in exchange for the warrant, in an amount determined by application of the Black-Scholes option valuation model. Accordingly, pursuant to ASC 815.40, </w:t>
      </w:r>
      <w:r>
        <w:rPr>
          <w:rFonts w:ascii="Arial" w:cs="Arial" w:eastAsia="Arial" w:hAnsi="Arial"/>
          <w:sz w:val="18"/>
          <w:szCs w:val="18"/>
          <w:i w:val="1"/>
          <w:iCs w:val="1"/>
          <w:color w:val="auto"/>
        </w:rPr>
        <w:t>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 Contracts in Entity’s Own Equity, </w:t>
      </w:r>
      <w:r>
        <w:rPr>
          <w:rFonts w:ascii="Arial" w:cs="Arial" w:eastAsia="Arial" w:hAnsi="Arial"/>
          <w:sz w:val="18"/>
          <w:szCs w:val="18"/>
          <w:color w:val="auto"/>
        </w:rPr>
        <w:t>the warrants were recorded as a liability and marked to market each period through the Statement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other income or expense. At the end of each subsequent quarter, the Company revalued the fair value of the warrants and the change in fair value was recorded as a change to the warrant liability and the difference was recorded through the Statement of Operations in other income or expense. The warrants expired in March 2015.</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9, the Company concluded in the second quarter of 2015 the warrant provision which required the exercise price of the warrant to be adjusted downward to a lower price at which the Company would sell and issue shares in a financing for cash during the one-year anniversary of the warrant had expired. Therefore, the Company valued the warrant at $336,254 immediately prior to this event using a risk-free interest rate of 1.98%, expected volatility of 99.71%, an expected remaining life of 4 years and no forfeiture nor dividends expected. The Company recorded non-cash charges to net income of $18,018 and $61,246 in the second quarter and year to date periods of 2015, respectively, and reduced the liability to zero and increased equity by $336,254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common stock warrant liability for the six month period ended June 30, 2015:</w:t>
      </w:r>
    </w:p>
    <w:p>
      <w:pPr>
        <w:sectPr>
          <w:pgSz w:w="11900" w:h="16838" w:orient="portrait"/>
          <w:cols w:equalWidth="0" w:num="1">
            <w:col w:w="11420"/>
          </w:cols>
          <w:pgMar w:left="240" w:top="58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as of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7768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3" w:lineRule="exact"/>
        <w:rPr>
          <w:sz w:val="20"/>
          <w:szCs w:val="20"/>
          <w:color w:val="auto"/>
        </w:rPr>
      </w:pPr>
    </w:p>
    <w:p>
      <w:pPr>
        <w:ind w:right="3219"/>
        <w:spacing w:after="0" w:line="273" w:lineRule="auto"/>
        <w:rPr>
          <w:sz w:val="20"/>
          <w:szCs w:val="20"/>
          <w:color w:val="auto"/>
        </w:rPr>
      </w:pPr>
      <w:r>
        <w:rPr>
          <w:rFonts w:ascii="Arial" w:cs="Arial" w:eastAsia="Arial" w:hAnsi="Arial"/>
          <w:sz w:val="18"/>
          <w:szCs w:val="18"/>
          <w:color w:val="auto"/>
        </w:rPr>
        <w:t>Loss from the adjustment for the change in fair value included in net loss Fair value of warrants reclassified as equity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687768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Ending balance as of June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Contingent Liabilities and Commitments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921" w:hanging="921"/>
        <w:spacing w:after="0"/>
        <w:tabs>
          <w:tab w:leader="none" w:pos="921" w:val="left"/>
        </w:tabs>
        <w:numPr>
          <w:ilvl w:val="0"/>
          <w:numId w:val="9"/>
        </w:numPr>
        <w:rPr>
          <w:rFonts w:ascii="Arial" w:cs="Arial" w:eastAsia="Arial" w:hAnsi="Arial"/>
          <w:sz w:val="18"/>
          <w:szCs w:val="18"/>
          <w:color w:val="auto"/>
        </w:rPr>
      </w:pPr>
      <w:r>
        <w:rPr>
          <w:rFonts w:ascii="Arial" w:cs="Arial" w:eastAsia="Arial" w:hAnsi="Arial"/>
          <w:sz w:val="18"/>
          <w:szCs w:val="18"/>
          <w:color w:val="auto"/>
        </w:rPr>
        <w:t>275,008</w:t>
      </w:r>
    </w:p>
    <w:p>
      <w:pPr>
        <w:spacing w:after="0" w:line="23" w:lineRule="exact"/>
        <w:rPr>
          <w:rFonts w:ascii="Arial" w:cs="Arial" w:eastAsia="Arial" w:hAnsi="Arial"/>
          <w:sz w:val="18"/>
          <w:szCs w:val="18"/>
          <w:color w:val="auto"/>
        </w:rPr>
      </w:pPr>
    </w:p>
    <w:p>
      <w:pPr>
        <w:ind w:left="1021"/>
        <w:spacing w:after="0"/>
        <w:rPr>
          <w:rFonts w:ascii="Arial" w:cs="Arial" w:eastAsia="Arial" w:hAnsi="Arial"/>
          <w:sz w:val="18"/>
          <w:szCs w:val="18"/>
          <w:color w:val="auto"/>
        </w:rPr>
      </w:pPr>
      <w:r>
        <w:rPr>
          <w:rFonts w:ascii="Arial" w:cs="Arial" w:eastAsia="Arial" w:hAnsi="Arial"/>
          <w:sz w:val="18"/>
          <w:szCs w:val="18"/>
          <w:color w:val="auto"/>
        </w:rPr>
        <w:t>61,246</w:t>
      </w:r>
    </w:p>
    <w:p>
      <w:pPr>
        <w:spacing w:after="0" w:line="9"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(336,254)</w:t>
      </w:r>
    </w:p>
    <w:p>
      <w:pPr>
        <w:spacing w:after="0" w:line="9" w:lineRule="exact"/>
        <w:rPr>
          <w:sz w:val="20"/>
          <w:szCs w:val="20"/>
          <w:color w:val="auto"/>
        </w:rPr>
      </w:pPr>
    </w:p>
    <w:p>
      <w:pPr>
        <w:ind w:left="1381"/>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07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607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667" w:lineRule="exact"/>
        <w:rPr>
          <w:sz w:val="20"/>
          <w:szCs w:val="20"/>
          <w:color w:val="auto"/>
        </w:rPr>
      </w:pPr>
    </w:p>
    <w:p>
      <w:pPr>
        <w:sectPr>
          <w:pgSz w:w="11900" w:h="16838" w:orient="portrait"/>
          <w:cols w:equalWidth="0" w:num="2">
            <w:col w:w="8499" w:space="720"/>
            <w:col w:w="2201"/>
          </w:cols>
          <w:pgMar w:left="240" w:top="584" w:right="239" w:bottom="1440" w:gutter="0" w:footer="0" w:header="0"/>
          <w:type w:val="continuous"/>
        </w:sectPr>
      </w:pP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2011, the Company, as a tenant, and a landlord executed a lease (the Lease) for a 10,870 square foot premises located in Lawrenceville, New Jersey. In October 2011, the Company relocated its offices to Lawrenceville, New Jersey from Columbia, Maryland. The Lease has a term of 66 months and provides for 6 months of free rent; with the first monthly rent payment of approximately $23,000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term of the Lease has expired. In connection with two $50,000 reductions of the standby letter of credit in April 2013 and 2014, the Company reduced the escrow deposit by $50,000 each time. The Company received the third and final reduction in April 2015.</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EGEN Asset Purchase Agreement in June 2014, the Company assumed the existing lease with another landlord for an 11,500 square foot premises located in Huntsville Alabama. This lease has a remaining term of 32 months with monthly rent payments of approximately $23,200.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Technology Development and Licensing Agreements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 and the Company accrued $685,787 for the aggregate development costs and fees associated with these batches in March 2015. This amount was paid in April 2015.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23" w:name="page24"/>
    <w:bookmarkEnd w:id="23"/>
    <w:p>
      <w:pPr>
        <w:jc w:val="both"/>
        <w:spacing w:after="0" w:line="253"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 million to support our development of ThermoDox®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based on findings of the ongoing post-study analysis of the HEAT Study data.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940" w:right="40" w:hanging="392"/>
        <w:spacing w:after="0" w:line="277" w:lineRule="auto"/>
        <w:tabs>
          <w:tab w:leader="none" w:pos="9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940" w:right="40" w:hanging="392"/>
        <w:spacing w:after="0" w:line="277" w:lineRule="auto"/>
        <w:tabs>
          <w:tab w:leader="none" w:pos="9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940" w:right="40" w:hanging="392"/>
        <w:spacing w:after="0" w:line="277" w:lineRule="auto"/>
        <w:tabs>
          <w:tab w:leader="none" w:pos="9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Development, Product Supply and Commercialization Agreement with Yakult Honsha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fourth quarter of 2008, the Company entered into a Development, Product Supply and Commercialization Agreement with Yakult Honsha Co. LTD (Yakult) under which Yakult was granted the exclusive right to commercialize and market ThermoDox® for the Japanese market. We were paid a $2.5 million up-front licensing fee and we have the potential to receive additional payments from Yakult upon receipt of marketing approval by the Japanese Ministry of Health, Labor and Welfare as well as upon the achievement of certain levels of sales and approval for new indications. We will receive double digit escalating royalties on the sale ThermoDox® in Japan, when and if any such sales occur. We also will be the exclusive supplier of ThermoDox® to Yakult.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2011, the Company amended its Development, Product Supply and Commercialization Agreement with Yakult to provide for up to $4.0 million in an accelerated partial payment to the Company of a future drug approval milestone, which included $2.0 million paid to the Company upon the closing of the preferred equity financing the Company conducted in January 2011 and an additional $2.0 million conditioned upon the resumption of enrollment of Japanese patients in the Japan cohort of the HEAT Study. In consideration of these accelerated milestone payments from Yakult, the Company agreed to reduce future drug approval milestone payments by approximately 40%.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 and Distribution Agreement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January 20, 2015 the Company announced it had signed a license and distribution agreement with myTomorrows to implement an Early Access Program for ThermoDox®, its proprietary heat-activated liposomal encapsulation of doxorubicin, in all countries of the European Union (EU) territory plus Switzerland for the treatment of patients with recurrent chest wall (RCW) breast cancer.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76" w:lineRule="auto"/>
        <w:rPr>
          <w:sz w:val="20"/>
          <w:szCs w:val="20"/>
          <w:color w:val="auto"/>
        </w:rPr>
      </w:pPr>
      <w:r>
        <w:rPr>
          <w:rFonts w:ascii="Arial" w:cs="Arial" w:eastAsia="Arial" w:hAnsi="Arial"/>
          <w:sz w:val="17"/>
          <w:szCs w:val="17"/>
          <w:color w:val="auto"/>
        </w:rPr>
        <w:t>RCW breast cancer is difficult to treat and has a poor prognosis with a significant impact on a patient's quality of life. Patients with highly resistant tumors found on the chest wall often see their cancer progress despite previous treatment attempts including chemotherapy, radiation therapy and hormone therapy. There are approximately 25,000 to 35,000 incidence of RCW breast cancer in the EU alone and thermal therapy is a well-accepted strategy for treating patients. Recent findings from two Phase I studies and an ongoing open label Phase II study indicate that when combined with thermal therapy, ThermoDox® can demonstrate significant overall response rates and tumor control in post mastectomy, refractory patients.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Early Access Programs (EAP) allow biopharmaceutical companies to provide eligible patients with ethical access to investigational medicines for unmet medical needs within the scope of the existing early access legislation. Access is provided in response to physician requests in a fully compliant manner, where no alternative treatment options are available to these patients. Celsion will provide ThermoDox® to centers of excellence in the EU and Switzerland through its Early Access Program with myTomorrows, at prices that are comparable to chemotherapeutics used to treat this and other aggressive form of cancer.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our Annual Report on Form 10-K for the fiscal year ended December 31, 2014 filed on March 12, 2015 with the Securities and Exchange Commission,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necessarily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Celsion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a Phase III clinical trial for the treatment of primary liver cancer (the OPTIMA Study) and a Phase II clinical trial for the treatment of recurrent chest wall breast cancer (the DIGNITY Study). Our pipeline also includes GEN-1 (formerly known as EGEN-001),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side-effects common to cancer treatments.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lead product ThermoDox® is being evaluated in a Phase III clinical trial for primary liver cancer (the OPTIMA study) which was initiated in the first half of 2014 and a Phase II clinical trial for recurrent chest wall breast cancer (the DIGNITY Studies). ThermoDox® is a liposomal encapsulation of doxorubicin, an approved and frequently used oncology drug for the treatment of a wide range of cancers. Localized heat at mild hyperthermia temperatures (greater than 39.5° Celsius) releases the encapsulated doxorubicin from the liposome enabling high concentrations of doxorubicin to be deposited preferentially in and around the targeted tumor.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The HEAT Study. </w:t>
      </w:r>
      <w:r>
        <w:rPr>
          <w:rFonts w:ascii="Arial" w:cs="Arial" w:eastAsia="Arial" w:hAnsi="Arial"/>
          <w:sz w:val="17"/>
          <w:szCs w:val="17"/>
          <w:color w:val="auto"/>
        </w:rPr>
        <w:t>On January 31, 2013, we announced that ThermoDox® in combination with radio frequency ablation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of Progression Free Survival (PFS) for the 701 patient clinical trial in patients with hepatocellular carcinoma (HCC), also known as primary liver cancer (the HEAT Study). Specifically, we determined, after conferring with the HEAT Study independent Data Monitoring Committee (iDMC), that the HEAT study did not meet the goal of demonstrating persuasive evidence of clinical effectiveness that could form the basis for regulatory approval. In the trial, ThermoDox® was well-tolerated with no unexpected serious adverse events. Following the announcement of the HEAT Study results, we continue to follow patients for overall survival (OS), the secondary endpoint of the HEAT Study, on a quarterly basis. We have conducted a comprehensive analysis of the data from the HEAT Study to assess the future strategic value of ThermoDox®. As part of this analysis, we also evaluated our product pipeline and research and development priorities. In April 2013, we announced the deferral of expenses associated with the Company’s Phase II study of ThermoDox® in combination with RFA for the treatment of colorectal liver metastases.</w:t>
      </w:r>
    </w:p>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data from the HEAT Study post-hoc analysis suggest that ThermoDox® may substantially improve overall survival, when compared to the control group, in patients if their lesions undergo a 45 minute RFA procedure standardized for a lesion greater than 3 cm in diameter. Data from seven OS sweeps have been conducted since the top line PFS data from the HEAT Study were announced in January 2013, with each data set showing clinical benefit with progressive improvement in statistical significance. The most recent post-hoc OS analysis data from the HEAT Study as of July 15, 2015 (announced on August 6, 2015) demonstrated that in a large, well bounded, subgroup of patients (n=285, 41% of the study patients), the combination of ThermoDox® and optimized RFA provided a 58% improvement in OS compared to optimized RFA alone. The Hazard Ratio at this latest quarterly OS analysis is 0.63 (95% CI 0.43 – 0.93) with a p-value of 0.0198. Median overall survival for the ThermoDox® group has been reached which translates into a 25.4 month (2.1 year) survival benefit over the optimized RFA only group (79 months for the ThermoDox® plus optimized RFA group versus 53.6 months for the optimized RFA only group). These data continue to support the protocol for the Phase III OPTIMA Study, which is evaluating ThermoDox® in combination with optimized RFA, which will be standardized to a minimum of 45 minutes across all investigators and clinical sites for treating lesions 3 to 7 centimeters, versus standardized RFA alone. The study is expected to enroll up to 550 patients globally in up to 75 clinical sites in the United States, Europe, China and Asia Pacific.</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Data from the HEAT Study post-hoc analysis have been presented at multiple scientific and medical conferences in 2013 and 2014 by key HEAT Study investigators and leading liver cancer experts. The presentations include:</w:t>
      </w:r>
    </w:p>
    <w:p>
      <w:pPr>
        <w:spacing w:after="0" w:line="170" w:lineRule="exact"/>
        <w:rPr>
          <w:sz w:val="20"/>
          <w:szCs w:val="20"/>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World Conference on Interventional Oncology in May 2013</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European Conference on Interventional Oncology in June 2013 and April 2014</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Liver Cancer Association Annual Conference in September 2013 and 2014</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American Society of Clinical Oncology 50 th Annual Meeting in June 2014</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completed computational modeling with supplementary preclinical animal studies supporting the relationship between heating duration and clinical outcomes.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The OPTIMA Study. </w:t>
      </w:r>
      <w:r>
        <w:rPr>
          <w:rFonts w:ascii="Arial" w:cs="Arial" w:eastAsia="Arial" w:hAnsi="Arial"/>
          <w:sz w:val="17"/>
          <w:szCs w:val="17"/>
          <w:color w:val="auto"/>
        </w:rPr>
        <w:t>On February 24, 2014, we announced that the U.S. Food and Drug Administration (FDA), after its customary 30 day review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without comment, subject to compliance with regulatory standards, our pivotal, double-blind, placebo-controlled Phase III trial of ThermoDox®, our proprietary heat-activated liposomal encapsulation of doxorubicin in combination with RFA in primary liver cancer, also known as HCC (the OPTIMA Study). The OPTIMA Study trial design is based on the comprehensive analysis of data from the HEAT study, which, as described previously, demonstrated that treatment with ThermoDox® resulted in an approximate 58% improvement in overall survival in a large number of HCC patients that received an optimized RFA treatment for longer than 45 minutes. Designed with extensive input from globally recognized HCC researchers and clinicians and, after formal written consultation with the FDA, the OPTIMA Study was launched in the first half of 2014. The OPTIMA Study is expected to enroll up to 550 patients globally at up to 100 sites in the United States, Europe, China and elsewhere in the Asia Pacific region, and will evaluate ThermoDox® in combination with standardized RFA, which will require a minimum of 45 minutes across all investigators and clinical sites for treating lesions 3 to 7 centimeters, versus standardized RFA alone. The primary endpoint for the trial is overall survival, and the secondary endpoints for the trial are PFS and Safety. The statistical plan calls for two interim efficacy analyses by an independent Data Monitoring Committee.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Company has met with the China State Food and Drug Administration (CHINA FDA) to discuss the OPTIMA Phase III Study including minimum patient enrollment requirements supporting the registration of ThermoDox® in China. Based on those discussions, we have submitted an application for accelerated approval of the OPTIMA Study in China. We also filed a request for a Voluntary Harmonization Procedure (VHP) in Europe, which provides for the assessment of multinational clinical trial applications across several European countries, including Germany, Italy and Spain. Our request for a VHP in Europe was approved on October 23, 2014.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The DIGNITY Study. </w:t>
      </w:r>
      <w:r>
        <w:rPr>
          <w:rFonts w:ascii="Arial" w:cs="Arial" w:eastAsia="Arial" w:hAnsi="Arial"/>
          <w:sz w:val="17"/>
          <w:szCs w:val="17"/>
          <w:color w:val="auto"/>
        </w:rPr>
        <w:t>On July 6, 2015 we announced positive interim data from the DIGNITY Trial of ThermoDox® in recurrent chest wall (RCW) breast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cancer. The trial is designed to enroll up to 20 patients at five clinical sites in the United States and is evaluating ThermoDox® in connection with mild hyperthermia. Of the 17 patients enrolled and treated in the DIGNITY Study, 13 were eligible for evaluation of efficacy. Based on data available to date, every patient experienced a clinical benefit of their highly refractory disease with a local response rate of 69% observed in the 13 evaluable patients, notably five complete responses, four partial responses and four patients with stable disease. The Company remains on track to complete enrollment in the study in the third quarter of 2015. These data are consistent with the previously reported Phase 1 data for ThermoDox® plus hyperthermia in RCW breast cancer, including combined clinical data from the Company's Phase 1 DIGNITY Study and a Duke University sponsored Phase 1 trial of ThermoDox®. The two similarly designed studies enrolled patients with highly resistant tumors found on the chest wall and who had progressed on previous therapies. There were 29 patients treated in the two trials, including 11 patients in the DIGNITY study and 18 patients in the Duke study. Of the 29 patients treated, 23 were eligible for evaluation of efficacy. A local response rate of over 60% was reported in 14 of the 23 evaluable patients, with five complete responses and nine partial responses.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(EGEN), pursuant to an Asset Purchase Agreement. CLSN Laboratories, Inc., a Delaware corporation and a wholly-owned subsidiary of ours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consideration of the acquisition included an initial payment of approximately $3.0 million in cash plus 2.7 million shares of Celsion’s common stock. Additional consideration included contingent value rights totaling $30.4 million, payable in cash, shares of Celsion common stock or a combination thereof, at Celsion’s option, upon achievement of three major milestone events as follows:</w:t>
      </w:r>
    </w:p>
    <w:p>
      <w:pPr>
        <w:spacing w:after="0" w:line="166" w:lineRule="exact"/>
        <w:rPr>
          <w:sz w:val="20"/>
          <w:szCs w:val="20"/>
          <w:color w:val="auto"/>
        </w:rPr>
      </w:pPr>
    </w:p>
    <w:p>
      <w:pPr>
        <w:ind w:left="920" w:right="340" w:hanging="331"/>
        <w:spacing w:after="0" w:line="277"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920" w:right="20" w:hanging="331"/>
        <w:spacing w:after="0" w:line="277"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 and</w:t>
      </w:r>
    </w:p>
    <w:p>
      <w:pPr>
        <w:spacing w:after="0" w:line="147" w:lineRule="exact"/>
        <w:rPr>
          <w:rFonts w:ascii="Arial" w:cs="Arial" w:eastAsia="Arial" w:hAnsi="Arial"/>
          <w:sz w:val="18"/>
          <w:szCs w:val="18"/>
          <w:color w:val="auto"/>
        </w:rPr>
      </w:pPr>
    </w:p>
    <w:p>
      <w:pPr>
        <w:ind w:left="920" w:hanging="331"/>
        <w:spacing w:after="0" w:line="204"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development milestones relating to the TheraSilence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acquired from EGEN in the acquisition.</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acquisition, we purchased GEN-1 (formerly known as EGEN-001),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 In February 2015, we announced that the FDA accepted, without comment, the Phase I dose-escalation clinical trial of GEN-1 in combination with the standard of care in neo-adjuvant ovarian cancer. The clinical trial will identify a safe, tolerable and potentially therapeutically active dose of GEN-1 while maximizing an immune response. The trial is designed to enroll three to six patients per dose level and will evaluate safety and efficacy and attempt to define an optimal dose to carry forward into a Phase II trial. We expect to initiate enrollment for the trial in the second half of 2015 at five to six U.S. clinical centers.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9, 2014, Celsion borrowed an additional $5 million pursuant to a certain Loan and Security Agreement dated as of November 25, 2013, by and between Celsion and Hercules Technology Growth Capital, Inc. Celsion used the loan proceeds to pay the upfront cash payment to EGEN at closing and certain transaction costs incurred in connection with the acquisition.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312" w:lineRule="auto"/>
        <w:rPr>
          <w:sz w:val="20"/>
          <w:szCs w:val="20"/>
          <w:color w:val="auto"/>
        </w:rPr>
      </w:pPr>
      <w:r>
        <w:rPr>
          <w:rFonts w:ascii="Arial" w:cs="Arial" w:eastAsia="Arial" w:hAnsi="Arial"/>
          <w:sz w:val="16"/>
          <w:szCs w:val="16"/>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 The preliminary purchase price exceeds the estimated fair value of the net assets acquired by approximately $2.0 million which was recorded as goodwill.</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acquisition method of accounting, the total purchase price is allocated to EGEN’s net tangible and intangible assets and liabilities based on their estimated fair values as of the acquisition date. There were no subsequent adjustments to provisional amounts in finalizing the purchase price allocation of acquisition of substantially all of the assets of EGEN on June 20, 2014. The following table summarizes the fair values of these assets acquired and liabilities assumed related to the acquisition.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6"/>
        </w:trPr>
        <w:tc>
          <w:tcPr>
            <w:tcW w:w="9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840" w:type="dxa"/>
            <w:vAlign w:val="bottom"/>
          </w:tcPr>
          <w:p>
            <w:pPr>
              <w:ind w:left="78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10"/>
        </w:trPr>
        <w:tc>
          <w:tcPr>
            <w:tcW w:w="9840" w:type="dxa"/>
            <w:vAlign w:val="bottom"/>
            <w:tcBorders>
              <w:top w:val="single" w:sz="8" w:color="CCEEFF"/>
            </w:tcBorders>
          </w:tcPr>
          <w:p>
            <w:pPr>
              <w:ind w:left="780"/>
              <w:spacing w:after="0"/>
              <w:rPr>
                <w:sz w:val="20"/>
                <w:szCs w:val="20"/>
                <w:color w:val="auto"/>
              </w:rPr>
            </w:pPr>
            <w:r>
              <w:rPr>
                <w:rFonts w:ascii="Arial" w:cs="Arial" w:eastAsia="Arial" w:hAnsi="Arial"/>
                <w:sz w:val="18"/>
                <w:szCs w:val="18"/>
                <w:color w:val="auto"/>
              </w:rPr>
              <w:t>Net assets acquired</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9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Plus Avastin® Trial. </w:t>
      </w:r>
      <w:r>
        <w:rPr>
          <w:rFonts w:ascii="Arial" w:cs="Arial" w:eastAsia="Arial" w:hAnsi="Arial"/>
          <w:sz w:val="18"/>
          <w:szCs w:val="18"/>
          <w:color w:val="auto"/>
        </w:rPr>
        <w:t>On April 29, 2015, we announced the expansion of our ovarian cancer development program to include a Phase I dose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escalating trial to evaluate GEN-1 in combination with Avastin® and Doxil® in platinum-resistant ovarian cancer patients. Expecting enrollment to begin in the first half of 2016, the new trial is supported by preclinical studies demonstrating that the combination of GEN-1 with Avastin® may result in significant clinical benefit with a favorable safety profile.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Early Access Program. </w:t>
      </w:r>
      <w:r>
        <w:rPr>
          <w:rFonts w:ascii="Arial" w:cs="Arial" w:eastAsia="Arial" w:hAnsi="Arial"/>
          <w:sz w:val="17"/>
          <w:szCs w:val="17"/>
          <w:color w:val="auto"/>
        </w:rPr>
        <w:t>On January 13, 2015, we entered into an Early Access Agreement with Impatients N.V., a Netherlands company (Impatients),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which Impatients will develop and execute through its brand myTomorrows an early access program for ThermoDox® in all countries of the European Union territory, Iceland, Liechtenstein, Norway and Switzerland (the Territory) for the treatment of patients with RCW breast cancer. Under the early access program, Impatients will engage in activities to secure authorization, exemption or waiver from regulatory authorities for patient use of ThermoDox® that may otherwise be subject to approvals from such regulatory authorities before the sale and distribution of ThermoDox® in the relevant territories. We will be responsible for the manufacture and supply of quantities of ThermoDox® to Impatients for use in the early access program and Impatients will distribute and sell ThermoDox® pursuant to such authorization, exemptions or waivers.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Early Access Agreement, we granted to Impatients, specifically for the treatment of RCW breast cancer in the Territory, an exclusive, royalty-free right to perform the early access program activities, reference regulatory documentation and approvals that we own, and use our trademarks relating to ThermoDox®. In addition, we granted to Impatients an option to negotiate an exclusive license to distribute ThermoDox® in the Territory after ThermoDox® receives regulatory approval in a country within the Territory.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consideration for Impatients’ services to implement the early access program and in the event we receive regulatory authorization to sell, distribute or market ThermoDox® in the Territory, we will be obligated to pay Impatients, subject to a maximum cap, a low single-digit royalty of net sales of ThermoDox® in the countries where such regulatory authorization has been obtained. The Early Access Agreement has a term of five years, with automatic renewals for consecutive two-year periods, unless earlier terminated by either party with notice or in the event of material breach, bankruptcy, or insolvency without notice.</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the extent that we are dependent on the success of one or a few product candidates, results such as those announced in relation to the HEAT Study on January 31, 2013 will have a more significant impact on our financial prospects, financial condition and market value. As demonstrated by the HEAT Study results in January 2013,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results of operations, financial condition and market value.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Funding Overview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support our research and development, we have raised gross proceeds of approximately $118 million in equity financings and warrant and option exercises in the years 2009 through 2014 and thus far in 2015.</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27, 2015, the Company entered into a Securities Purchase Agreement with certain investors, pursuant to which the Company sold and issued on June 1, 2015, in a registered direct offering (the May 2015 Offering Offering), an aggregate of 3,000,000 shares of common stock at an offering price of $2.675 per share for gross proceeds of $8.0 million before the deduction of the placement agent fee and offering expenses. In a concurrent private placement closed on June 1, 2015, the Company issued to the investors in the May 2015 Offering certain warrants (the May 2015 Warrants) at an exercise price of $2.60 per share. The May 2015 Warrants are exercisable to purchase 0.65 share of common stock for each share of common stock purchased in the May 2015 Offering for an aggregate of 1,950,000 shares of common stock. Each May 2015 Warrant will be exercisable on the date of its issuance until the five-year anniversary of the date of issuance.</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we entered into a loan and security agreement with Hercules Technology Growth Capital, Inc. (Hercules) which permits us to borrow up to $20 million in multiple tranches (the Hercules Credit Agreement). We currently have up to $10 million remaining under this facility. We drew the first tranche of $5 million upon closing of the Hercules Credit Agreement in November 2013 and used approximately $4.0 million of the proceeds to repay the then outstanding obligations under our former loan agreement with Oxford Finance LLC and Horizon Technology Finance Corporation. On June 9, 2014, we closed the second $5 million tranche under the Hercules Credit Agreement and used the proceeds to fund the $3.1 million upfront cash payment associated with the acquisition of EGEN, as well as our transaction costs associated with that acquisition. Upon the closing of the second tranche, we had drawn down a total of $10 million under the Hercules Credit Agreement.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6, 2012, we entered into a long-term commercial supply agreement with Zhejiang Hisun Pharmaceutical Co. Ltd. (Hisun) for the production of ThermoDox® in mainland China, Hong Kong and Macau (the China territory). Hisun will be responsible for providing all of the technical and regulatory support services for the manufacture of ThermoDox® in the China territory and we will repay Hisun the related development costs and fees, which we expect to be approximately $2.0 million in total, commencing on the successful completion of three registrational batches of ThermoDox®. On January 18, 2013, we broadened our relationship with Hisun by entering into a technology development contract, pursuant to which Hisun paid us a non-refundable research and development fee of $5.0 million to support our development of ThermoDox® and we will provide research data and other technical support in relation to a regulatory filing by Hisun in China for approval of ThermoDox®. Following our announcement of the HEAT Study results on January 31, 2013, we and Hisun have agreed that the technology development contract entered into on January 18, 2013 will remain in effect while the parties continue to collaborate the next steps in relation to ThermoDox®, which include the continued subgroup analysis of the Chinese cohort of patients in the HEAT Study for primary liver cancer and other activities to further the development of ThermoDox® for the China territory.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we entered into a Memorandum of Understanding with Hisun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risks and uncertainties discussed in this Quarterly Report on Form 10-Q,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AND SIX MONTHS ENDED JUNE 30,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June 30, 2015, our net loss was $5.7 million compared to a net loss of $6.7 million for the same period of 2014. For the six months ended June 30, 2015, our net loss was $12.7 million compared to a net loss of $12.1 million for the same period of 2014. As of June 30, 2015, we had $30.8 million in cash and short-term investments including accrued interest from short term investments.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10"/>
          </w:tcPr>
          <w:p>
            <w:pPr>
              <w:jc w:val="right"/>
              <w:ind w:right="1090"/>
              <w:spacing w:after="0"/>
              <w:rPr>
                <w:sz w:val="20"/>
                <w:szCs w:val="20"/>
                <w:color w:val="auto"/>
              </w:rPr>
            </w:pPr>
            <w:r>
              <w:rPr>
                <w:rFonts w:ascii="Arial" w:cs="Arial" w:eastAsia="Arial" w:hAnsi="Arial"/>
                <w:sz w:val="18"/>
                <w:szCs w:val="18"/>
                <w:b w:val="1"/>
                <w:bCs w:val="1"/>
                <w:color w:val="auto"/>
                <w:w w:val="91"/>
              </w:rPr>
              <w:t>Three Months Ended June 30,</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right"/>
              <w:ind w:right="470"/>
              <w:spacing w:after="0" w:line="191" w:lineRule="exact"/>
              <w:rPr>
                <w:sz w:val="20"/>
                <w:szCs w:val="20"/>
                <w:color w:val="auto"/>
              </w:rPr>
            </w:pPr>
            <w:r>
              <w:rPr>
                <w:rFonts w:ascii="Arial" w:cs="Arial" w:eastAsia="Arial" w:hAnsi="Arial"/>
                <w:sz w:val="18"/>
                <w:szCs w:val="18"/>
                <w:b w:val="1"/>
                <w:bCs w:val="1"/>
                <w:color w:val="auto"/>
              </w:rPr>
              <w:t>Change</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6"/>
              </w:rPr>
              <w:t>Increase (Decrease)</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125</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3,077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491</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3,568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1,802</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(1,067)</w:t>
            </w:r>
          </w:p>
        </w:tc>
        <w:tc>
          <w:tcPr>
            <w:tcW w:w="6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18"/>
                <w:szCs w:val="18"/>
                <w:color w:val="auto"/>
              </w:rPr>
            </w:pPr>
          </w:p>
        </w:tc>
        <w:tc>
          <w:tcPr>
            <w:tcW w:w="15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(5,245)</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(6,413)</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jc w:val="right"/>
              <w:ind w:right="1090"/>
              <w:spacing w:after="0"/>
              <w:rPr>
                <w:sz w:val="20"/>
                <w:szCs w:val="20"/>
                <w:color w:val="auto"/>
              </w:rPr>
            </w:pPr>
            <w:r>
              <w:rPr>
                <w:rFonts w:ascii="Arial" w:cs="Arial" w:eastAsia="Arial" w:hAnsi="Arial"/>
                <w:sz w:val="18"/>
                <w:szCs w:val="18"/>
                <w:b w:val="1"/>
                <w:bCs w:val="1"/>
                <w:color w:val="auto"/>
                <w:w w:val="93"/>
              </w:rPr>
              <w:t>Six Months Ended June 30,</w:t>
            </w:r>
          </w:p>
        </w:tc>
        <w:tc>
          <w:tcPr>
            <w:tcW w:w="5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right"/>
              <w:ind w:right="430"/>
              <w:spacing w:after="0" w:line="191" w:lineRule="exact"/>
              <w:rPr>
                <w:sz w:val="20"/>
                <w:szCs w:val="20"/>
                <w:color w:val="auto"/>
              </w:rPr>
            </w:pPr>
            <w:r>
              <w:rPr>
                <w:rFonts w:ascii="Arial" w:cs="Arial" w:eastAsia="Arial" w:hAnsi="Arial"/>
                <w:sz w:val="18"/>
                <w:szCs w:val="18"/>
                <w:b w:val="1"/>
                <w:bCs w:val="1"/>
                <w:color w:val="auto"/>
              </w:rPr>
              <w:t>Change</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Increase (Decrease)</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820" w:type="dxa"/>
            <w:vAlign w:val="bottom"/>
            <w:gridSpan w:val="3"/>
          </w:tcPr>
          <w:p>
            <w:pPr>
              <w:spacing w:after="0"/>
              <w:rPr>
                <w:sz w:val="18"/>
                <w:szCs w:val="18"/>
                <w:color w:val="auto"/>
              </w:rPr>
            </w:pPr>
          </w:p>
        </w:tc>
        <w:tc>
          <w:tcPr>
            <w:tcW w:w="9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6,377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3,812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2,565</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8,074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6,059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(905)</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(1,067)</w:t>
            </w:r>
          </w:p>
        </w:tc>
        <w:tc>
          <w:tcPr>
            <w:tcW w:w="6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18"/>
                <w:szCs w:val="18"/>
                <w:color w:val="auto"/>
              </w:rPr>
            </w:pPr>
          </w:p>
        </w:tc>
        <w:tc>
          <w:tcPr>
            <w:tcW w:w="1820" w:type="dxa"/>
            <w:vAlign w:val="bottom"/>
            <w:gridSpan w:val="3"/>
          </w:tcPr>
          <w:p>
            <w:pPr>
              <w:spacing w:after="0"/>
              <w:rPr>
                <w:sz w:val="18"/>
                <w:szCs w:val="18"/>
                <w:color w:val="auto"/>
              </w:rPr>
            </w:pPr>
          </w:p>
        </w:tc>
        <w:tc>
          <w:tcPr>
            <w:tcW w:w="108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3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(11,658)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(11,615)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2015 and 2014</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$125,000 in each of the first and second quarters of 2015 and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(R&amp;D) expenses increased by $0.4 million to $3.6 million in the second quarter period of 2015 from $3.2 million in the same period of 2014. Costs associated with the OPTIMA Study were $0.7 million in the second quarter of 2015 compared to $0.9 million in the same period of 2014 when we initiated the OPTIMA Study. Study costs associated with the HEAT Study remained relatively unchanged in the second quarter of 2015 compared to the same period of 2014. The costs associated with the HEAT Study are expected to be minimal as we continue to follow patients for overall survival. Costs associated with our recurrent chest wall breast cancer clinical trial remained relatively unchanged at $0.1 million in each of the second quarters of 2015 and 2014. Other clinical costs were $0.6 million and $0.5 million in the second quarters of 2015 and 2014, respectively. Other R&amp;D costs related to preclinical operations and regulatory operations were $0.3 million and $0.4 million in the second quarters of 2015 and 2014, respectively. Costs associated with the production of clinical supplies of ThermoDox® to support the OPTIMA Study were $0.5 million in the second quarter of 2015 compared to $1.2 million in the same period of 2014.</w:t>
      </w:r>
    </w:p>
    <w:p>
      <w:pPr>
        <w:spacing w:after="0" w:line="17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During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half of 2014, the Company completed the integration of the operations of the business acquired on June 20, 2014 from EGEN, Inc. into our wholly owned subsidiary, CLSN Laboratories. Costs associated with CLSN Laboratories were $1.3 million for the second quarter of 2015 compared to $0.2 million in the same period of 2014.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General and administrative (G&amp;A) expenses decreased by $0.5 million to $1.8 million in the second quarter of 2015 compared to $2.3 million in the same period of 2014. This decrease is primarily the result of decreases in personnel costs of $0.4 million and insurance costs of $0.2 million partially offset by increases of $0.1 million in legal fees associated with trademarks and patents associated with the GEN-1 product pipeline acquired in the EGEN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Transaction Related Expenses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Acquisition transaction related expenses were $1.1 million for the three months ended June 30, 2014. We recognized transaction-related expenses for the three months ended June 30, 2014 which consisted of legal and professional fees related to the June 20, 2014 acquisition of substantially all of the assets of EGEN.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June 30, 2015, the Company fair valued these milestones at $13.9 million and recognized non-cash charge of $69,392 as a result of the change in the fair value of these milestones from $13.8 million at March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Warrant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warrant liability was incurred as a result of warrants we issued in a public offering in September 2009. On March 30, 2015, all unexpired warrants associated with this equity offering expired. The liability associated with these warrants was calculated at its fair market value using the Black-Scholes option-pricing model and was adjusted at the end of each quarter with changes in fair value recorded in earnings during the term of the warrants. The warrants expired in March 2015. These warrants’ fair value was zero at December 31, 2014 and when they expired at March 31, 2015. Therefore, no change in warrant liability was required to be recorded or reclassified during 2015. For the three months ended June 30, 2014, there was no change in the liability associated with these warrants.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254" w:lineRule="auto"/>
        <w:rPr>
          <w:sz w:val="20"/>
          <w:szCs w:val="20"/>
          <w:color w:val="auto"/>
        </w:rPr>
      </w:pPr>
      <w:r>
        <w:rPr>
          <w:rFonts w:ascii="Arial" w:cs="Arial" w:eastAsia="Arial" w:hAnsi="Arial"/>
          <w:sz w:val="18"/>
          <w:szCs w:val="18"/>
          <w:color w:val="auto"/>
        </w:rPr>
        <w:t>In addition, we issued warrants for 194,986 shares of the Company’s common stock in connection with the Hercules Credit Agreement in November 2013 and June 2014. The liability associated with these warrants was calculated at its fair market value using the Black-Scholes option-pricing model and was adjusted at the end of each quarter with changes in fair value recorded in earnings during the term of the warrants. As discussed in Note 9 of the financial statement, , the Company concluded in the second quarter of 2015 the warrant provision which required the exercise price of the warrant to be adjusted downward to a lower price at which the Company would sell and issue shares in a financing for cash during the one-year anniversary of the warrant had expired. Therefore, the Company valued the warrant at $336,254 immediately prior to this event and recorded non-cash charges to net income of $18,018 and $61,246 in the three and six month periods ended June 30, 2015. The Company also reduced the liability to zero and increased equity by $336,254 at this time.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At June 30, 2014, the fair value of these liabilities was $0.5 million and the resulting benefit was insignificant in the first half and second quarter of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its debt facilities the Company incurred $0.4 million and $0.3 million in interest expense in the second quarters of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for the second quarters of 2015 and 2014 was not 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$250,000 in each of the first six months of 2015 and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Research and development (R&amp;D) expenses increased by $2.0 million to $8.1 million in the first six months of 2015 from $6.1 million in the same period of 2014. Costs associated with the OPTIMA Study were $1.8 million in the first six months of 2015 compared to $1.6 million in the same period of 2014 when we initiated the OPTIMA Study. Study costs associated with the HEAT Study remained relatively unchanged at $0.3 million in the first six months of 2015 compared to the same period of 2014. The costs associated with the HEAT Study are expected to be minimal as we continue to follow patients for overall survival. Costs associated with our recurrent chest wall breast cancer clinical trial remained relatively unchanged at $0.1 million in each of the first six months of 2015 and 2014. Other clinical costs were $1.0 million and $0.9 million in the first six months of 2015 and 2014, respectively. Other R&amp;D costs related to preclinical operations and regulatory operations remained relatively unchanged at $0.7 million in the first six months of 2015 and 2014. Costs associated with the production of clinical supplies of ThermoDox® to support the OPTIMA Study were $1.7 million in the first six months of 2015 compared to $2.2 million in the same period of 2014.</w:t>
      </w:r>
    </w:p>
    <w:p>
      <w:pPr>
        <w:spacing w:after="0" w:line="158"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During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half of 2014, the Company completed the integration of the operations of the business acquired on June 20, 2014 from EGEN, Inc. into our wholly owned subsidiary, CLSN Laboratories. Costs associated with CLSN Laboratories were $2.4 million for the first six months of 2015 compared to $0.2 million in the same period of 2014.</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General and administrative (G&amp;A) expenses decreased by $0.9 million to $3.8 million in the first six months of 2015 compared to $4.7 million in the same period of 2014. This decrease is primarily the result of decreases in personnel costs of $0.5 million and insurance costs of $0.5 million partially offset by increases of $0.2 million in legal fees associated with trademarks and patents associated with the GEN-1 product pipeline acquired in the EGEN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Transaction Related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Acquisition transaction related expenses were $1.1 million for the six months ended June 30, 2014. We recognized transaction-related expenses for the three months ended June 30, 2014 which consisted of legal and professional fees related to the June 20, 2014 acquisition of substantially all of the assets of EGEN.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June 30, 2015, the Company fair valued these milestones at $13.9 million and recognized non-cash charge of $241,528 as a result of the change in the fair value of these milestones from $13.7 million at December 31,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Warrant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warrant liability was incurred as a result of warrants we issued in a public offering in September 2009. On March 30, 2015, all unexpired warrants associated with this equity offering expired. The liability associated with these warrants was calculated at its fair market value using the Black-Scholes option-pricing model and was adjusted at the end of each quarter with changes in fair value recorded in earnings during the term of the warrants. The warrants expired in March 2015. These warrants’ fair value was zero at December 31, 2014 and when they expired at March 31, 2015. Therefore, no change in warrant liability was required to be recorded or reclassified during 2015. For the first six months of 2014, the Company recorded a non cash benefit of $3,026 for these warrants.</w:t>
      </w:r>
    </w:p>
    <w:p>
      <w:pPr>
        <w:spacing w:after="0" w:line="193"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In addition, we issued warrants for 194,986 shares of the Company’s common stock in connection with the Hercules Credit Agreement in November 2013 and June 2014. The liability associated with these warrants was calculated at its fair market value using the Black-Scholes option-pricing model and was adjusted at the end of each quarter with changes in fair value recorded in earnings during the term of the warrants. As discussed in Note 9 of the financial statement, , the Company concluded in the second quarter of 2015 the warrant provision which required the exercise price of the warrant to be adjusted downward to a lower price at which the Company would sell and issue shares in a financing for cash during the one-year anniversary of the warrant had expired. Therefore, the Company valued the warrant at $336,254 immediately prior to this event and recorded non-cash charges to net income of $18,018 and $61,246 in the three and six month periods ended June 30, 2015. The Company then reduced the liability to zero and increased equity by $336,254 during the second quarter of 2015.</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At June 30, 2014, the fair value of these liabilities was $0.5 million and the resulting benefit was insignificant in the first half and second quarter of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its debt facilities the Company incurred $0.8 million and $0.5 million in interest expense in the first six months of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for the first six months of 2015 and 2014 was not significant.</w:t>
      </w:r>
    </w:p>
    <w:p>
      <w:pPr>
        <w:spacing w:after="0" w:line="200" w:lineRule="exact"/>
        <w:rPr>
          <w:sz w:val="20"/>
          <w:szCs w:val="20"/>
          <w:color w:val="auto"/>
        </w:rPr>
      </w:pPr>
    </w:p>
    <w:p>
      <w:pPr>
        <w:spacing w:after="0" w:line="26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38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inception, excluding the net aggregate payments received from Boston Scientific of $43 million through the divestiture of our medical device business in 2007 (which we received in installments of $13 million in 2007 and $15 million in each of 2008 and 2009), we have incurred significant losses and negative cash flows from operations. We have financed our operations primarily through the net proceeds we received in this divesture, subsequent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$208 million at June 30, 2015.</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2015, we had total current assets of $31.5 million (including cash, cash equivalents and short term investments and related interest receivable on short term investments of $30.8 million) and current liabilities of $9.8 million, resulting in net working capital of $21.7 million. At December 31, 2014, we had total current assets of $37.5 million (including cash, cash equivalents and short term investments and related interest receivable on short term investments of $37.1 million) and current liabilities of $10.1 million, resulting in net working capital of $27.4 million.</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used in operating activities for the first six months of 2015 was $11.6 million. The net loss for the first six months of 2015 included $1.3 million in non-cash stock-based compensation expense. The $11.6 million net cash used in operating activities was funded from cash and short term investments. At June 30, 2015, we had cash, cash equivalents and short term investments and related interest receivable on short term investments of $30.8 million.</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provided by financing activities was $5.5 million during the first six months of 2015 which resulted from net proceeds of $7.2 million from the sale of our common stock in the second quarter of 2015 partially offset by payments on principal payments of $1.8 million on the Hercules Credit Agreement.</w:t>
      </w:r>
    </w:p>
    <w:p>
      <w:pPr>
        <w:spacing w:after="0" w:line="1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 2013, the Company entered into a Controlled Equity Offering SM Sales Agreement (the ATM Agreement) with Cantor Fitzgerald &amp; Co., as sales agent (Cantor),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We will pay Cantor a commission of three percent of the aggregate gross proceeds from each sale of ATM Shares. We have sold and issued an aggregate of 1,195,927 shares under the ATM Agreement so far, receiving approximately $6.8 million in net proceeds. In connection with the May 2015 Offering, we have agreed to not sell any additional shares under the ATM Agreement until September 1, 2015.</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our cash and investment resources of $30.8 million on hand at June 30, 2015 are sufficient to fund operations into the first half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eliminate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off-balance sheet financing arrangements. There were no material changes during the three months ended June 30, 2015 to our operating leases, which are disclosed in the contractual commitments table in our Annual Report on Form 10-K for the fiscal year ended December 31, 2014 filed on March 12, 2015 with the Securities and Exchange Commission.</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balance sheet at fair value with unrealized gains or losses reported as a component of accumulated other comprehensive income (loss) included in stockholders’ equity.</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June 30, 2015,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six months ended June 30, 2015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summary of the risk factors, uncertainties and assumptions that we believe are most relevant to our business. These are factors that, individually or in the aggregate, we think could cause our actual results to differ significantly from anticipated or historical results and our forward-looking statements.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2014 filed on March 12, 2015 with the Securities and Exchange Commission (SEC). In assessing these risks, investors should also refer to the other information contained or incorporated by reference in this Quarterly Report and our other filings made from time to time with the SEC.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$208 million at June 30, 2015. For the years ended December 31, 2014, 2013, 2012 and the six months ended June 30, 2015, we incurred a net loss of $25.5 million, $12.9 million, $26.6 million and $12.7 million, respectively. We currently have no product revenue and do not expect to generate any product revenue for the foreseeable future other than through sales of our proprietary reagent products for life science research, which products are based on our newly acquired proprietary delivery platform technologies, TheraPlas™ and TheraSilence™. We do not expect revenue from the sale of our reagent products to be a significant source of revenue. Because we are committed to continuing our product research, development, clinical trial and commercialization programs, we will continue to incur significant operating losses unless and until we complete the development of ThermoDox®, GEN-1 or other new product candidates and these product candidates have been clinically tested, approved by the U.S.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8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as demonstrated when our lead drug candidate failed to meets its primary endpoint in the Phase III HEAT Study.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ThermoDox® is also being evaluated in a Phase II clinical trial for recurrent chest wall breast cancer and other preclinical studies.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This process generally takes a number of years and requires the expenditure of substantial resources. The time required for completing testing and obtaining approvals is uncertain, and the FDA and foreign regulatory agencies have substantial discretion, at any phase of development, to terminate clinical studies, require additional clinical development or other testing, delay or withhold registration and marketing approval and mandate product withdrawals, including recalls. In addition, undesirable side effects caused by our drug candidates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any product marketing limitations or a product withdrawal would negatively impact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significant revenue for the foreseeable future.</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substantially all of the assets of Egen, Inc., an Alabama corporation which has changed its company name to EGWU, Inc. after the acquisition (EGEN)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 to follow the patients enrolled in the Heat Study to the secondary endpoint, overall survival. Based on the overall survival data from the post-hoc analysis of results from the HEAT Study, launched a pivotal, double-blind, placebo-controlled Phase III trial of ThermoDox® in combination with RFA in primary liver cancer, known as the OPTIMA Study, in the first half of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plan to initiate a Phase I dose escalation clinical trial in combination with the standard of care in neo-adjuvant ovarian cancer in the second half of 2015 and conduct additional preclinical studies to support a Phase I dose escalating trial evaluating GEN-1 in combination with Avastin® and Doxil® in platinum-resistant ovarian cancer patients. The delivery technology platforms that we purchased from EGEN are in preclinical stages of development. We do not expect to realize any revenue from product sales in the next several years, if at all, other than minimal revenue from the sale of reagent products we acquired from EGEN. We do not expect to realize any revenue from product sales in the next several years, if at all. Accordingly, our revenue sources are, and will remain, extremely limited until our product candidates are clinically tested, approved by the FDA or foreign regulatory agencies and successfully marketed. We cannot guarantee that any of our product candidates will be successfully tested, approved by the FDA or foreign regulatory agency or marketed, successfully or otherwise, at any time in the foreseeable future or at all.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266" w:lineRule="auto"/>
        <w:rPr>
          <w:sz w:val="20"/>
          <w:szCs w:val="20"/>
          <w:color w:val="auto"/>
        </w:rPr>
      </w:pPr>
      <w:r>
        <w:rPr>
          <w:rFonts w:ascii="Arial" w:cs="Arial" w:eastAsia="Arial" w:hAnsi="Arial"/>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June 30, 2015, we had approximately $30.8 million in cash, cash equivalents and short-term investments, including accrued interest from short term investments. We have substantial future capital requirements to continue our research and development activities and advance our drug candidates through various development stages, including the product candidates that we purchased from EGEN in June 2014. For example, ThermoDox® is being evaluated in a Phase III clinical trial for the treatment of primary liver cancer, a Phase II clinical trial for the treatment of recurrent chest wall breast cancer and other preclinical studies. In addition, GEN-1 is currently in an early stage of clinical development for the treatment of ovarian cancer. We plan to initiate a Phase I dose escalation clinical trial in combination with the standard of care in neo-adjuvant ovarian cancer in the second half of 2015 and conduct additional preclinical studies to support a Phase I dose escalating trial evaluating GEN-1 in combination with Avastin® and Doxil® in platinum-resistant ovarian cancer patients. The delivery technology platforms that we purchased from EGEN are in preclinical stages of development. We will continue to conduct additional analyses of the data from the HEAT Study to assess the future strategic value of ThermoDox® and are performing sub-group analysis of the Chinese cohort of patients in the HEAT Study and other activities for further development of ThermoDox® for mainland China, Hong Kong and Macau. 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Failure to successfully integrate the assets we acquired from EGEN in June 2014 into our operations could adversely affect our ability to develop and commercialize product candidates or negatively impact our business, results of operations and financial conditions.</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20, 2014, we completed the acquisition of substantially all of the assets of EGEN, a privately-held biopharmaceutical company focused on the development of nucleic acid-based therapeutics for the treatment of cancer and other difficult to treat diseases. The acquisition included EGEN’s Phase Ib DNA-based immunotherapy product candidate GEN-1 and its therapeutic platform technologies, TheraPlas™for delivery of DNA and mRNA, and TheraSilence™ for delivery of RNA. The success of the EGEN acquisition, including the realization of anticipated benefits and cost savings, will depend, in part, on our ability to combine successfully the business we acquired from EGEN with the business of Celsion. Our integration of the operations and product candidates acquired requires significant efforts, including the coordination of research and development, manufacturing, finance, information technologies and management and administration. These integration efforts will result in additional expenses and require significant time and dedication from management, and may divert management attention and resources. The integration may be more difficult, costly or time consuming than expected. It is possible that the integration process could result in the loss of key employees or the disruption of our ongoing business or that the alignment of standards, controls, procedures and policies may adversely affect the combined company’s ability to maintain relationships with suppliers, manufacturers, other vendors or employees or to fully achieve the anticipated benefits and cost savings of the transaction.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jc w:val="both"/>
        <w:spacing w:after="0" w:line="289" w:lineRule="auto"/>
        <w:rPr>
          <w:sz w:val="20"/>
          <w:szCs w:val="20"/>
          <w:color w:val="auto"/>
        </w:rPr>
      </w:pPr>
      <w:r>
        <w:rPr>
          <w:rFonts w:ascii="Arial" w:cs="Arial" w:eastAsia="Arial" w:hAnsi="Arial"/>
          <w:sz w:val="16"/>
          <w:szCs w:val="16"/>
          <w:color w:val="auto"/>
        </w:rPr>
        <w:t>In addition, the EGEN acquisition may result in our assumption of material unknown or unexpected liabilities. If we experience difficulties with the integration process, the anticipated benefits of the transaction may not be realized fully or at all, or may take longer to realize than expected. Factors that will affect the success of the acquisition include our ability to execute our business strategy, results of clinical trials and regulatory approvals related to the acquired product candidates and platform technologies, our ability to adequately fund acquired in-process research and development projects and retain key employees, as well as our ability to achieve financial and operational synergies with the acquired business, such as by achieving cost savings and effectively developing product candidates. Our failure to successfully manage and coordinate the growth of our newly acquired business could have a material adverse impact on our business, results of operations and financial condition. In addition, we cannot be certain that the product candidates we acquired will be approved for marketing and commercialization, become profitable or remain so or that we will realize operational cost savings or other expected synergies of the acquisition. If the acquisition and integration are not successful, we may record related asset impairment charges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incurred, and will continue to incur, significant costs in connection with our acquisition of substantially all of the assets of EGEN.</w:t>
      </w:r>
    </w:p>
    <w:p>
      <w:pPr>
        <w:spacing w:after="0" w:line="241"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color w:val="auto"/>
        </w:rPr>
        <w:t>We have incurred a number of non-recurring costs associated with our integration of the assets purchased from EGEN. These costs and expenses include the incurrence of $5.0 million of new indebtedness and approximately $1.4 million in financial advisory, legal, accounting, consulting and other advisory fees and expenses, reorganization and restructuring costs, severance/employee benefit-related expenses, filing fees, printing expenses and other related charges. There are also a large number of processes, policies, procedures, operations, technologies and systems that must be integrated and implemented. We expect to continue to incur costs and expenses in connection with the continuous integration of the assets and operations in connection with the acquisition. There are many factors beyond our control that could affect the total amount or the timing of integration and implementation expense, and we may incur unanticipated expense in connection with the EGEN acquisition. These costs and expenses could, particularly in the near term, exceed the cost savings that we expect to achieve from the elimination of duplicative expenses and the realization of economies of scale, other efficiencies and cost savings, which benefit may not be achieved in the near term or at all.</w:t>
      </w:r>
    </w:p>
    <w:p>
      <w:pPr>
        <w:spacing w:after="0" w:line="17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other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220" w:hanging="11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220" w:hanging="11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220" w:hanging="11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220" w:right="40" w:hanging="117"/>
        <w:spacing w:after="0" w:line="277"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220" w:hanging="11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220" w:right="60" w:hanging="117"/>
        <w:spacing w:after="0" w:line="277"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220" w:right="40" w:hanging="117"/>
        <w:spacing w:after="0" w:line="277"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220" w:hanging="11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220" w:hanging="11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220" w:hanging="11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220" w:right="60" w:hanging="117"/>
        <w:spacing w:after="0" w:line="277"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220" w:hanging="11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220" w:hanging="11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Additionally, we have a joint research agreement with Philips Healthcare, a division of Royal Philips Electronics, to evaluate the combination of Philips’ high intensity focused ultrasound (HIFU) with ThermoDox® to determine the potential of this combination to treat a broad range of cancers. As part of the assets we acquired from EGEN in June 2014, we became party to a license agreement with The Wistar Institute of Anatomy and Biology pursuant to which we in-license certain technologies use in the development of our newly acquired proprietary delivery platform technologies, TheraPlas™ and TheraSilence™.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or substantial cost to us.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 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and expect to continue to rely, on third-party clinical investigators, clinical research organizations (CROs), clinical data management organizations and consultants to design, conduct, supervise and monitor our clinical trials. Because we do not have the ability to conduct our own clinical trials, we must rely on the efforts of others and have limited control over, and cannot predict accurately, the timing of such trials, the costs associated with such trials or the procedures that are followed for such trials. We do not expect to significantly increase our personnel in the foreseeable future and may continue to rely on third parties to conduct all of our future clinical trials.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all events, we are responsible for ensuring that each of our clinical trials is conducted in accordance with the general investigational plan and protocols for the trial. The FDA requires clinical trials to be conducted in accordance with good clinical practices, including for conducting, recording and reporting the results of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such event could have a material adverse effect on our business, financial condition, results of operations and prospects.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 A Form 483 notice is generally issued at the conclusion of an FDA inspection and lists conditions the FDA inspectors believe may violate FDA regulations. FDA guidelines specify that a warning letter is issued only for violations of “regulatory significance” for which the failure to adequately and promptly achieve correction may be expected to result in an enforcement action.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These actual and potential changes are causing the marketplace to put increased emphasis on the delivery of more cost-effective treatments. In addition, uncertainty remains regarding proposed significant reforms to the U.S. health care system.</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payers as clinically useful, cost effective and safe. Any of our drug candidates may prove not to be effective in practice. If testing and clinical practice do not confirm the safety and efficacy of our product candidates or even if further testing and clinical practice produce positive results but the medical community does not view these new forms of treatment as effective and desirable, our efforts to market our new products may fail, which would have an adverse effect on our business, financial condition and results of operations.</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we expect it to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More recently, our acquisition of the assets of EGEN in June 2014 has been followed with increased volatility in the price of our common stock.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$4.57 and a low price of $2.30 in the 52-week period ended December 31, 2014 and a high price of $3.15 and a low price of $2.19 from January 2, 2015 through August 7, 2015. Among the factors that may cause the market price of our common stock to fluctuate are the risks described in this “Risk Factors” section and other factors, including: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and regulations applicable to our product candidates;</w:t>
      </w:r>
    </w:p>
    <w:p>
      <w:pPr>
        <w:spacing w:after="0" w:line="236" w:lineRule="exact"/>
        <w:rPr>
          <w:rFonts w:ascii="Arial" w:cs="Arial" w:eastAsia="Arial" w:hAnsi="Arial"/>
          <w:sz w:val="17"/>
          <w:szCs w:val="17"/>
          <w:color w:val="auto"/>
        </w:rPr>
      </w:pPr>
    </w:p>
    <w:p>
      <w:pPr>
        <w:ind w:left="460" w:hanging="22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460" w:right="40" w:hanging="22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August 7, 2015, we had 23,027,988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 Investors purchasing shares or other securities in the future could have rights superior to existing stockholders. As of August 7, 2015, we have a significant number of securities convertible into, or allowing the purchase of, our common stock, including 5,894,675 shares of common stock issuable upon exercise of warrants outstanding, 2,297,039 options to purchase shares of our common stock and restricted stock awards outstanding, and 1,348,737 shares of common stock reserved for future issuance under our stock incentive plans. Under the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entered into with Cantor Fitzgerald &amp; Co. on February 1, 2013, we may offer and sell, from time to time through “at-the-market” offerings, up to an aggregate of $25 million of shares of our common stock. As of August 7, 2015, we had only sold 1,195,927 shares under the agreement for total net proceeds of $6.8 million.</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August 7, 2015, the closing sale price of our common stock was $2.23, the total market value of our publicly held shares of our common stock (excluding shares held by our executive officers, directors and 10% or more stockholders) was approximately $45.1, million and the total market value of our listed securities was approximately $51.4, million. There is no assurance that we will continue to meet the minimum closing price requirement and other listing requirements. As of June 30, 2015, we had stockholders’ equity of $29.1 million.</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28, 2013, we effected a 4.5-to-1 reverse stock split of our common stock primarily for purposes of increasing the market price of our common stock, among others, and our common stock started to trade on the post-split basis on October 29, 2013. Other companies have found that the increased stock prices resulting from reverse splits tend to diminish over time unless supported by positive developments in the business. The closing price of our common stock as reported on The NASDAQ Capital Market has declined from $5.14 on October 29, 2013 to $2.23,on August 7, 2015.</w:t>
      </w:r>
    </w:p>
    <w:p>
      <w:pPr>
        <w:spacing w:after="0" w:line="171"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The Company annually performs analyses to determine if there were changes in ownership, as defined by Section 382 of the Internal Revenue Code that would limit its ability to utilize certain net operating loss and tax credit carry forwards. The Company determined that it experienced an ownership change, as defined by Section 382, in connection with certain common stock offerings on July 25, 2011, February 5, 2013 and on June 3, 2013. As a result, the utilization of the Company's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effective tax rate may be impacted by a number of factors, including tax effects of the EGEN acquisition.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effective tax rate may be impacted by the tax effects of the EGEN acquisition, dispositions, changes to tax laws or regulations, examinations by tax authorities, stock-based compensation, uncertain tax positions, and changes in our ability to realize deferred tax assets. Significant judgment and estimates are required in determining the impact on our effective tax rate related to these items, including whether it is more likely than not that some or all of our deferred tax assets will be realized. Such estimates are subject to uncertainty due to various factors, including the economic environment, industry and market conditions, and the length of time of the projections included in the analyses. If our actual results are less favorable than current estimates, or we revise our estimates downward in future analyses, a valuation allowance may be required related to our deferred tax assets with a corresponding adjustment to earnings in the period in which such determination is made, which could have a material effect on our results of operations.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27, 2015, the Company entered into a Securities Purchase Agreement with certain investors, pursuant to which the Company sold and issued on June 1, 2015, in a registered direct offering, an aggregate of 3,000,000 shares of the Company’s common stock at an offering price of $2.675 per share for gross proceeds of approximately $8.0 million before the deduction of the placement agent fee and offering expenses (the May 2015 Offering). In a concurrent private placement (the Private Placement Transaction), the Company agreed to issue to the investors certain warrants at an exercise price of $2.60 per share. The warrants are exercisable to purchase 0.65 share of common stock for each share of common stock purchased in the May 2015 Offering for an aggregate of 1,950,000 shares of common stock. Each warrant will be exercisable on the date of its issuance until the five-year anniversary of the date of issuance. On July 10, 2015, the Company filed a registration statement on Form S-3 for the resale of any share of common stock issued upon exercise of the warrants on Form S-3 (File No. 333-205608) which was declared effective by the SEC on July 30, 2015.</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Private Placement Transaction was structured to comply with the requirements of Section 4(a)(2) under the Securities Act of 1933, as amended, and Rule 506(b) promulgated thereunder.</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20" w:type="dxa"/>
            <w:vAlign w:val="bottom"/>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4.1</w:t>
            </w:r>
          </w:p>
        </w:tc>
        <w:tc>
          <w:tcPr>
            <w:tcW w:w="10020" w:type="dxa"/>
            <w:vAlign w:val="bottom"/>
          </w:tcPr>
          <w:p>
            <w:pPr>
              <w:ind w:left="540"/>
              <w:spacing w:after="0"/>
              <w:rPr>
                <w:sz w:val="20"/>
                <w:szCs w:val="20"/>
                <w:color w:val="auto"/>
              </w:rPr>
            </w:pPr>
            <w:r>
              <w:rPr>
                <w:rFonts w:ascii="Arial" w:cs="Arial" w:eastAsia="Arial" w:hAnsi="Arial"/>
                <w:sz w:val="18"/>
                <w:szCs w:val="18"/>
                <w:color w:val="auto"/>
                <w:w w:val="93"/>
              </w:rPr>
              <w:t>Form of Common Stock Purchase Warrant incorporated herein by reference to Exhibit 4.1 to the Current Report on Form 8-K of</w:t>
            </w:r>
          </w:p>
        </w:tc>
      </w:tr>
      <w:tr>
        <w:trPr>
          <w:trHeight w:val="230"/>
        </w:trPr>
        <w:tc>
          <w:tcPr>
            <w:tcW w:w="620" w:type="dxa"/>
            <w:vAlign w:val="bottom"/>
          </w:tcPr>
          <w:p>
            <w:pPr>
              <w:spacing w:after="0"/>
              <w:rPr>
                <w:sz w:val="20"/>
                <w:szCs w:val="20"/>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rPr>
              <w:t>the Company filed with the SEC on May 29, 2015.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020" w:type="dxa"/>
            <w:vAlign w:val="bottom"/>
          </w:tcPr>
          <w:p>
            <w:pPr>
              <w:ind w:left="540"/>
              <w:spacing w:after="0"/>
              <w:rPr>
                <w:sz w:val="20"/>
                <w:szCs w:val="20"/>
                <w:color w:val="auto"/>
              </w:rPr>
            </w:pPr>
            <w:r>
              <w:rPr>
                <w:rFonts w:ascii="Arial" w:cs="Arial" w:eastAsia="Arial" w:hAnsi="Arial"/>
                <w:sz w:val="18"/>
                <w:szCs w:val="18"/>
                <w:color w:val="auto"/>
                <w:w w:val="91"/>
              </w:rPr>
              <w:t>Securities Purchase Agreement dated as of May 27, 2015, by and among Celsion Corporation and the purchasers named therein,</w:t>
            </w:r>
          </w:p>
        </w:tc>
      </w:tr>
      <w:tr>
        <w:trPr>
          <w:trHeight w:val="216"/>
        </w:trPr>
        <w:tc>
          <w:tcPr>
            <w:tcW w:w="620" w:type="dxa"/>
            <w:vAlign w:val="bottom"/>
          </w:tcPr>
          <w:p>
            <w:pPr>
              <w:spacing w:after="0"/>
              <w:rPr>
                <w:sz w:val="18"/>
                <w:szCs w:val="18"/>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w w:val="91"/>
              </w:rPr>
              <w:t>incorporated herein by reference to Exhibit 10.1 to the Current Report on Form 8-K of the Company filed with the SEC on May 29,</w:t>
            </w:r>
          </w:p>
        </w:tc>
      </w:tr>
      <w:tr>
        <w:trPr>
          <w:trHeight w:val="230"/>
        </w:trPr>
        <w:tc>
          <w:tcPr>
            <w:tcW w:w="620" w:type="dxa"/>
            <w:vAlign w:val="bottom"/>
          </w:tcPr>
          <w:p>
            <w:pPr>
              <w:spacing w:after="0"/>
              <w:rPr>
                <w:sz w:val="20"/>
                <w:szCs w:val="20"/>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rPr>
              <w:t>2015.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10.2</w:t>
            </w:r>
          </w:p>
        </w:tc>
        <w:tc>
          <w:tcPr>
            <w:tcW w:w="10020" w:type="dxa"/>
            <w:vAlign w:val="bottom"/>
          </w:tcPr>
          <w:p>
            <w:pPr>
              <w:ind w:left="540"/>
              <w:spacing w:after="0"/>
              <w:rPr>
                <w:sz w:val="20"/>
                <w:szCs w:val="20"/>
                <w:color w:val="auto"/>
              </w:rPr>
            </w:pPr>
            <w:r>
              <w:rPr>
                <w:rFonts w:ascii="Arial" w:cs="Arial" w:eastAsia="Arial" w:hAnsi="Arial"/>
                <w:sz w:val="18"/>
                <w:szCs w:val="18"/>
                <w:color w:val="auto"/>
                <w:w w:val="90"/>
              </w:rPr>
              <w:t>Celsion Corporation 2007 Stock Incentive Plan, as amended, incorporated herein by reference to Exhibit 10.1 to the Current Report</w:t>
            </w:r>
          </w:p>
        </w:tc>
      </w:tr>
      <w:tr>
        <w:trPr>
          <w:trHeight w:val="230"/>
        </w:trPr>
        <w:tc>
          <w:tcPr>
            <w:tcW w:w="620" w:type="dxa"/>
            <w:vAlign w:val="bottom"/>
          </w:tcPr>
          <w:p>
            <w:pPr>
              <w:spacing w:after="0"/>
              <w:rPr>
                <w:sz w:val="20"/>
                <w:szCs w:val="20"/>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rPr>
              <w:t>on Form 8-K of the Company filed with the SEC on June 19, 2015.</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10020" w:type="dxa"/>
            <w:vAlign w:val="bottom"/>
          </w:tcPr>
          <w:p>
            <w:pPr>
              <w:ind w:left="540"/>
              <w:spacing w:after="0"/>
              <w:rPr>
                <w:sz w:val="20"/>
                <w:szCs w:val="20"/>
                <w:color w:val="auto"/>
              </w:rPr>
            </w:pPr>
            <w:r>
              <w:rPr>
                <w:rFonts w:ascii="Arial" w:cs="Arial" w:eastAsia="Arial" w:hAnsi="Arial"/>
                <w:sz w:val="18"/>
                <w:szCs w:val="18"/>
                <w:color w:val="auto"/>
                <w:w w:val="91"/>
              </w:rPr>
              <w:t>Certification of Chief Executive Officer pursuant to Rule 13a-14(a)/15d-14(a), as adopted pursuant to Section 302 of the Sarbanes-</w:t>
            </w:r>
          </w:p>
        </w:tc>
      </w:tr>
      <w:tr>
        <w:trPr>
          <w:trHeight w:val="230"/>
        </w:trPr>
        <w:tc>
          <w:tcPr>
            <w:tcW w:w="620" w:type="dxa"/>
            <w:vAlign w:val="bottom"/>
          </w:tcPr>
          <w:p>
            <w:pPr>
              <w:spacing w:after="0"/>
              <w:rPr>
                <w:sz w:val="20"/>
                <w:szCs w:val="20"/>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rPr>
              <w:t>Oxley Act of 2002.</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10020" w:type="dxa"/>
            <w:vAlign w:val="bottom"/>
          </w:tcPr>
          <w:p>
            <w:pPr>
              <w:ind w:left="540"/>
              <w:spacing w:after="0"/>
              <w:rPr>
                <w:sz w:val="20"/>
                <w:szCs w:val="20"/>
                <w:color w:val="auto"/>
              </w:rPr>
            </w:pPr>
            <w:r>
              <w:rPr>
                <w:rFonts w:ascii="Arial" w:cs="Arial" w:eastAsia="Arial" w:hAnsi="Arial"/>
                <w:sz w:val="18"/>
                <w:szCs w:val="18"/>
                <w:color w:val="auto"/>
                <w:w w:val="91"/>
              </w:rPr>
              <w:t>Certification of Chief Financial Officer pursuant to Rule 13a-14(a)/15d-14(a), as adopted pursuant to Section 302 of the Sarbanes-</w:t>
            </w:r>
          </w:p>
        </w:tc>
      </w:tr>
      <w:tr>
        <w:trPr>
          <w:trHeight w:val="230"/>
        </w:trPr>
        <w:tc>
          <w:tcPr>
            <w:tcW w:w="620" w:type="dxa"/>
            <w:vAlign w:val="bottom"/>
          </w:tcPr>
          <w:p>
            <w:pPr>
              <w:spacing w:after="0"/>
              <w:rPr>
                <w:sz w:val="20"/>
                <w:szCs w:val="20"/>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rPr>
              <w:t>Oxley Act of 2002.</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10020" w:type="dxa"/>
            <w:vAlign w:val="bottom"/>
          </w:tcPr>
          <w:p>
            <w:pPr>
              <w:ind w:left="5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bl>
    <w:p>
      <w:pPr>
        <w:spacing w:after="0" w:line="202" w:lineRule="exact"/>
        <w:rPr>
          <w:sz w:val="20"/>
          <w:szCs w:val="20"/>
          <w:color w:val="auto"/>
        </w:rPr>
      </w:pPr>
    </w:p>
    <w:p>
      <w:pPr>
        <w:ind w:left="1200" w:hanging="114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1160" w:hanging="1159"/>
        <w:spacing w:after="0" w:line="257"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June 30, 2015,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8" w:lineRule="exact"/>
        <w:rPr>
          <w:sz w:val="20"/>
          <w:szCs w:val="20"/>
          <w:color w:val="auto"/>
        </w:rPr>
      </w:pPr>
    </w:p>
    <w:p>
      <w:pPr>
        <w:jc w:val="both"/>
        <w:ind w:left="1160" w:hanging="364"/>
        <w:spacing w:after="0" w:line="259"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1160" w:hanging="454"/>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640"/>
          </w:cols>
          <w:pgMar w:left="240" w:top="580" w:right="101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August 10, 2015</w:t>
      </w:r>
      <w:r>
        <w:rPr>
          <w:sz w:val="20"/>
          <w:szCs w:val="20"/>
          <w:color w:val="auto"/>
        </w:rPr>
        <w:tab/>
      </w:r>
      <w:r>
        <w:rPr>
          <w:rFonts w:ascii="Arial" w:cs="Arial" w:eastAsia="Arial" w:hAnsi="Arial"/>
          <w:sz w:val="17"/>
          <w:szCs w:val="17"/>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14605</wp:posOffset>
            </wp:positionV>
            <wp:extent cx="36703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21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48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Michael H. Tardugno</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-130810</wp:posOffset>
            </wp:positionV>
            <wp:extent cx="32416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48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Jeffrey W. Church</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-130810</wp:posOffset>
            </wp:positionV>
            <wp:extent cx="32416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40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4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9400" w:type="dxa"/>
            <w:vAlign w:val="bottom"/>
          </w:tcPr>
          <w:p>
            <w:pPr>
              <w:spacing w:after="0"/>
              <w:rPr>
                <w:sz w:val="24"/>
                <w:szCs w:val="24"/>
                <w:color w:val="auto"/>
              </w:rPr>
            </w:pPr>
          </w:p>
        </w:tc>
      </w:tr>
      <w:tr>
        <w:trPr>
          <w:trHeight w:val="234"/>
        </w:trPr>
        <w:tc>
          <w:tcPr>
            <w:tcW w:w="1040" w:type="dxa"/>
            <w:vAlign w:val="bottom"/>
          </w:tcPr>
          <w:p>
            <w:pPr>
              <w:ind w:left="260"/>
              <w:spacing w:after="0"/>
              <w:rPr>
                <w:sz w:val="20"/>
                <w:szCs w:val="20"/>
                <w:color w:val="auto"/>
              </w:rPr>
            </w:pPr>
            <w:r>
              <w:rPr>
                <w:rFonts w:ascii="Arial" w:cs="Arial" w:eastAsia="Arial" w:hAnsi="Arial"/>
                <w:sz w:val="18"/>
                <w:szCs w:val="18"/>
                <w:b w:val="1"/>
                <w:bCs w:val="1"/>
                <w:color w:val="auto"/>
              </w:rPr>
              <w:t>Number</w:t>
            </w:r>
          </w:p>
        </w:tc>
        <w:tc>
          <w:tcPr>
            <w:tcW w:w="9400" w:type="dxa"/>
            <w:vAlign w:val="bottom"/>
          </w:tcPr>
          <w:p>
            <w:pPr>
              <w:ind w:left="3860"/>
              <w:spacing w:after="0"/>
              <w:rPr>
                <w:sz w:val="20"/>
                <w:szCs w:val="20"/>
                <w:color w:val="auto"/>
              </w:rPr>
            </w:pPr>
            <w:r>
              <w:rPr>
                <w:rFonts w:ascii="Arial" w:cs="Arial" w:eastAsia="Arial" w:hAnsi="Arial"/>
                <w:sz w:val="18"/>
                <w:szCs w:val="18"/>
                <w:b w:val="1"/>
                <w:bCs w:val="1"/>
                <w:color w:val="auto"/>
              </w:rPr>
              <w:t>Description of Documents</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9400" w:type="dxa"/>
            <w:vAlign w:val="bottom"/>
          </w:tcPr>
          <w:p>
            <w:pPr>
              <w:ind w:left="140"/>
              <w:spacing w:after="0"/>
              <w:rPr>
                <w:sz w:val="20"/>
                <w:szCs w:val="20"/>
                <w:color w:val="auto"/>
              </w:rPr>
            </w:pPr>
            <w:r>
              <w:rPr>
                <w:rFonts w:ascii="Arial" w:cs="Arial" w:eastAsia="Arial" w:hAnsi="Arial"/>
                <w:sz w:val="18"/>
                <w:szCs w:val="18"/>
                <w:color w:val="auto"/>
                <w:w w:val="91"/>
              </w:rPr>
              <w:t>Form of Common Stock Purchase Warrant incorporated herein by reference to Exhibit 4.1 to the Current Report on Form 8-K of</w:t>
            </w:r>
          </w:p>
        </w:tc>
      </w:tr>
      <w:tr>
        <w:trPr>
          <w:trHeight w:val="230"/>
        </w:trPr>
        <w:tc>
          <w:tcPr>
            <w:tcW w:w="1040" w:type="dxa"/>
            <w:vAlign w:val="bottom"/>
          </w:tcPr>
          <w:p>
            <w:pPr>
              <w:spacing w:after="0"/>
              <w:rPr>
                <w:sz w:val="20"/>
                <w:szCs w:val="20"/>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the Company filed with the SEC on May 29, 2015.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9400" w:type="dxa"/>
            <w:vAlign w:val="bottom"/>
          </w:tcPr>
          <w:p>
            <w:pPr>
              <w:ind w:left="140"/>
              <w:spacing w:after="0"/>
              <w:rPr>
                <w:sz w:val="20"/>
                <w:szCs w:val="20"/>
                <w:color w:val="auto"/>
              </w:rPr>
            </w:pPr>
            <w:r>
              <w:rPr>
                <w:rFonts w:ascii="Arial" w:cs="Arial" w:eastAsia="Arial" w:hAnsi="Arial"/>
                <w:sz w:val="18"/>
                <w:szCs w:val="18"/>
                <w:color w:val="auto"/>
                <w:w w:val="89"/>
              </w:rPr>
              <w:t>Securities Purchase Agreement dated as of May 27, 2015, by and among Celsion Corporation and the purchasers named therein,</w:t>
            </w:r>
          </w:p>
        </w:tc>
      </w:tr>
      <w:tr>
        <w:trPr>
          <w:trHeight w:val="216"/>
        </w:trPr>
        <w:tc>
          <w:tcPr>
            <w:tcW w:w="104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w w:val="92"/>
              </w:rPr>
              <w:t>incorporated herein by reference to Exhibit 10.1 to the Current Report on Form 8-K of the Company filed with the SEC on May</w:t>
            </w:r>
          </w:p>
        </w:tc>
      </w:tr>
      <w:tr>
        <w:trPr>
          <w:trHeight w:val="230"/>
        </w:trPr>
        <w:tc>
          <w:tcPr>
            <w:tcW w:w="1040" w:type="dxa"/>
            <w:vAlign w:val="bottom"/>
          </w:tcPr>
          <w:p>
            <w:pPr>
              <w:spacing w:after="0"/>
              <w:rPr>
                <w:sz w:val="20"/>
                <w:szCs w:val="20"/>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29, 2015.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9400" w:type="dxa"/>
            <w:vAlign w:val="bottom"/>
          </w:tcPr>
          <w:p>
            <w:pPr>
              <w:ind w:left="140"/>
              <w:spacing w:after="0"/>
              <w:rPr>
                <w:sz w:val="20"/>
                <w:szCs w:val="20"/>
                <w:color w:val="auto"/>
              </w:rPr>
            </w:pPr>
            <w:r>
              <w:rPr>
                <w:rFonts w:ascii="Arial" w:cs="Arial" w:eastAsia="Arial" w:hAnsi="Arial"/>
                <w:sz w:val="18"/>
                <w:szCs w:val="18"/>
                <w:color w:val="auto"/>
                <w:w w:val="93"/>
              </w:rPr>
              <w:t>Celsion Corporation 2007 Stock Incentive Plan, as amended, incorporated herein by reference to Exhibit 10.1 to the Current</w:t>
            </w:r>
          </w:p>
        </w:tc>
      </w:tr>
      <w:tr>
        <w:trPr>
          <w:trHeight w:val="230"/>
        </w:trPr>
        <w:tc>
          <w:tcPr>
            <w:tcW w:w="1040" w:type="dxa"/>
            <w:vAlign w:val="bottom"/>
          </w:tcPr>
          <w:p>
            <w:pPr>
              <w:spacing w:after="0"/>
              <w:rPr>
                <w:sz w:val="20"/>
                <w:szCs w:val="20"/>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Report on Form 8-K of the Company filed with the SEC on June 19, 2015.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9400" w:type="dxa"/>
            <w:vAlign w:val="bottom"/>
          </w:tcPr>
          <w:p>
            <w:pPr>
              <w:ind w:left="260"/>
              <w:spacing w:after="0"/>
              <w:rPr>
                <w:sz w:val="20"/>
                <w:szCs w:val="20"/>
                <w:color w:val="auto"/>
              </w:rPr>
            </w:pPr>
            <w:r>
              <w:rPr>
                <w:rFonts w:ascii="Arial" w:cs="Arial" w:eastAsia="Arial" w:hAnsi="Arial"/>
                <w:sz w:val="18"/>
                <w:szCs w:val="18"/>
                <w:color w:val="auto"/>
                <w:w w:val="95"/>
              </w:rPr>
              <w:t>Certification of Chief Executive Officer pursuant to Rule 13a-14(a)/15d-14(a), as adopted pursuant to Section 302 of the</w:t>
            </w:r>
          </w:p>
        </w:tc>
      </w:tr>
      <w:tr>
        <w:trPr>
          <w:trHeight w:val="230"/>
        </w:trPr>
        <w:tc>
          <w:tcPr>
            <w:tcW w:w="1040" w:type="dxa"/>
            <w:vAlign w:val="bottom"/>
          </w:tcPr>
          <w:p>
            <w:pPr>
              <w:spacing w:after="0"/>
              <w:rPr>
                <w:sz w:val="20"/>
                <w:szCs w:val="20"/>
                <w:color w:val="auto"/>
              </w:rPr>
            </w:pPr>
          </w:p>
        </w:tc>
        <w:tc>
          <w:tcPr>
            <w:tcW w:w="940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9400" w:type="dxa"/>
            <w:vAlign w:val="bottom"/>
          </w:tcPr>
          <w:p>
            <w:pPr>
              <w:ind w:left="260"/>
              <w:spacing w:after="0"/>
              <w:rPr>
                <w:sz w:val="20"/>
                <w:szCs w:val="20"/>
                <w:color w:val="auto"/>
              </w:rPr>
            </w:pPr>
            <w:r>
              <w:rPr>
                <w:rFonts w:ascii="Arial" w:cs="Arial" w:eastAsia="Arial" w:hAnsi="Arial"/>
                <w:sz w:val="18"/>
                <w:szCs w:val="18"/>
                <w:color w:val="auto"/>
                <w:w w:val="96"/>
              </w:rPr>
              <w:t>Certification of Chief Financial Officer pursuant to Rule 13a-14(a)/15d-14(a), as adopted pursuant to Section 302 of the</w:t>
            </w:r>
          </w:p>
        </w:tc>
      </w:tr>
      <w:tr>
        <w:trPr>
          <w:trHeight w:val="230"/>
        </w:trPr>
        <w:tc>
          <w:tcPr>
            <w:tcW w:w="1040" w:type="dxa"/>
            <w:vAlign w:val="bottom"/>
          </w:tcPr>
          <w:p>
            <w:pPr>
              <w:spacing w:after="0"/>
              <w:rPr>
                <w:sz w:val="20"/>
                <w:szCs w:val="20"/>
                <w:color w:val="auto"/>
              </w:rPr>
            </w:pPr>
          </w:p>
        </w:tc>
        <w:tc>
          <w:tcPr>
            <w:tcW w:w="940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9400" w:type="dxa"/>
            <w:vAlign w:val="bottom"/>
          </w:tcPr>
          <w:p>
            <w:pPr>
              <w:ind w:left="26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w:t>
            </w:r>
          </w:p>
        </w:tc>
      </w:tr>
    </w:tbl>
    <w:p>
      <w:pPr>
        <w:spacing w:after="0" w:line="202" w:lineRule="exact"/>
        <w:rPr>
          <w:sz w:val="20"/>
          <w:szCs w:val="20"/>
          <w:color w:val="auto"/>
        </w:rPr>
      </w:pPr>
    </w:p>
    <w:p>
      <w:pPr>
        <w:ind w:left="1340" w:hanging="1287"/>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jc w:val="right"/>
              <w:ind w:right="330"/>
              <w:spacing w:after="0"/>
              <w:rPr>
                <w:sz w:val="20"/>
                <w:szCs w:val="20"/>
                <w:color w:val="auto"/>
              </w:rPr>
            </w:pPr>
            <w:r>
              <w:rPr>
                <w:rFonts w:ascii="Arial" w:cs="Arial" w:eastAsia="Arial" w:hAnsi="Arial"/>
                <w:sz w:val="18"/>
                <w:szCs w:val="18"/>
                <w:color w:val="auto"/>
                <w:w w:val="99"/>
              </w:rPr>
              <w:t>101**</w:t>
            </w:r>
          </w:p>
        </w:tc>
        <w:tc>
          <w:tcPr>
            <w:tcW w:w="9760" w:type="dxa"/>
            <w:vAlign w:val="bottom"/>
          </w:tcPr>
          <w:p>
            <w:pPr>
              <w:ind w:left="420"/>
              <w:spacing w:after="0"/>
              <w:rPr>
                <w:sz w:val="20"/>
                <w:szCs w:val="20"/>
                <w:color w:val="auto"/>
              </w:rPr>
            </w:pPr>
            <w:r>
              <w:rPr>
                <w:rFonts w:ascii="Arial" w:cs="Arial" w:eastAsia="Arial" w:hAnsi="Arial"/>
                <w:sz w:val="18"/>
                <w:szCs w:val="18"/>
                <w:color w:val="auto"/>
                <w:w w:val="92"/>
              </w:rPr>
              <w:t>The following materials from the Company’s Quarterly Report on Form 10-Q for the quarter ended June 30, 2015, formatted in</w:t>
            </w:r>
          </w:p>
        </w:tc>
      </w:tr>
      <w:tr>
        <w:trPr>
          <w:trHeight w:val="230"/>
        </w:trPr>
        <w:tc>
          <w:tcPr>
            <w:tcW w:w="880" w:type="dxa"/>
            <w:vAlign w:val="bottom"/>
          </w:tcPr>
          <w:p>
            <w:pPr>
              <w:spacing w:after="0"/>
              <w:rPr>
                <w:sz w:val="20"/>
                <w:szCs w:val="20"/>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w w:val="94"/>
              </w:rPr>
              <w:t>XBRL  (Extensible  Business  Reporting  Language):  (i)  the  unaudited  Consolidated  Balance  Sheets,  (ii)  the  unaudited</w:t>
            </w:r>
          </w:p>
        </w:tc>
      </w:tr>
    </w:tbl>
    <w:p>
      <w:pPr>
        <w:jc w:val="both"/>
        <w:ind w:left="1300"/>
        <w:spacing w:after="0" w:line="255" w:lineRule="auto"/>
        <w:rPr>
          <w:sz w:val="20"/>
          <w:szCs w:val="20"/>
          <w:color w:val="auto"/>
        </w:rPr>
      </w:pPr>
      <w:r>
        <w:rPr>
          <w:rFonts w:ascii="Arial" w:cs="Arial" w:eastAsia="Arial" w:hAnsi="Arial"/>
          <w:sz w:val="18"/>
          <w:szCs w:val="18"/>
          <w:color w:val="auto"/>
        </w:rPr>
        <w:t>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90" w:lineRule="exact"/>
        <w:rPr>
          <w:sz w:val="20"/>
          <w:szCs w:val="20"/>
          <w:color w:val="auto"/>
        </w:rPr>
      </w:pPr>
    </w:p>
    <w:p>
      <w:pPr>
        <w:jc w:val="both"/>
        <w:ind w:left="1300" w:hanging="1247"/>
        <w:spacing w:after="0" w:line="259"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1300" w:hanging="1247"/>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XBRL information filed herewith.</w:t>
      </w:r>
    </w:p>
    <w:p>
      <w:pPr>
        <w:sectPr>
          <w:pgSz w:w="11900" w:h="16838" w:orient="portrait"/>
          <w:cols w:equalWidth="0" w:num="1">
            <w:col w:w="10640"/>
          </w:cols>
          <w:pgMar w:left="240" w:top="580" w:right="10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700" w:hanging="46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700" w:right="60" w:hanging="462"/>
        <w:spacing w:after="0" w:line="264"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00" w:right="60" w:hanging="462"/>
        <w:spacing w:after="0" w:line="308" w:lineRule="auto"/>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00" w:right="60" w:hanging="462"/>
        <w:spacing w:after="0" w:line="291"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ind w:left="70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700" w:right="60" w:hanging="255"/>
        <w:spacing w:after="0" w:line="264"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00" w:right="60" w:hanging="265"/>
        <w:spacing w:after="0" w:line="264"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00" w:right="60" w:hanging="255"/>
        <w:spacing w:after="0" w:line="308" w:lineRule="auto"/>
        <w:tabs>
          <w:tab w:leader="none" w:pos="7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00" w:right="60" w:hanging="265"/>
        <w:spacing w:after="0" w:line="308" w:lineRule="auto"/>
        <w:tabs>
          <w:tab w:leader="none" w:pos="7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700" w:right="60" w:hanging="462"/>
        <w:spacing w:after="0" w:line="308" w:lineRule="auto"/>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00" w:right="60" w:hanging="255"/>
        <w:spacing w:after="0" w:line="277"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00" w:right="60" w:hanging="265"/>
        <w:spacing w:after="0" w:line="277"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17145</wp:posOffset>
            </wp:positionV>
            <wp:extent cx="30359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23" w:lineRule="exact"/>
        <w:rPr>
          <w:sz w:val="20"/>
          <w:szCs w:val="20"/>
          <w:color w:val="auto"/>
        </w:rPr>
      </w:pPr>
    </w:p>
    <w:p>
      <w:pPr>
        <w:ind w:left="1620"/>
        <w:spacing w:after="0"/>
        <w:tabs>
          <w:tab w:leader="none" w:pos="6240" w:val="left"/>
          <w:tab w:leader="none" w:pos="6700" w:val="left"/>
        </w:tabs>
        <w:rPr>
          <w:sz w:val="20"/>
          <w:szCs w:val="20"/>
          <w:color w:val="auto"/>
        </w:rPr>
      </w:pPr>
      <w:r>
        <w:rPr>
          <w:rFonts w:ascii="Arial" w:cs="Arial" w:eastAsia="Arial" w:hAnsi="Arial"/>
          <w:sz w:val="18"/>
          <w:szCs w:val="18"/>
          <w:color w:val="auto"/>
        </w:rPr>
        <w:t>August 10,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H. Tardugno</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30359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700" w:hanging="341"/>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700" w:right="60" w:hanging="341"/>
        <w:spacing w:after="0" w:line="264"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00" w:right="60" w:hanging="341"/>
        <w:spacing w:after="0" w:line="308"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00" w:right="60" w:hanging="341"/>
        <w:spacing w:after="0" w:line="291"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ind w:left="70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700" w:right="60" w:hanging="293"/>
        <w:spacing w:after="0" w:line="264"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00" w:right="60" w:hanging="265"/>
        <w:spacing w:after="0" w:line="264" w:lineRule="auto"/>
        <w:tabs>
          <w:tab w:leader="none" w:pos="7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00" w:right="60" w:hanging="255"/>
        <w:spacing w:after="0" w:line="308" w:lineRule="auto"/>
        <w:tabs>
          <w:tab w:leader="none" w:pos="700" w:val="left"/>
        </w:tabs>
        <w:numPr>
          <w:ilvl w:val="2"/>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00" w:right="60" w:hanging="265"/>
        <w:spacing w:after="0" w:line="308" w:lineRule="auto"/>
        <w:tabs>
          <w:tab w:leader="none" w:pos="700" w:val="left"/>
        </w:tabs>
        <w:numPr>
          <w:ilvl w:val="2"/>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700" w:right="60" w:hanging="341"/>
        <w:spacing w:after="0" w:line="308"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00" w:right="60" w:hanging="255"/>
        <w:spacing w:after="0" w:line="277" w:lineRule="auto"/>
        <w:tabs>
          <w:tab w:leader="none" w:pos="7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00" w:right="60" w:hanging="265"/>
        <w:spacing w:after="0" w:line="277" w:lineRule="auto"/>
        <w:tabs>
          <w:tab w:leader="none" w:pos="7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2880" w:type="dxa"/>
            <w:vAlign w:val="bottom"/>
          </w:tcPr>
          <w:p>
            <w:pPr>
              <w:spacing w:after="0"/>
              <w:rPr>
                <w:sz w:val="20"/>
                <w:szCs w:val="20"/>
                <w:color w:val="auto"/>
              </w:rPr>
            </w:pPr>
            <w:r>
              <w:rPr>
                <w:rFonts w:ascii="Arial" w:cs="Arial" w:eastAsia="Arial" w:hAnsi="Arial"/>
                <w:sz w:val="18"/>
                <w:szCs w:val="18"/>
                <w:color w:val="auto"/>
              </w:rPr>
              <w:t>August 10, 2015</w:t>
            </w:r>
          </w:p>
        </w:tc>
        <w:tc>
          <w:tcPr>
            <w:tcW w:w="2140" w:type="dxa"/>
            <w:vAlign w:val="bottom"/>
          </w:tcPr>
          <w:p>
            <w:pPr>
              <w:ind w:left="17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Jeffrey W. Church</w:t>
            </w:r>
          </w:p>
        </w:tc>
      </w:tr>
      <w:tr>
        <w:trPr>
          <w:trHeight w:val="195"/>
        </w:trPr>
        <w:tc>
          <w:tcPr>
            <w:tcW w:w="28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780" w:type="dxa"/>
            <w:vAlign w:val="bottom"/>
          </w:tcPr>
          <w:p>
            <w:pPr>
              <w:ind w:left="240"/>
              <w:spacing w:after="0" w:line="195" w:lineRule="exact"/>
              <w:rPr>
                <w:sz w:val="20"/>
                <w:szCs w:val="20"/>
                <w:color w:val="auto"/>
              </w:rPr>
            </w:pPr>
            <w:r>
              <w:rPr>
                <w:rFonts w:ascii="Arial" w:cs="Arial" w:eastAsia="Arial" w:hAnsi="Arial"/>
                <w:sz w:val="18"/>
                <w:szCs w:val="18"/>
                <w:color w:val="auto"/>
              </w:rPr>
              <w:t>Jeffrey W. Church</w:t>
            </w:r>
          </w:p>
        </w:tc>
      </w:tr>
      <w:tr>
        <w:trPr>
          <w:trHeight w:val="216"/>
        </w:trPr>
        <w:tc>
          <w:tcPr>
            <w:tcW w:w="28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Senior Vice President and</w:t>
            </w:r>
          </w:p>
        </w:tc>
      </w:tr>
      <w:tr>
        <w:trPr>
          <w:trHeight w:val="230"/>
        </w:trPr>
        <w:tc>
          <w:tcPr>
            <w:tcW w:w="28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2015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August 10, 2015</w:t>
            </w:r>
          </w:p>
        </w:tc>
        <w:tc>
          <w:tcPr>
            <w:tcW w:w="2380" w:type="dxa"/>
            <w:vAlign w:val="bottom"/>
          </w:tcPr>
          <w:p>
            <w:pPr>
              <w:ind w:left="178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Michael H. Tardugno</w:t>
            </w:r>
          </w:p>
        </w:tc>
      </w:tr>
      <w:tr>
        <w:trPr>
          <w:trHeight w:val="195"/>
        </w:trPr>
        <w:tc>
          <w:tcPr>
            <w:tcW w:w="29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680" w:type="dxa"/>
            <w:vAlign w:val="bottom"/>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16"/>
        </w:trPr>
        <w:tc>
          <w:tcPr>
            <w:tcW w:w="2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Chairman, President and Chief Executive</w:t>
            </w:r>
          </w:p>
        </w:tc>
      </w:tr>
      <w:tr>
        <w:trPr>
          <w:trHeight w:val="230"/>
        </w:trPr>
        <w:tc>
          <w:tcPr>
            <w:tcW w:w="29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Officer</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August 10, 2015</w:t>
            </w:r>
          </w:p>
        </w:tc>
        <w:tc>
          <w:tcPr>
            <w:tcW w:w="2380" w:type="dxa"/>
            <w:vAlign w:val="bottom"/>
          </w:tcPr>
          <w:p>
            <w:pPr>
              <w:ind w:left="178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Jeffrey W. Church</w:t>
            </w:r>
          </w:p>
        </w:tc>
      </w:tr>
      <w:tr>
        <w:trPr>
          <w:trHeight w:val="195"/>
        </w:trPr>
        <w:tc>
          <w:tcPr>
            <w:tcW w:w="29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680" w:type="dxa"/>
            <w:vAlign w:val="bottom"/>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16"/>
        </w:trPr>
        <w:tc>
          <w:tcPr>
            <w:tcW w:w="29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29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jc w:val="both"/>
        <w:ind w:firstLine="8"/>
        <w:spacing w:after="0" w:line="264" w:lineRule="auto"/>
        <w:tabs>
          <w:tab w:leader="none" w:pos="1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2">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2019-12-05T22:19:51Z</dcterms:created>
  <dcterms:modified xsi:type="dcterms:W3CDTF">2019-12-05T22:19:51Z</dcterms:modified>
</cp:coreProperties>
</file>