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811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11,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Imunon,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6" w:name="xdx_904_edei--EntityFileNumber_c20260811"/>
            <w:bookmarkEnd w:id="6"/>
            <w:r>
              <w:rPr>
                <w:rFonts w:ascii="Times New Roman;Times;Serif" w:hAnsi="Times New Roman;Times;Serif"/>
                <w:b/>
                <w:i w:val="false"/>
                <w:caps w:val="false"/>
                <w:smallCaps w:val="false"/>
                <w:sz w:val="20"/>
              </w:rPr>
              <w:t>001-15911</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52-1256615</w:t>
            </w:r>
          </w:p>
        </w:tc>
      </w:tr>
      <w:tr>
        <w:trPr/>
        <w:tc>
          <w:tcPr>
            <w:tcW w:w="227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14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6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965"/>
        <w:gridCol w:w="60"/>
        <w:gridCol w:w="1040"/>
      </w:tblGrid>
      <w:tr>
        <w:trPr/>
        <w:tc>
          <w:tcPr>
            <w:tcW w:w="396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997 Lenox Drive, </w:t>
            </w:r>
            <w:bookmarkStart w:id="9" w:name="xdx_90E_edei--EntityAddressAddressLine2_"/>
            <w:bookmarkEnd w:id="9"/>
            <w:r>
              <w:rPr>
                <w:rFonts w:ascii="Times New Roman;Times;Serif" w:hAnsi="Times New Roman;Times;Serif"/>
                <w:b/>
                <w:i w:val="false"/>
                <w:caps w:val="false"/>
                <w:smallCaps w:val="false"/>
                <w:sz w:val="20"/>
              </w:rPr>
              <w:t xml:space="preserve">Suite 100, </w:t>
            </w:r>
            <w:bookmarkStart w:id="10" w:name="xdx_90E_edei--EntityAddressCityOrTown_c2"/>
            <w:bookmarkEnd w:id="10"/>
            <w:r>
              <w:rPr>
                <w:rFonts w:ascii="Times New Roman;Times;Serif" w:hAnsi="Times New Roman;Times;Serif"/>
                <w:b/>
                <w:i w:val="false"/>
                <w:caps w:val="false"/>
                <w:smallCaps w:val="false"/>
                <w:sz w:val="20"/>
              </w:rPr>
              <w:t xml:space="preserve">Lawrenceville, </w:t>
            </w:r>
            <w:bookmarkStart w:id="11" w:name="xdx_90D_edei--EntityAddressStateOrProvin"/>
            <w:bookmarkEnd w:id="11"/>
            <w:r>
              <w:rPr>
                <w:rFonts w:ascii="Times New Roman;Times;Serif" w:hAnsi="Times New Roman;Times;Serif"/>
                <w:b/>
                <w:i w:val="false"/>
                <w:caps w:val="false"/>
                <w:smallCaps w:val="false"/>
                <w:sz w:val="20"/>
              </w:rPr>
              <w:t>NJ</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08648-2311</w:t>
            </w:r>
          </w:p>
        </w:tc>
      </w:tr>
      <w:tr>
        <w:trPr/>
        <w:tc>
          <w:tcPr>
            <w:tcW w:w="39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3" w:name="xdx_90F_edei--CityAreaCode_c20260811__20"/>
      <w:bookmarkEnd w:id="13"/>
      <w:r>
        <w:rPr>
          <w:rFonts w:ascii="Times New Roman;Times;Serif" w:hAnsi="Times New Roman;Times;Serif"/>
          <w:b/>
          <w:i w:val="false"/>
          <w:caps w:val="false"/>
          <w:smallCaps w:val="false"/>
          <w:sz w:val="20"/>
        </w:rPr>
        <w:t xml:space="preserve">(609) </w:t>
      </w:r>
      <w:bookmarkStart w:id="14" w:name="xdx_90C_edei--LocalPhoneNumber_c20260811"/>
      <w:bookmarkEnd w:id="14"/>
      <w:r>
        <w:rPr>
          <w:rFonts w:ascii="Times New Roman;Times;Serif" w:hAnsi="Times New Roman;Times;Serif"/>
          <w:b/>
          <w:i w:val="false"/>
          <w:caps w:val="false"/>
          <w:smallCaps w:val="false"/>
          <w:sz w:val="20"/>
        </w:rPr>
        <w:t>896-9100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bookmarkStart w:id="16" w:name="xdx_905_edei--SolicitingMaterial_c202608"/>
            <w:bookmarkEnd w:id="16"/>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8595" w:type="dxa"/>
        <w:jc w:val="left"/>
        <w:tblInd w:w="0" w:type="dxa"/>
        <w:tblLayout w:type="fixed"/>
        <w:tblCellMar>
          <w:top w:w="0" w:type="dxa"/>
          <w:left w:w="0" w:type="dxa"/>
          <w:bottom w:w="28" w:type="dxa"/>
          <w:right w:w="0" w:type="dxa"/>
        </w:tblCellMar>
      </w:tblPr>
      <w:tblGrid>
        <w:gridCol w:w="3380"/>
        <w:gridCol w:w="60"/>
        <w:gridCol w:w="1505"/>
        <w:gridCol w:w="60"/>
        <w:gridCol w:w="3590"/>
      </w:tblGrid>
      <w:tr>
        <w:trPr/>
        <w:tc>
          <w:tcPr>
            <w:tcW w:w="338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80"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bookmarkStart w:id="19" w:name="xdx_90B_edei--Security12bTitle_c20260811"/>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bookmarkStart w:id="20" w:name="xdx_901_edei--TradingSymbol_c20260811__2"/>
            <w:bookmarkEnd w:id="20"/>
            <w:r>
              <w:rPr>
                <w:rFonts w:ascii="Times New Roman;Times;Serif" w:hAnsi="Times New Roman;Times;Serif"/>
                <w:b w:val="false"/>
                <w:i w:val="false"/>
                <w:caps w:val="false"/>
                <w:smallCaps w:val="false"/>
                <w:sz w:val="20"/>
              </w:rPr>
              <w:t>IMNN</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Imunon, Inc. issued a press release reporting its financial results for the quarter ended June 30, 2026. A copy of the press release is furnished as Exhibit 99.1 to this Current Report on Form 8-K.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2026, Imunon, Inc. announced it would hold a conference call on August 11, 2026 to discuss its financial results for the quarter ended June 30, 2026 and provide a business update. A live webcast of the call will also be available </w:t>
      </w:r>
      <w:r>
        <w:rPr>
          <w:rFonts w:ascii="Times New Roman;Times;Serif" w:hAnsi="Times New Roman;Times;Serif"/>
          <w:b/>
          <w:i w:val="false"/>
          <w:caps w:val="false"/>
          <w:smallCaps w:val="false"/>
          <w:sz w:val="20"/>
        </w:rPr>
        <w:t>here</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including the exhibit hereto, is being furnished and shall not be deemed “filed” for purposes of Section 18 of the Securities Exchange Act of 1934, as amended, or otherwise subject to the liabilities of that Section or Sections 11 and 12(a)(2) of the Securities Act of 1933, as amended. Such information shall not be incorporated by reference into any filing with the Securities and Exchange Commission made by Imunon, Inc., whether made before or after the date hereof, regardless of any general incorporation language in such filing.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contains forward-looking statements which involve certain risks and uncertainties that could cause actual results to differ materially from those expressed or implied by such statements. Please refer to the cautionary note in the press release regarding these 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6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ind w:left="0" w:right="0" w:hanging="0"/>
              <w:jc w:val="both"/>
              <w:rPr/>
            </w:pPr>
            <w:hyperlink w:anchor="ex99-1.htm">
              <w:r>
                <w:rPr>
                  <w:rStyle w:val="InternetLink"/>
                  <w:rFonts w:ascii="Times New Roman;Times;Serif" w:hAnsi="Times New Roman;Times;Serif"/>
                  <w:b w:val="false"/>
                  <w:i w:val="false"/>
                  <w:caps w:val="false"/>
                  <w:smallCaps w:val="false"/>
                  <w:sz w:val="20"/>
                </w:rPr>
                <w:t>Press Release dated August 11, 2026</w:t>
              </w:r>
            </w:hyperlink>
          </w:p>
        </w:tc>
      </w:tr>
      <w:tr>
        <w:trPr/>
        <w:tc>
          <w:tcPr>
            <w:tcW w:w="6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1970"/>
        <w:gridCol w:w="320"/>
        <w:gridCol w:w="2525"/>
      </w:tblGrid>
      <w:tr>
        <w:trPr/>
        <w:tc>
          <w:tcPr>
            <w:tcW w:w="19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845"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IMUNON INC.</w:t>
            </w:r>
          </w:p>
        </w:tc>
      </w:tr>
      <w:tr>
        <w:trPr/>
        <w:tc>
          <w:tcPr>
            <w:tcW w:w="19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3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/s/ Josh Blacher</w:t>
            </w:r>
          </w:p>
        </w:tc>
      </w:tr>
      <w:tr>
        <w:trPr/>
        <w:tc>
          <w:tcPr>
            <w:tcW w:w="19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Blacher</w:t>
            </w:r>
          </w:p>
        </w:tc>
      </w:tr>
      <w:tr>
        <w:trPr/>
        <w:tc>
          <w:tcPr>
            <w:tcW w:w="19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67840" cy="5549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7840" cy="5549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Reports Second Quarter 2026 Financial Results and Provides Business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IMNN-001 is the first frontline treatment candidate to demonstrate the potential for a clinically meaningful overall survival benefit in women newly diagnosed with ovarian cancer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Enrollment in the Phase 3 OVATION 3 Study of IMNN-001 is expected to be completed by the first half of 2029, supported by strong Phase 2 clinical data showing significant overall survival benefit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hold conference call today at 11:00 a.m. EDT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LAWRENCEVILLE, N.J., August 11, 2026 – IMUNON, Inc. (NASDAQ: IMNN)</w:t>
      </w:r>
      <w:r>
        <w:rPr>
          <w:rFonts w:ascii="Times New Roman;Times;Serif" w:hAnsi="Times New Roman;Times;Serif"/>
          <w:b w:val="false"/>
          <w:i w:val="false"/>
          <w:caps w:val="false"/>
          <w:smallCaps w:val="false"/>
          <w:sz w:val="20"/>
        </w:rPr>
        <w:t>, a clinical-stage company in late-stage development with its DNA-mediated immunotherapy, today reported financial results for the three months and six months ended June 30, 2026, and highlighted recent business updates including progress in advancing Phase 3 clinical development of its lead candidate IMNN-001 in newly diagnosed advanced ovarian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brought continued momentum for IMNN-001,” said Stacy Lindborg, Ph.D., President and Chief Executive Officer of IMUNON. “Enrollment in our pivotal Phase 3 OVATION 3 study continues to exceed our planning assumptions, reflecting the compelling survival data generated in OVATION 2, our highly favorable safety profile, and growing confidence among investigators in IMNN-001’s potential to improve outcomes for women with newly diagnosed advanced ovarian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were also encouraged by new preliminary data from our ongoing Phase 2 minimal residual disease (MRD) study, which showed a deeper antitumor response in patients treated with IMNN-001, including higher rates of circulating tumor DNA clearance and no evidence of disease following frontline therapy. We believe these findings provide further independent evidence of IMNN-001’s biological activity and reinforce the mechanism underlying the survival benefit observed in the OVATION 2 study, while we remain fully focused on our highest priority of efficiently advancing OVATION 3. Based on the data generated to date, we believe IMNN-001 has the potential to become the first frontline immunotherapy to meaningfully improve overall survival in advanced ovarian cancer and establish a new standard of care for women facing this disease.”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IMNN-001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announced final data from the completed Phase 2 OVATION 2 clinical trial with a median 14.7-month increase in overall survival (45.1 vs. 30.4 months) in the IMNN-001 treatment arm compared to SoC chemotherapy alone. Importantly, with these new efficacy results, IMNN-001 continued to show a highly favorable safety and tolerability profile across all clinical trials, further reinforcing the potential of this IL-12 immunotherapy to represent a landmark advance in treatment of this disease.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the Company announced that the independent Data Monitoring Committee recommended continuation of the pivotal Phase 3 OVATION 3 clinical trial evaluating IMNN-001 in combination with standard of care (SoC) neoadjuvant and adjuvant chemotherapy (N/ACT).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announced new positive preliminary data from its ongoing Phase 2 minimal residual disease (MRD) clinical trial. Nine patients in each of the control and experimental arms have reached second-look laparoscopy (SLL), the study’s primary assessment point for surgical MRD. Compared to control, preliminary results show a deeper antitumor response, as demonstrated by a lower MRD-positive rate, in patients treated with IMNN-001 (44% vs. 67%), a higher rate of circulating tumor DNA (ctDNA) clearance (87.5% vs. 62.5%), and a numerically higher rate of patients achieving no evidence of disease (NED) following frontline therapy (100% vs. 56%).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provided a progress update on its pivotal Phase 3 OVATION 3 trial. Since initiating the trial, the Company has observed rapid site activation and an enrollment rate that is exceeding its forecast. The trial advanced from protocol submission to site activation in approximately 6 months and from protocol approval to first patient randomized in approximately 2 months, a third of the time of the external industry benchmark.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the Company entered into definitive agreements with aggregate gross proceeds to the Company in the amount of $10 million. The transaction includes 250 shares of non-redeemable, non-convertible preferred stock for $2.5 million and two secured promissory notes in the principal amounts of $2.72 million and $5.0 million. The promissory notes accumulate interest at a rate of 8% and 5%, respectively, per annum and mature 18 months after the issuance date. Interest will be partially offset with interest earned via bank deposit.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R&amp;D Day on September 23, 2026, in New York, featuring presentations from leading clinical investigators on IMNN-001 and the Company’s DNA-mediated immunotherapy platform. Additional details, including the full agenda and registration information, will be provided in a subsequent announcement.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RESULTS FOR THE SECOND QUARTER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second quarter of 2026 was $2.8 million, or $0.54 per share, compared with a net loss of $2.7 million, or $2.15 per share, for the second quarter of 2025. Operating expenses were $2.8 million for each of the second quarters of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to $1.5 million in the second quarter of 2026 compared to $1.2 million in the same period of 2025. During 2025, the Company initiated enrollment in the OVATION 3 Study and in 2026 closed out the OVATION 2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to $1.3 million in the second quarter of 2026 compared to $1.5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first half of 2026 was $7.1 million, or $1.38 per share, compared with a net loss of $6.8 million, or $6.08 per share, for the same period of 2025. Operating expenses were $7.1 million for the first half of 2026 compared to $6.9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to $3.8 million in the first half of 2026 compared to $3.4 million in the same period of 2025. During 2025, the Company initiated enrollment in the OVATION 3 Study and in 2026 closed out the OVATION 2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to $3.3 million in the first half of 2026 compared to $3.5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for operating activities was $7.0 million for the first half of 2026, compared with $5.8 million for the same period last year. This increase was primarily due to trial-related expenses associated with the OVATION 3 trial. As of June 30, 2026, </w:t>
      </w:r>
      <w:r>
        <w:rPr>
          <w:rFonts w:ascii="Times New Roman;Times;Serif" w:hAnsi="Times New Roman;Times;Serif"/>
          <w:b w:val="false"/>
          <w:i w:val="false"/>
          <w:caps w:val="false"/>
          <w:smallCaps w:val="false"/>
          <w:sz w:val="20"/>
          <w:shd w:fill="FFFFFF" w:val="clear"/>
        </w:rPr>
        <w:t xml:space="preserve">cash and cash equivalents were $6.9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be hosting a conference call to review second quarter 2026 financial results and provide a business update today, August 11, 2026, at 11:00 a.m. EDT. To participate in the call, please dial (800) 715-9871 (U.S. and Canada/Toll Free) or (646) 307-1963 (U.S./Toll) and ask for the IMUNON Second Quarter 2026 Financial Results Call (Conference ID 8021948). A live webcast of the call will also be available </w:t>
      </w:r>
      <w:r>
        <w:rPr>
          <w:rFonts w:ascii="Times New Roman;Times;Serif" w:hAnsi="Times New Roman;Times;Serif"/>
          <w:b/>
          <w:i w:val="false"/>
          <w:caps w:val="false"/>
          <w:smallCaps w:val="false"/>
          <w:sz w:val="20"/>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audio replay of the call will be available for 90 days and can be accessed at (800) 770-2030 (U.S. and Canada/Toll Free) or (609) 800-9909 (U.S./Toll) using replay access code 8021948#.</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IMUNON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is a clinical-stage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is developing its non-viral DNA technology across its modalities. The first modality, TheraPlas®, is developed for the gene-based delivery of cytokines and other therapeutic proteins in the treatment of solid tumors where an immunological approach is deemed promising. The second modality, PlaCCine®, is developed for the gene delivery of viral antigens that can elicit a strong immunological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lead clinical program, IMNN-001, is a DNA-based immunotherapy for the localized treatment of advanced ovarian cancer that has completed multiple clinical trials including one Phase 2 clinical trial (OVATION 2) and is currently conducting a Phase 3 clinical trial (OVATION 3). The first patient was dosed in the Company’s Phase 3 pivotal study in the third quarter of 2025. IMNN-001 works by instructing the body to produce safe and durable levels of powerful cancer-fighting molecules, such as interleukin-12 and interferon gamma, at the tumor site. Additionally, the Company has completed a first-in-human study of its COVID-19 booster vaccine (IMNN-101). The Company will continue to leverage these modalities and to advance, either directly or through partnership, the technological frontier of plasmid DNA to better serve patients with difficult-to-treat conditions. For more information, please visit </w:t>
      </w:r>
      <w:r>
        <w:rPr>
          <w:rFonts w:ascii="Times New Roman;Times;Serif" w:hAnsi="Times New Roman;Times;Serif"/>
          <w:b/>
          <w:i w:val="false"/>
          <w:caps w:val="false"/>
          <w:smallCaps w:val="false"/>
          <w:sz w:val="20"/>
        </w:rPr>
        <w:t>www.imunon.com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IMUNON wishes to inform readers that forward-looking statements in this news release are made pursuant to the “safe harbor” provisions of the Private Securities Litigation Reform Act of 1995. All statements, other than statements of historical fact, including, but not limited to, statements regarding the timing of enrollment of the Company’s clinical trials, the potential of any therapies developed by the Company to fulfill unmet medical needs, the market potential for the Company’s products, if approved, the potential efficacy and safety profile of our product candidates, and the Company’s plans and expectations with respect to its development programs more generally, are forward-looking statements. We generally identify forward-looking statements by using words such as “may,” “will,” “expect,” “plan,” “anticipate,” “estimate,” “intend” and similar expressions (as well as other words or expressions referencing future events, conditions or circumstances), and include statements regarding our planned stock split. Readers are cautioned that such forward-looking statements involve risks and uncertainties including, without limitation, risks and uncertainties related to unforeseen changes in the course of research and development activities and in clinical trials, including the fact that interim results are not necessarily indicative of final results; the uncertainties of and difficulties in analyzing interim clinical data; the significant expense, time and risk of failure in conducting clinical trials; the need for IMUNON to evaluate its future development plans; possible actions by customers, suppliers, competitors or regulatory authorities; and other risks detailed from time to time in IMUNON’s filings with the Securities and Exchange Commission. IMUNON assumes no obligation, except to the extent required by law, to update or supplement forward-looking statements that become untrue because of subsequent events, new information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Valter Pinto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212-896-1254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imunon@kcsa.com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(Tables to Follow)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3830"/>
        <w:gridCol w:w="60"/>
        <w:gridCol w:w="146"/>
        <w:gridCol w:w="666"/>
        <w:gridCol w:w="99"/>
        <w:gridCol w:w="62"/>
        <w:gridCol w:w="146"/>
        <w:gridCol w:w="666"/>
        <w:gridCol w:w="95"/>
        <w:gridCol w:w="60"/>
        <w:gridCol w:w="140"/>
        <w:gridCol w:w="635"/>
        <w:gridCol w:w="95"/>
        <w:gridCol w:w="60"/>
        <w:gridCol w:w="140"/>
        <w:gridCol w:w="635"/>
        <w:gridCol w:w="110"/>
      </w:tblGrid>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6" w:type="dxa"/>
            <w:tcBorders/>
            <w:shd w:fill="FFFFFF" w:val="clear"/>
            <w:vAlign w:val="center"/>
          </w:tcPr>
          <w:p>
            <w:pPr>
              <w:pStyle w:val="TableContents"/>
              <w:bidi w:val="0"/>
              <w:spacing w:before="0" w:after="283"/>
              <w:jc w:val="right"/>
              <w:rPr/>
            </w:pPr>
            <w:r>
              <w:rPr/>
              <w:t>1,465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6" w:type="dxa"/>
            <w:tcBorders/>
            <w:shd w:fill="FFFFFF" w:val="clear"/>
            <w:vAlign w:val="center"/>
          </w:tcPr>
          <w:p>
            <w:pPr>
              <w:pStyle w:val="TableContents"/>
              <w:bidi w:val="0"/>
              <w:spacing w:before="0" w:after="283"/>
              <w:jc w:val="right"/>
              <w:rPr/>
            </w:pPr>
            <w:r>
              <w:rPr/>
              <w:t>1,227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3,392</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1,327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1,541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3,521</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2,792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6,913</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b/>
              </w:rPr>
            </w:pPr>
            <w:r>
              <w:rPr>
                <w:b/>
              </w:rPr>
              <w:t>(2,792</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b/>
              </w:rPr>
            </w:pPr>
            <w:r>
              <w:rPr>
                <w:b/>
              </w:rPr>
              <w:t>(2,768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(7,098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(6,913</w:t>
            </w:r>
          </w:p>
        </w:tc>
        <w:tc>
          <w:tcPr>
            <w:tcW w:w="110" w:type="dxa"/>
            <w:tcBorders/>
            <w:shd w:fill="FFFFFF" w:val="clear"/>
            <w:vAlign w:val="center"/>
          </w:tcPr>
          <w:p>
            <w:pPr>
              <w:pStyle w:val="TableContents"/>
              <w:bidi w:val="0"/>
              <w:spacing w:before="0" w:after="283"/>
              <w:jc w:val="left"/>
              <w:rPr>
                <w:b/>
              </w:rPr>
            </w:pPr>
            <w:r>
              <w:rPr>
                <w:b/>
              </w:rPr>
              <w:t>)</w:t>
            </w:r>
          </w:p>
        </w:tc>
      </w:tr>
      <w:tr>
        <w:trPr/>
        <w:tc>
          <w:tcPr>
            <w:tcW w:w="38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pPr>
            <w:r>
              <w:rPr/>
              <w:t>Other income(loss),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(2,814</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(6,843</w:t>
            </w:r>
          </w:p>
        </w:tc>
        <w:tc>
          <w:tcPr>
            <w:tcW w:w="110" w:type="dxa"/>
            <w:tcBorders/>
            <w:shd w:fill="CCEEFF" w:val="clear"/>
            <w:vAlign w:val="center"/>
          </w:tcPr>
          <w:p>
            <w:pPr>
              <w:pStyle w:val="TableContents"/>
              <w:bidi w:val="0"/>
              <w:spacing w:before="0" w:after="283"/>
              <w:jc w:val="left"/>
              <w:rPr>
                <w:b/>
              </w:rPr>
            </w:pPr>
            <w:r>
              <w:rPr>
                <w:b/>
              </w:rPr>
              <w:t>)</w:t>
            </w:r>
          </w:p>
        </w:tc>
      </w:tr>
      <w:tr>
        <w:trPr/>
        <w:tc>
          <w:tcPr>
            <w:tcW w:w="38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b/>
              </w:rPr>
            </w:pPr>
            <w:r>
              <w:rPr>
                <w:b/>
              </w:rPr>
              <w:t>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(6.08</w:t>
            </w:r>
          </w:p>
        </w:tc>
        <w:tc>
          <w:tcPr>
            <w:tcW w:w="110" w:type="dxa"/>
            <w:tcBorders/>
            <w:shd w:fill="FFFFFF" w:val="clear"/>
            <w:vAlign w:val="center"/>
          </w:tcPr>
          <w:p>
            <w:pPr>
              <w:pStyle w:val="TableContents"/>
              <w:bidi w:val="0"/>
              <w:spacing w:before="0" w:after="283"/>
              <w:jc w:val="left"/>
              <w:rPr>
                <w:b/>
              </w:rPr>
            </w:pPr>
            <w:r>
              <w:rPr>
                <w:b/>
              </w:rPr>
              <w:t>)</w:t>
            </w:r>
          </w:p>
        </w:tc>
      </w:tr>
      <w:tr>
        <w:trPr/>
        <w:tc>
          <w:tcPr>
            <w:tcW w:w="38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b/>
              </w:rPr>
            </w:pPr>
            <w:r>
              <w:rPr>
                <w:b/>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b/>
              </w:rPr>
            </w:pPr>
            <w:r>
              <w:rPr>
                <w:b/>
              </w:rPr>
              <w:t>Basic and diluted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5,233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Balance Sheet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9803" w:type="dxa"/>
        <w:jc w:val="left"/>
        <w:tblInd w:w="0" w:type="dxa"/>
        <w:tblLayout w:type="fixed"/>
        <w:tblCellMar>
          <w:top w:w="0" w:type="dxa"/>
          <w:left w:w="0" w:type="dxa"/>
          <w:bottom w:w="0" w:type="dxa"/>
          <w:right w:w="0" w:type="dxa"/>
        </w:tblCellMar>
      </w:tblPr>
      <w:tblGrid>
        <w:gridCol w:w="6110"/>
        <w:gridCol w:w="60"/>
        <w:gridCol w:w="195"/>
        <w:gridCol w:w="1219"/>
        <w:gridCol w:w="95"/>
        <w:gridCol w:w="60"/>
        <w:gridCol w:w="268"/>
        <w:gridCol w:w="1686"/>
        <w:gridCol w:w="110"/>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6,864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8,781</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Advances, deposits on clinical programs and other 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1,827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1,943</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10,724</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Property and equipment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530</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Other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984</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Deposits and other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Total other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1,034</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12,288</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2,847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4,218</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Note payable – current portion Note A</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Operating lease liability – current portion</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406</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b/>
              </w:rPr>
            </w:pPr>
            <w:r>
              <w:rPr>
                <w:b/>
              </w:rPr>
              <w:t>4,779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b/>
              </w:rPr>
            </w:pPr>
            <w:r>
              <w:rPr>
                <w:b/>
              </w:rPr>
              <w:t>4,624</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Note Payable – Note A</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Note Payable – Note B</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Operating lease liability – noncurrent portion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602</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5,226</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Preferred stock, including additional paid-in capital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2,252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430,336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428,411</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(428,631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(421,298</w:t>
            </w:r>
          </w:p>
        </w:tc>
        <w:tc>
          <w:tcPr>
            <w:tcW w:w="110" w:type="dxa"/>
            <w:tcBorders/>
            <w:shd w:fill="CCEEFF" w:val="clear"/>
            <w:vAlign w:val="center"/>
          </w:tcPr>
          <w:p>
            <w:pPr>
              <w:pStyle w:val="TableContents"/>
              <w:bidi w:val="0"/>
              <w:spacing w:before="0" w:after="283"/>
              <w:jc w:val="left"/>
              <w:rPr/>
            </w:pPr>
            <w:r>
              <w:rPr/>
              <w:t>)</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4,274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7,147</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Less: Treasury stock</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w:t>
            </w:r>
          </w:p>
        </w:tc>
      </w:tr>
      <w:tr>
        <w:trPr/>
        <w:tc>
          <w:tcPr>
            <w:tcW w:w="6110"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7,062</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12,288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2626</Words>
  <Characters>14496</Characters>
  <CharactersWithSpaces>17451</CharactersWithSpaces>
  <Paragraphs>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