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940" w:right="2240" w:hanging="393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2220" w:hanging="3332"/>
        <w:spacing w:after="0" w:line="500" w:lineRule="auto"/>
        <w:tabs>
          <w:tab w:leader="none" w:pos="3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001-15911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Imunon,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2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52-1256615</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Times New Roman" w:cs="Times New Roman" w:eastAsia="Times New Roman" w:hAnsi="Times New Roman"/>
                <w:sz w:val="18"/>
                <w:szCs w:val="18"/>
                <w:b w:val="1"/>
                <w:bCs w:val="1"/>
                <w:color w:val="auto"/>
                <w:w w:val="99"/>
              </w:rPr>
              <w:t>Lawrenceville</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NJ 08648</w:t>
            </w:r>
          </w:p>
        </w:tc>
      </w:tr>
      <w:tr>
        <w:trPr>
          <w:trHeight w:val="234"/>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896-9100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IMNN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1014" w:gutter="0" w:footer="0" w:header="0"/>
        </w:sectPr>
      </w:pPr>
    </w:p>
    <w:p>
      <w:pPr>
        <w:spacing w:after="0" w:line="135"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5360" w:space="720"/>
            <w:col w:w="5160"/>
          </w:cols>
          <w:pgMar w:left="320" w:top="740" w:right="339" w:bottom="1014"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10, 2024, the Registrant had 9,400,889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01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8"/>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640" w:type="dxa"/>
            <w:vAlign w:val="bottom"/>
          </w:tcPr>
          <w:p>
            <w:pPr>
              <w:spacing w:after="0"/>
              <w:rPr>
                <w:sz w:val="20"/>
                <w:szCs w:val="20"/>
                <w:color w:val="auto"/>
              </w:rPr>
            </w:pPr>
          </w:p>
        </w:tc>
      </w:tr>
      <w:tr>
        <w:trPr>
          <w:trHeight w:val="41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0"/>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6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6"/>
        </w:trPr>
        <w:tc>
          <w:tcPr>
            <w:tcW w:w="10600" w:type="dxa"/>
            <w:vAlign w:val="bottom"/>
            <w:gridSpan w:val="21"/>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December 31,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85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 for the Three Months Ended March 31, 2024 and 2023</w:t>
            </w:r>
          </w:p>
        </w:tc>
        <w:tc>
          <w:tcPr>
            <w:tcW w:w="13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(Unaudited) for the Three Months Ended March 31,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rPr>
                <w:sz w:val="15"/>
                <w:szCs w:val="15"/>
                <w:color w:val="auto"/>
              </w:rPr>
            </w:pP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March 31, 2024</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Three Months Ended March 31,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660" w:type="dxa"/>
            <w:vAlign w:val="bottom"/>
            <w:tcBorders>
              <w:top w:val="single" w:sz="8" w:color="CCEEFF"/>
            </w:tcBorders>
          </w:tcPr>
          <w:p>
            <w:pPr>
              <w:spacing w:after="0"/>
              <w:rPr>
                <w:sz w:val="15"/>
                <w:szCs w:val="15"/>
                <w:color w:val="auto"/>
              </w:rPr>
            </w:pPr>
          </w:p>
        </w:tc>
        <w:tc>
          <w:tcPr>
            <w:tcW w:w="94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5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tcPr>
          <w:p>
            <w:pPr>
              <w:spacing w:after="0"/>
              <w:rPr>
                <w:sz w:val="15"/>
                <w:szCs w:val="15"/>
                <w:color w:val="auto"/>
              </w:rPr>
            </w:pPr>
          </w:p>
        </w:tc>
      </w:tr>
      <w:tr>
        <w:trPr>
          <w:trHeight w:val="21"/>
        </w:trPr>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9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6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460"/>
        </w:trPr>
        <w:tc>
          <w:tcPr>
            <w:tcW w:w="6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8"/>
          </w:tcPr>
          <w:p>
            <w:pPr>
              <w:jc w:val="center"/>
              <w:ind w:right="436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any continuing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U.S. Food and Drug Administration (“FDA”) and foreign regulatory approvals for our drug candidates,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and assumptions are described in Item 1A. Risk Factors in our Annual Report on Form 10-K for the fiscal year ended December 31, 2023, and in other documents that we file or furnish with the Securities and Exchange Commission.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the “Company,” “Imunon,” “we,” “us,” and “our” refer to Imunon, Inc., a Delaware corporation and its wholly 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2,346,978</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5,838,566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debt securities - available for sale, at fair value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7,461,875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r>
      <w:tr>
        <w:trPr>
          <w:trHeight w:val="24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and deposits on clinical programs and other current assets</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2,285,490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2,545,051</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12,094,343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18,240,704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(at cost, less accumulated depreciation and amortization)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693,360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751,906</w:t>
            </w:r>
          </w:p>
        </w:tc>
      </w:tr>
      <w:tr>
        <w:trPr>
          <w:trHeight w:val="216"/>
        </w:trPr>
        <w:tc>
          <w:tcPr>
            <w:tcW w:w="69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1,280,385</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1,487,065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1,595,074</w:t>
            </w:r>
          </w:p>
        </w:tc>
      </w:tr>
      <w:tr>
        <w:trPr>
          <w:trHeight w:val="24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assets</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1,537,065</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2,925,459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14,324,768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08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(Continued)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2,357,776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3,515,192</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1,958,575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3,390,521</w:t>
            </w:r>
          </w:p>
        </w:tc>
      </w:tr>
      <w:tr>
        <w:trPr>
          <w:trHeight w:val="24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500,625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485,421</w:t>
            </w:r>
          </w:p>
        </w:tc>
      </w:tr>
      <w:tr>
        <w:trPr>
          <w:trHeight w:val="203"/>
        </w:trPr>
        <w:tc>
          <w:tcPr>
            <w:tcW w:w="6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4,816,976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7,391,134</w:t>
            </w:r>
          </w:p>
        </w:tc>
        <w:tc>
          <w:tcPr>
            <w:tcW w:w="100" w:type="dxa"/>
            <w:vAlign w:val="bottom"/>
            <w:tcBorders>
              <w:top w:val="single" w:sz="8" w:color="CCEEFF"/>
            </w:tcBorders>
          </w:tcPr>
          <w:p>
            <w:pPr>
              <w:spacing w:after="0"/>
              <w:rPr>
                <w:sz w:val="17"/>
                <w:szCs w:val="17"/>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1,008,049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1,139,293</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5,825,025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8,530,427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$0.01 par value (100,000 shares authorized, and no shares issued or</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$0.01 par value (112,500,000 shares authorized; 9,400,911 and 9,399,811</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at March 31, 2024 and December 31, 2023, respectively; and 9,400,889 and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9,399,789 shares outstanding at March 31, 2024 and December 31, 2023, respectively)</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94,009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93,998</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401,470,148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401,500,838</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133,101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(393,112,327)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(388,182,802)</w:t>
            </w: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8,584,931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(22 shares at March 31, 2024 and December 31, 2023)</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(85,188)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(85,188)</w:t>
            </w:r>
          </w:p>
        </w:tc>
      </w:tr>
      <w:tr>
        <w:trPr>
          <w:trHeight w:val="210"/>
        </w:trPr>
        <w:tc>
          <w:tcPr>
            <w:tcW w:w="69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8,499,743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13,387,642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14,324,768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21,918,069</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100" w:type="dxa"/>
            <w:vAlign w:val="bottom"/>
            <w:gridSpan w:val="5"/>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60" w:type="dxa"/>
            <w:vAlign w:val="bottom"/>
            <w:tcBorders>
              <w:bottom w:val="single" w:sz="8" w:color="auto"/>
            </w:tcBorders>
          </w:tcPr>
          <w:p>
            <w:pPr>
              <w:jc w:val="center"/>
              <w:ind w:left="4190"/>
              <w:spacing w:after="0"/>
              <w:rPr>
                <w:sz w:val="20"/>
                <w:szCs w:val="20"/>
                <w:color w:val="auto"/>
              </w:rPr>
            </w:pPr>
            <w:r>
              <w:rPr>
                <w:rFonts w:ascii="Times New Roman" w:cs="Times New Roman" w:eastAsia="Times New Roman" w:hAnsi="Times New Roman"/>
                <w:sz w:val="18"/>
                <w:szCs w:val="18"/>
                <w:color w:val="auto"/>
                <w:w w:val="88"/>
              </w:rPr>
              <w:t>2</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48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60" w:type="dxa"/>
            <w:vAlign w:val="bottom"/>
          </w:tcPr>
          <w:p>
            <w:pPr>
              <w:spacing w:after="0"/>
              <w:rPr>
                <w:sz w:val="24"/>
                <w:szCs w:val="24"/>
                <w:color w:val="auto"/>
              </w:rPr>
            </w:pPr>
          </w:p>
        </w:tc>
        <w:tc>
          <w:tcPr>
            <w:tcW w:w="48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60" w:type="dxa"/>
            <w:vAlign w:val="bottom"/>
          </w:tcPr>
          <w:p>
            <w:pPr>
              <w:spacing w:after="0"/>
              <w:rPr>
                <w:sz w:val="18"/>
                <w:szCs w:val="18"/>
                <w:color w:val="auto"/>
              </w:rPr>
            </w:pPr>
          </w:p>
        </w:tc>
        <w:tc>
          <w:tcPr>
            <w:tcW w:w="48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STATEMENTS OF OPERATIONS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60" w:type="dxa"/>
            <w:vAlign w:val="bottom"/>
          </w:tcPr>
          <w:p>
            <w:pPr>
              <w:spacing w:after="0"/>
              <w:rPr>
                <w:sz w:val="20"/>
                <w:szCs w:val="20"/>
                <w:color w:val="auto"/>
              </w:rPr>
            </w:pPr>
          </w:p>
        </w:tc>
        <w:tc>
          <w:tcPr>
            <w:tcW w:w="48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2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45"/>
        </w:trPr>
        <w:tc>
          <w:tcPr>
            <w:tcW w:w="32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2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2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3,293,861</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2,619,805</w:t>
            </w:r>
          </w:p>
        </w:tc>
      </w:tr>
      <w:tr>
        <w:trPr>
          <w:trHeight w:val="249"/>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7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1,717,585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3,064,645</w:t>
            </w:r>
          </w:p>
        </w:tc>
      </w:tr>
      <w:tr>
        <w:trPr>
          <w:trHeight w:val="210"/>
        </w:trPr>
        <w:tc>
          <w:tcPr>
            <w:tcW w:w="32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7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5,011,446</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5,684,450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2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(5,011,446)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(5,684,450)</w:t>
            </w:r>
          </w:p>
        </w:tc>
      </w:tr>
      <w:tr>
        <w:trPr>
          <w:trHeight w:val="216"/>
        </w:trPr>
        <w:tc>
          <w:tcPr>
            <w:tcW w:w="326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 income,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on loan facility</w:t>
      </w:r>
    </w:p>
    <w:p>
      <w:pPr>
        <w:spacing w:after="0" w:line="14" w:lineRule="exact"/>
        <w:rPr>
          <w:sz w:val="20"/>
          <w:szCs w:val="20"/>
          <w:color w:val="auto"/>
        </w:rPr>
      </w:pPr>
    </w:p>
    <w:p>
      <w:pPr>
        <w:jc w:val="right"/>
        <w:ind w:right="336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81,921</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(159,985)</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81,921</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-453390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-162560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(4,929,525)</w:t>
            </w:r>
          </w:p>
        </w:tc>
        <w:tc>
          <w:tcPr>
            <w:tcW w:w="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(5,591,365)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9,399,831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8,281,483</w:t>
            </w:r>
          </w:p>
        </w:tc>
      </w:tr>
      <w:tr>
        <w:trPr>
          <w:trHeight w:val="196"/>
        </w:trPr>
        <w:tc>
          <w:tcPr>
            <w:tcW w:w="50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25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38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780" w:type="dxa"/>
            <w:vAlign w:val="bottom"/>
          </w:tcPr>
          <w:p>
            <w:pPr>
              <w:spacing w:after="0"/>
              <w:rPr>
                <w:sz w:val="24"/>
                <w:szCs w:val="24"/>
                <w:color w:val="auto"/>
              </w:rPr>
            </w:pPr>
          </w:p>
        </w:tc>
        <w:tc>
          <w:tcPr>
            <w:tcW w:w="3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3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80" w:type="dxa"/>
            <w:vAlign w:val="bottom"/>
          </w:tcPr>
          <w:p>
            <w:pPr>
              <w:spacing w:after="0"/>
              <w:rPr>
                <w:sz w:val="20"/>
                <w:szCs w:val="20"/>
                <w:color w:val="auto"/>
              </w:rPr>
            </w:pPr>
          </w:p>
        </w:tc>
        <w:tc>
          <w:tcPr>
            <w:tcW w:w="382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7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37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378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3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available for sale securities, net</w:t>
            </w:r>
          </w:p>
        </w:tc>
        <w:tc>
          <w:tcPr>
            <w:tcW w:w="3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72,305</w:t>
            </w:r>
          </w:p>
        </w:tc>
        <w:tc>
          <w:tcPr>
            <w:tcW w:w="5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97,383</w:t>
            </w:r>
          </w:p>
        </w:tc>
      </w:tr>
      <w:tr>
        <w:trPr>
          <w:trHeight w:val="216"/>
        </w:trPr>
        <w:tc>
          <w:tcPr>
            <w:tcW w:w="37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(4,929,525)</w:t>
            </w:r>
          </w:p>
        </w:tc>
        <w:tc>
          <w:tcPr>
            <w:tcW w:w="5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(5,591,365)</w:t>
            </w: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(4,857,220)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(5,493,982)</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720" w:type="dxa"/>
            <w:vAlign w:val="bottom"/>
            <w:gridSpan w:val="6"/>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See accompanying notes to the unaudited condensed consolidated financial statements</w:t>
            </w:r>
            <w:r>
              <w:rPr>
                <w:rFonts w:ascii="Times New Roman" w:cs="Times New Roman" w:eastAsia="Times New Roman" w:hAnsi="Times New Roman"/>
                <w:sz w:val="18"/>
                <w:szCs w:val="18"/>
                <w:color w:val="auto"/>
                <w:w w:val="99"/>
              </w:rPr>
              <w:t>.</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7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88"/>
              </w:rPr>
              <w:t>4</w:t>
            </w:r>
          </w:p>
        </w:tc>
        <w:tc>
          <w:tcPr>
            <w:tcW w:w="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12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8"/>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45"/>
        </w:trPr>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6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(4,929,525)</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(5,591,365)</w:t>
            </w: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70,301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49,514</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108,009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143,164</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losses, net, on investment securities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73,466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103,084</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(30,679)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338,708</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Realization of deferred income tax asset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1,280,385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1,567,026</w:t>
            </w: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finance charges and debt discount associated with notes payable</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 on investment securities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Advances, deposits, and other current assets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259,561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(11,204)</w:t>
            </w:r>
          </w:p>
        </w:tc>
      </w:tr>
      <w:tr>
        <w:trPr>
          <w:trHeight w:val="24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(2,705,402)</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(638,791)</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(5,873,884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(3,982,594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(105,949)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(3,526,656)</w:t>
            </w: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and maturity of investment securities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(11,755)</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(57,142)</w:t>
            </w: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2,382,296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416,202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equity, net of issuance costs</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2,474,364</w:t>
            </w:r>
          </w:p>
        </w:tc>
        <w:tc>
          <w:tcPr>
            <w:tcW w:w="80" w:type="dxa"/>
            <w:vAlign w:val="bottom"/>
            <w:shd w:val="clear" w:color="auto" w:fill="CCEEFF"/>
          </w:tcPr>
          <w:p>
            <w:pPr>
              <w:spacing w:after="0"/>
              <w:rPr>
                <w:sz w:val="21"/>
                <w:szCs w:val="21"/>
                <w:color w:val="auto"/>
              </w:rPr>
            </w:pPr>
          </w:p>
        </w:tc>
      </w:tr>
      <w:tr>
        <w:trPr>
          <w:trHeight w:val="210"/>
        </w:trPr>
        <w:tc>
          <w:tcPr>
            <w:tcW w:w="6960" w:type="dxa"/>
            <w:vAlign w:val="bottom"/>
            <w:tcBorders>
              <w:top w:val="single" w:sz="8" w:color="CCEEFF"/>
              <w:bottom w:val="single" w:sz="8" w:color="CCEEFF"/>
            </w:tcBorders>
          </w:tcPr>
          <w:p>
            <w:pPr>
              <w:ind w:left="540"/>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2,474,364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7"/>
              </w:rPr>
              <w:t>(3,491,588)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(1,092,028)</w:t>
            </w:r>
          </w:p>
        </w:tc>
      </w:tr>
      <w:tr>
        <w:trPr>
          <w:trHeight w:val="25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5,838,566</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17,492,841</w:t>
            </w:r>
          </w:p>
        </w:tc>
        <w:tc>
          <w:tcPr>
            <w:tcW w:w="80" w:type="dxa"/>
            <w:vAlign w:val="bottom"/>
            <w:shd w:val="clear" w:color="auto" w:fill="CCEEFF"/>
          </w:tcPr>
          <w:p>
            <w:pPr>
              <w:spacing w:after="0"/>
              <w:rPr>
                <w:sz w:val="21"/>
                <w:szCs w:val="21"/>
                <w:color w:val="auto"/>
              </w:rPr>
            </w:pPr>
          </w:p>
        </w:tc>
      </w:tr>
      <w:tr>
        <w:trPr>
          <w:trHeight w:val="216"/>
        </w:trPr>
        <w:tc>
          <w:tcPr>
            <w:tcW w:w="6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 at end of period</w:t>
            </w: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2,346,978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16,400,813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rPr>
              <w:t>IMUNON, INC.</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jc w:val="center"/>
              <w:ind w:left="421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00" w:type="dxa"/>
            <w:vAlign w:val="bottom"/>
            <w:gridSpan w:val="3"/>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(continued)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60" w:type="dxa"/>
            <w:vAlign w:val="bottom"/>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paid for:</w:t>
            </w: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4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179,542</w:t>
            </w:r>
          </w:p>
        </w:tc>
      </w:tr>
      <w:tr>
        <w:trPr>
          <w:trHeight w:val="196"/>
        </w:trPr>
        <w:tc>
          <w:tcPr>
            <w:tcW w:w="69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Recognition of Operating Lease Right of Use Asset and Liability</w:t>
            </w:r>
          </w:p>
        </w:tc>
        <w:tc>
          <w:tcPr>
            <w:tcW w:w="14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1,911,049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8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8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4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1"/>
                <w:szCs w:val="21"/>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7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0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9,399,811</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$ 93,998</w:t>
            </w:r>
          </w:p>
        </w:tc>
        <w:tc>
          <w:tcPr>
            <w:tcW w:w="13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$ 401,500,838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60,796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(388,182,802)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(4,929,525)</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(4,929,525)</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 of restricted</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net, 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securities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72,305</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(30,690)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(30,690)</w:t>
            </w:r>
          </w:p>
        </w:tc>
        <w:tc>
          <w:tcPr>
            <w:tcW w:w="0" w:type="dxa"/>
            <w:vAlign w:val="bottom"/>
          </w:tcPr>
          <w:p>
            <w:pPr>
              <w:spacing w:after="0"/>
              <w:rPr>
                <w:sz w:val="1"/>
                <w:szCs w:val="1"/>
                <w:color w:val="auto"/>
              </w:rPr>
            </w:pPr>
          </w:p>
        </w:tc>
      </w:tr>
      <w:tr>
        <w:trPr>
          <w:trHeight w:val="167"/>
        </w:trPr>
        <w:tc>
          <w:tcPr>
            <w:tcW w:w="230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2024 (unaudited)</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9,400,911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$ 94,009</w:t>
            </w: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$ 401,470,148</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 (85,188)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133,101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 (393,112,327)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8,499,743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1880" w:type="dxa"/>
            <w:vAlign w:val="bottom"/>
            <w:gridSpan w:val="5"/>
            <w:vMerge w:val="continue"/>
          </w:tcPr>
          <w:p>
            <w:pPr>
              <w:spacing w:after="0"/>
              <w:rPr>
                <w:sz w:val="17"/>
                <w:szCs w:val="17"/>
                <w:color w:val="auto"/>
              </w:rPr>
            </w:pPr>
          </w:p>
        </w:tc>
        <w:tc>
          <w:tcPr>
            <w:tcW w:w="1200" w:type="dxa"/>
            <w:vAlign w:val="bottom"/>
            <w:gridSpan w:val="2"/>
          </w:tcPr>
          <w:p>
            <w:pPr>
              <w:jc w:val="right"/>
              <w:ind w:right="300"/>
              <w:spacing w:after="0" w:line="202"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2700" w:type="dxa"/>
            <w:vAlign w:val="bottom"/>
          </w:tcPr>
          <w:p>
            <w:pPr>
              <w:spacing w:after="0"/>
              <w:rPr>
                <w:sz w:val="21"/>
                <w:szCs w:val="21"/>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3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9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7,436,219</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$ 74,362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$ 397,980,023</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(85,188)</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26,494</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(368,667,825)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29,327,866</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(5,591,365)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(5,591,365)</w:t>
            </w: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equity through equity</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facilities, net of costs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1,660,608</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16,606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2,457,756</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2,474,362</w:t>
            </w:r>
          </w:p>
        </w:tc>
        <w:tc>
          <w:tcPr>
            <w:tcW w:w="0" w:type="dxa"/>
            <w:vAlign w:val="bottom"/>
          </w:tcPr>
          <w:p>
            <w:pPr>
              <w:spacing w:after="0"/>
              <w:rPr>
                <w:sz w:val="1"/>
                <w:szCs w:val="1"/>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options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and unrealized gains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net, on investments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97,383</w:t>
            </w:r>
          </w:p>
        </w:tc>
        <w:tc>
          <w:tcPr>
            <w:tcW w:w="1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97,383</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338,708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338,708</w:t>
            </w:r>
          </w:p>
        </w:tc>
        <w:tc>
          <w:tcPr>
            <w:tcW w:w="0" w:type="dxa"/>
            <w:vAlign w:val="bottom"/>
          </w:tcPr>
          <w:p>
            <w:pPr>
              <w:spacing w:after="0"/>
              <w:rPr>
                <w:sz w:val="1"/>
                <w:szCs w:val="1"/>
                <w:color w:val="auto"/>
              </w:rPr>
            </w:pPr>
          </w:p>
        </w:tc>
      </w:tr>
      <w:tr>
        <w:trPr>
          <w:trHeight w:val="180"/>
        </w:trPr>
        <w:tc>
          <w:tcPr>
            <w:tcW w:w="27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9,097,027</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$ 90,970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$ 400,776,487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(85,188)</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123,877</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(374,259,190)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26,646,956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w:t>
      </w:r>
    </w:p>
    <w:p>
      <w:pPr>
        <w:jc w:val="both"/>
        <w:spacing w:after="0" w:line="209" w:lineRule="auto"/>
        <w:rPr>
          <w:sz w:val="20"/>
          <w:szCs w:val="20"/>
          <w:color w:val="auto"/>
        </w:rPr>
      </w:pPr>
      <w:r>
        <w:rPr>
          <w:rFonts w:ascii="Times New Roman" w:cs="Times New Roman" w:eastAsia="Times New Roman" w:hAnsi="Times New Roman"/>
          <w:sz w:val="18"/>
          <w:szCs w:val="18"/>
          <w:color w:val="auto"/>
        </w:rPr>
        <w:t>conventional therapies. IMUNON is developing its non-viral DNA technology across its modalities. The first modality, TheraPlas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proteins and cytokines in the treatment of solid tumors where an immunological approach is deemed promising. The second modality,</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PlaCCine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viral antigens that can elicit a strong immunological response. This technology may represent a promising platform for the development of vaccines in infectious diseases.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II development. IMNN-001 works by instructing the body to produce durable levels, within certain safety parameters, of powerful cancer-fighting molecules, such as interleukin-12 and interferon gamma, at the tumor site. Additionally, the Company is entering a first-in-human study of its COVID-19 booster vaccine (IMNN-101). We will continue to leverage these modalities and to advance the technological frontier of plasmid DNA to better serve patients with difficult-to-treat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which include the accounts of the Company and its wholly owned subsidiaries,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ended March 31, 2024,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three-months ended March 31, 2024 and 2023,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2023, filed with the Securities and Exchange Commission on March 28,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judgments, estimates, and assumptions that affect the amounts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inception. For the quarter ended March 31, 2024, the Company had a net loss of $4.9 million and used $5.9 million to fund operations. As of March 31, 2024, the Company has incurred approximately $393 million of cumulative net losses. As of March 31, 2024, the Company had $9.8 million in cash and cash equivalents, short-term investments, and interest receivable to fund its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the Russian invasion of Ukraine and the unrest in the Middle East. The Company continues to monitor its operating activities in light of these events, and it is possible that these events could result in a variety of risks to the business. The specific impact, if any, is not readily determinable as of the date of these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net operating losses and other sources. If the Company raises funds by selling additional shares of common stock or other securities convertible into common stock, the ownership interest of existing stockholders may be diluted.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actual amount of funds the Company will need to operate is subject to many factors, some of which are beyond the Company’s control. These factors include the progress of research activities; the number and scope of research programs; the progress of preclinical and clinical development activities; the progress of the development efforts of parties with whom the Company has entered into research and development agreements; the costs associated with additional clinical trials of drug candidates; the ability to achieve milestones under licensing arrangements; the costs involved in prosecuting and enforcing patent claims and other intellectual property rights; and the costs and timing of regulatory approvals.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fundamental component of the ability to continue as a going concern is the Company’s ability to raise capital as required, as to which no assurances can be provided. To address the additional funding requirements of the Company, management has undertaken the following initiatives: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assessed its current expenditures and will be reducing the current spending requirements where necessary;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additional capital funding in the public and private markets through equity sales and/or debt facilities;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possible partnerships and collaborations;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pursue potential out licensing for its drug candidates.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continue as a going concern may depend on the Company’s ability to raise additional capital, attain further operating efficiencies, reduce expenditures, and, ultimately, to generate revenue. There are no assurances that these future funding and operating efforts will be successful. If management is unsuccessful in these efforts, the Company’s current capital is not expected to be sufficient to fund the Company’s operations for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New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(the “FASB”) and are adopted by the Company as of the specified effective date. Unless otherwise discussed, the Company believes that the impact of recently issued accounting pronouncements will not have a material impact on the Company’s consolidated financial position, results of operations, and cash flows, or do not apply to its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disclosure of disaggregated income taxes paid, prescribes standard categories for the components of the effective tax rate reconciliation, and modifies other income tax-related disclosures. ASU No. 2023-09 is effective for fiscal years beginning after December 15, 2024 and allows for adoption on a prospective basis, with a retrospective option. Early adoption is permitted. The Company is currently evaluating the impact of the ASU on the income tax disclosures within the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common share is calculated based upon the net loss available to common stockholders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issuable upon exercise of warrants, stock option grants and equity awards were 1,197,390 and 1,289,258 shares for the periods ended March 31, 2024 and 2023, respectively. For the three-month periods ended March 31, 2024 and 2023,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three months of 2024 or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Debt Securities-Available for Sale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debt securities available for sale with a fair value of $7,461,875 and $9,857,087 as of March 31, 2024 and December 31, 2023, respectively, which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debt securities classified as short-term investments on a regular basis for impairment. For debt securities in unrealized loss positions, the Company determines whether any portion of the decline in fair value below the amortized cost basis is due to credit-related factors if it neither intends to sell nor anticipates that it is more likely than not that it will be required to sell prior to recovery of the amortized cost basis. The Company considers factors such as the extent to which the market value has been less than the cost, any noted failure of the issuer to make scheduled payments, changes to the rating of the security and other relevant credit-related factors in determining whether or not a credit loss exists. During the first three months of 2024 and the fiscal year ended December 31, 2023, the Company did not recognize an allowance for credit-related losses on any of our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0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Pr>
          <w:p>
            <w:pPr>
              <w:spacing w:after="0"/>
              <w:rPr>
                <w:sz w:val="21"/>
                <w:szCs w:val="21"/>
                <w:color w:val="auto"/>
              </w:rPr>
            </w:pPr>
          </w:p>
        </w:tc>
        <w:tc>
          <w:tcPr>
            <w:tcW w:w="300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7"/>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7,328,774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7,461,875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9,796,291</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9,857,087</w:t>
            </w:r>
          </w:p>
        </w:tc>
      </w:tr>
      <w:tr>
        <w:trPr>
          <w:trHeight w:val="434"/>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Pr>
          <w:p>
            <w:pPr>
              <w:spacing w:after="0"/>
              <w:rPr>
                <w:sz w:val="24"/>
                <w:szCs w:val="24"/>
                <w:color w:val="auto"/>
              </w:rPr>
            </w:pPr>
          </w:p>
        </w:tc>
        <w:tc>
          <w:tcPr>
            <w:tcW w:w="300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7"/>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 maturities</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Within 3 months</w:t>
            </w: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7,328,773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7,461,875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2,467,518</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2,490,775</w:t>
            </w:r>
          </w:p>
        </w:tc>
      </w:tr>
      <w:tr>
        <w:trPr>
          <w:trHeight w:val="24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3-12 months</w:t>
            </w: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7,328,773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7,366,312</w:t>
            </w:r>
          </w:p>
        </w:tc>
      </w:tr>
      <w:tr>
        <w:trPr>
          <w:trHeight w:val="217"/>
        </w:trPr>
        <w:tc>
          <w:tcPr>
            <w:tcW w:w="3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7,328,774</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7,461,875</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9,796,291</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9,857,087</w:t>
            </w:r>
          </w:p>
        </w:tc>
        <w:tc>
          <w:tcPr>
            <w:tcW w:w="100" w:type="dxa"/>
            <w:vAlign w:val="bottom"/>
            <w:tcBorders>
              <w:top w:val="single" w:sz="8" w:color="CCEEFF"/>
            </w:tcBorders>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March 31, 2024 and December 31, 2023. The Company has reviewed individual securities to determine whether a decline in fair value below the amortizable cost basis is other than temporary.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1"/>
                <w:szCs w:val="21"/>
                <w:color w:val="auto"/>
              </w:rPr>
            </w:pPr>
          </w:p>
        </w:tc>
        <w:tc>
          <w:tcPr>
            <w:tcW w:w="3120" w:type="dxa"/>
            <w:vAlign w:val="bottom"/>
            <w:gridSpan w:val="6"/>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4"/>
        </w:trPr>
        <w:tc>
          <w:tcPr>
            <w:tcW w:w="40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Available for sale securities (all unrealized holding</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gains are less than 12 months at date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Holding</w:t>
            </w:r>
          </w:p>
        </w:tc>
      </w:tr>
      <w:tr>
        <w:trPr>
          <w:trHeight w:val="245"/>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1"/>
                <w:szCs w:val="21"/>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r>
      <w:tr>
        <w:trPr>
          <w:trHeight w:val="216"/>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debt securities with unrealized gains</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7,461,875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133,101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9,857,087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60,796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 (loss) income, which includes net realized losses on sales of available for sale securities and investment income interest and dividends, is summarized as follows:</w:t>
      </w:r>
    </w:p>
    <w:p>
      <w:pPr>
        <w:spacing w:after="0" w:line="15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dividends accrued and paid</w:t>
            </w: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356,154</w:t>
            </w:r>
          </w:p>
        </w:tc>
        <w:tc>
          <w:tcPr>
            <w:tcW w:w="100" w:type="dxa"/>
            <w:vAlign w:val="bottom"/>
            <w:shd w:val="clear" w:color="auto" w:fill="CCEEFF"/>
          </w:tcPr>
          <w:p>
            <w:pPr>
              <w:spacing w:after="0"/>
              <w:rPr>
                <w:sz w:val="18"/>
                <w:szCs w:val="18"/>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 on Investment in debt securities</w:t>
            </w:r>
          </w:p>
        </w:tc>
        <w:tc>
          <w:tcPr>
            <w:tcW w:w="1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(73,466)</w:t>
            </w: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(103,084)</w:t>
            </w:r>
          </w:p>
        </w:tc>
      </w:tr>
      <w:tr>
        <w:trPr>
          <w:trHeight w:val="229"/>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net</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FASB Accounting Standards Codification Section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or identical assets or liabilities in active markets that the entity has the ability to access as of the measurement date;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reflect a reporting entity’s own assumptions that market participants would use in pricing an asset or liability.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are determined by relying on the securities’ relationship to other benchmark quoted securities and classified its investments as Level 1 items in both 2024 and 2023. There were no transfers of assets or liabilities between Level 1 and Level 2 and no transfers in or out of Level 3 during the three-month period ended March 31, 2024 or during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3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Fair Value</w:t>
            </w:r>
          </w:p>
        </w:tc>
        <w:tc>
          <w:tcPr>
            <w:tcW w:w="100" w:type="dxa"/>
            <w:vAlign w:val="bottom"/>
          </w:tcPr>
          <w:p>
            <w:pPr>
              <w:spacing w:after="0"/>
              <w:rPr>
                <w:sz w:val="21"/>
                <w:szCs w:val="21"/>
                <w:color w:val="auto"/>
              </w:rPr>
            </w:pPr>
          </w:p>
        </w:tc>
        <w:tc>
          <w:tcPr>
            <w:tcW w:w="17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 items as of March 31, 2024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7,461,875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7,461,875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Recurring items as of December 31, 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obligations, available for sale</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9,857,087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3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Accrued Liabilities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at March 31, 2024 and December 31, 2023 include the following:</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9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contract research organizations and other contractual agreements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1,442,659</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1,379,016</w:t>
            </w: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1,693,383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34,481</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234,479</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1,958,575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Payable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SVB Loan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18, 2021, the Company entered into a $10 million loan facility (the “SVB Loan Facility”) with Silicon Valley Bank (“SVB”). Imunon immediately drew down $6 million from the SVB Loan Facility and used the funds to retire all outstanding indebtedness with Horizon Technology Finance Corporation pursuant to a loan agreement entered into on June 27, 2018, under which the Company had drawn down $10 million and repaid $5 million in August 2020. Concurrently with this transaction, the Company used $6.0 million of other available funds to establish a restricted cash account which served as security for the SVB Loan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SVB Loan Facility was in the form of money market secured indebtedness bearing interest at a calculated WSJ Prime-based variable rate. A final payment equal to 3% of the total $10 million commitment amount was due upon maturity or prepayment of the SVB Loan Facility. There was no facility commitment fee, and no stock or warrants were issued to SVB. Payments under the loan agreement were interest only for the first 24 months after loan closing, followed by a 24-month amortization period of principal and interest through the scheduled maturity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SVB Loan Facility, the Company incurred financing fees and expenses totaling $243,370 which was recorded and classified as debt discount and was amortized as interest expense using the effective interest method over the life of the loan. Also, in connection with the SVB Loan Facility, the Company was required to pay an end-of-term fee equal to 3.0% of the original loan amount at time of maturity. Therefore, these amounts totaling $300,000 were amortized as interest expense using the effective interest method over the life of the loan. During the years ended December 31, 2023, the Company incurred interest expense of $197,080 and amortized $329,158, as interest expense for debt discounts and end-of-term fee in connection with the SVB Loan Facility.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2023, the Company repaid the outstanding principal balance, an early termination fee and the end-of-term charges in full satisfaction of the SVB Loan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loss of $329,158 on the early termination of the SVB Loan Facility which represented the early termination fee and the end of the term fees, net of previously amortized interest expense totaling $334,212 on the date of its payoff.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At the Market Offering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25, 2022, the Company entered into an At the Market Offering Agreement (the “ATM Agreement”) with H.C. Wainwright &amp; Co., LLC (“Wainwright”) as sales agent, pursuant to which the Company may offer and sell, from time to time, through Wainwright, shares of the Company’s common stock having an aggregate offering price of up to $7,500,000. The Company intends to use the net proceeds from the offering for general corporate purposes, including research and development activities, capital expenditures and working capital. In the first quarter of 2023, the Company sold 1,660,608 shares of common stock under the ATM Agreement for net proceeds of $2,474,362.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2018 Annual Stockholders Meeting of the Company held on May 15, 2018, stockholders approved the Imunon, Inc. 2018 Stock Incentive Plan (the “2018 Plan”). The 2018 Plan, as adopted, permits the granting of 180,000 shares of Imunon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 At the 2023 Annual Stockholders Meeting of the Company held on June 14, 2023, stockholders approved an amendment to the 2018 Plan, as previously amended, whereby the Company increased the number of shares of common stock available by 1,030,000 to a total of 1,970,000 under the 2018 Plan, as amended.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issued stock awards to employees and directors in the form of stock options and restricted stock. Options are generally granted with strike prices equal to the fair market value of a share of Imunon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Imunon must be at least 110% of such fair market value on the date of grant. Only officers and key employees may receive incentive stock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the Compensation Committee of the Board of Directors approved the grant of (i) inducement stock options (the “Inducement Option Grants”) to purchase a total of 294,751 shares of Imunon common stock and (ii) inducement restricted stock awards (the “Inducement Stock Grants”) totaling 91,350 shares of Imunon common stock. Each Inducement Option Grant has a weighted exercise price of $1.59 per share. Each Inducement Option Grant vests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there were a total of 1,975,073 shares of Imunon common stock reserved for issuance under the 2018 Plan, which were comprised of 883,495 shares of Imunon common stock subject to equity awards previously granted under the 2018 Plan and the Company’s 2007 Stock Incentive Plan and 1,122,578 shares of Imunon common stock available for future issuance under the 2018 Plan. As of March 31, 2024, there were a total of 153,835 shares of Imunon common stock subject to outstanding inducement awards.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stock options and restricted stock awards was approximately $31,000 reversal of expense for period ended March 31, 2024 and $0.8 million during the period ended March 31, 2023. Of these amounts, approximately $65,000 for the period ended March 31, 2024 and $0.2 million for the period ended March 31, 2023 were charged to research and development expenses and $96,000 reversal of expense for the period ended March 31, 2024 and $0.6 million for the period ended March 31, 2023 were charged to general and administrative expenses.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option awards and restricted stock grants, inclusive of awards granted under the 2018 Stock Plan and Inducement Option Grants for the three-months ended March 31, 2024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5"/>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31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32"/>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vMerge w:val="continue"/>
          </w:tcPr>
          <w:p>
            <w:pPr>
              <w:spacing w:after="0"/>
              <w:rPr>
                <w:sz w:val="20"/>
                <w:szCs w:val="20"/>
                <w:color w:val="auto"/>
              </w:rPr>
            </w:pPr>
          </w:p>
        </w:tc>
        <w:tc>
          <w:tcPr>
            <w:tcW w:w="3100" w:type="dxa"/>
            <w:vAlign w:val="bottom"/>
            <w:gridSpan w:val="5"/>
            <w:vMerge w:val="continue"/>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6"/>
                <w:szCs w:val="16"/>
                <w:color w:val="auto"/>
              </w:rPr>
            </w:pPr>
          </w:p>
        </w:tc>
        <w:tc>
          <w:tcPr>
            <w:tcW w:w="13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Non-vested</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Terms of</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0" w:type="dxa"/>
            <w:vAlign w:val="bottom"/>
          </w:tcPr>
          <w:p>
            <w:pPr>
              <w:spacing w:after="0"/>
              <w:rPr>
                <w:sz w:val="1"/>
                <w:szCs w:val="1"/>
                <w:color w:val="auto"/>
              </w:rPr>
            </w:pPr>
          </w:p>
        </w:tc>
      </w:tr>
      <w:tr>
        <w:trPr>
          <w:trHeight w:val="245"/>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21"/>
                <w:szCs w:val="21"/>
                <w:color w:val="auto"/>
              </w:rPr>
            </w:pPr>
          </w:p>
        </w:tc>
        <w:tc>
          <w:tcPr>
            <w:tcW w:w="14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21"/>
                <w:szCs w:val="21"/>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January 1, 2024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1,063,482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granted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0.86</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vested and issued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terminated</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(209,152)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at March 31, 2024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1,006,330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outstanding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at March 31, 2023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exercisable at March 31, 2024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661,985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Aggregate intrinsic value of equity awards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119,818</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was $0.2 million of total unrecognized compensation cost related to non-vested stock-based compensation arrangements. That cost is expected to be recognized over a period of three to four years. The weighted average grant date fair values of the stock options granted were $0.86 and $1.32 during the three-month periods ended March 31, 2024 and 2023,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7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111.82%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107.03 to 111.91%</w:t>
            </w:r>
          </w:p>
        </w:tc>
      </w:tr>
      <w:tr>
        <w:trPr>
          <w:trHeight w:val="21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9.0 to 10.0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 to 10.0</w:t>
            </w:r>
          </w:p>
        </w:tc>
      </w:t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Warrants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Following is a summary of all warrant activity for the three-month period ended March 31, 2024:</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160,060</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March 31, 2024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160,060</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 of outstanding warrants at March 31, 2024</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terms at March 31, 2024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 years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Leases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Lawrenceville, New Jersey Lease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2023, the Company renewed its Lawrenceville office lease for a 24-month agreement for 9,850 square feet with monthly rent payments of approximately $22,983 to $23,394.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Huntsville, Alabama Lease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renewed its Huntsville facility lease for a 60-month lease agreement for 11,420 square feet with monthly rent payments of approximately $28,550 to $30,903.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lease payments and maturity of the Company’s operating lease liabilities as of March 31,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0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470,581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543,009</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362,976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370,236</w:t>
            </w:r>
          </w:p>
        </w:tc>
      </w:tr>
      <w:tr>
        <w:trPr>
          <w:trHeight w:val="23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3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30,903</w:t>
            </w:r>
          </w:p>
        </w:tc>
      </w:tr>
      <w:tr>
        <w:trPr>
          <w:trHeight w:val="203"/>
        </w:trPr>
        <w:tc>
          <w:tcPr>
            <w:tcW w:w="57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Subtotal future lease payments</w:t>
            </w:r>
          </w:p>
        </w:tc>
        <w:tc>
          <w:tcPr>
            <w:tcW w:w="34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1,777,705</w:t>
            </w:r>
          </w:p>
        </w:tc>
        <w:tc>
          <w:tcPr>
            <w:tcW w:w="160" w:type="dxa"/>
            <w:vAlign w:val="bottom"/>
            <w:tcBorders>
              <w:top w:val="single" w:sz="8" w:color="CCEEFF"/>
            </w:tcBorders>
          </w:tcPr>
          <w:p>
            <w:pPr>
              <w:spacing w:after="0"/>
              <w:rPr>
                <w:sz w:val="17"/>
                <w:szCs w:val="17"/>
                <w:color w:val="auto"/>
              </w:rPr>
            </w:pPr>
          </w:p>
        </w:tc>
      </w:tr>
      <w:tr>
        <w:trPr>
          <w:trHeight w:val="23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(269,032)</w:t>
            </w:r>
          </w:p>
        </w:tc>
      </w:tr>
      <w:tr>
        <w:trPr>
          <w:trHeight w:val="243"/>
        </w:trPr>
        <w:tc>
          <w:tcPr>
            <w:tcW w:w="57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liabilities</w:t>
            </w:r>
          </w:p>
        </w:tc>
        <w:tc>
          <w:tcPr>
            <w:tcW w:w="3420" w:type="dxa"/>
            <w:vAlign w:val="bottom"/>
            <w:tcBorders>
              <w:top w:val="single" w:sz="8" w:color="CCEEFF"/>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1,508,673</w:t>
            </w:r>
          </w:p>
        </w:tc>
        <w:tc>
          <w:tcPr>
            <w:tcW w:w="160" w:type="dxa"/>
            <w:vAlign w:val="bottom"/>
            <w:tcBorders>
              <w:top w:val="single" w:sz="8" w:color="CCEEFF"/>
              <w:bottom w:val="single" w:sz="8" w:color="CCEEFF"/>
            </w:tcBorders>
          </w:tcPr>
          <w:p>
            <w:pPr>
              <w:spacing w:after="0"/>
              <w:rPr>
                <w:sz w:val="21"/>
                <w:szCs w:val="21"/>
                <w:color w:val="auto"/>
              </w:rPr>
            </w:pPr>
          </w:p>
        </w:tc>
      </w:tr>
      <w:tr>
        <w:trPr>
          <w:trHeight w:val="197"/>
        </w:trPr>
        <w:tc>
          <w:tcPr>
            <w:tcW w:w="57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life</w:t>
            </w: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57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three-month period ended March 31, 2024, operating lease expense was $154,514 and cash paid for operating leases included in operating cash flows was $162,545. For the three-month period ended March 31, 2023, operating lease expense was $159,276 and cash paid for operating leases included in operating cash flows was $166,705.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a derivative shareholder lawsuit was filed against the Company, as the nominal defendant, and certain of its directors and officers as defendants in the U.S. District Court for the District of New Jersey, captioned Fidler v. Michael H. Tardugno, et al., Case No. 3:21-cv-02662. The plaintiff alleged breach of fiduciary duty and other claims arising out of alleged statements made by certain of the Company’s directors and/or officers regarding ThermoDox®.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16, 2022 the Company entered into a convertible note purchase agreement with Transomic Technologies, Inc. (“Transomic”) whereby the Company purchased $375,000 of convertible notes secured by certain assets held by Transomic and warrants. Imunon purchased product from Transomic for research and development purposes – primarily delivery vectors for its vaccine program. As a result of this investment in Transomic, Imunon’s executive chairman, Mr. Michael Tardugno, was appointed to the Board of Directors of Transomic. The Company disclosed the notes receivable as a related party transaction. In December 2023, Transomic filed a formal certificate of dissolution of the company resulting in a complete write off of the convertible note and related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its subsequent events from March 31, 2024, through the date these consolidated financial statements were issued.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is a clinical-stage biotechnology company focused on advancing a portfolio of innovative treatments that harness the body’s natural mechanisms with the aim to generate safe, effective and durable responses across a broad array of human diseases, constituting a differentiating approach from</w:t>
      </w:r>
    </w:p>
    <w:p>
      <w:pPr>
        <w:jc w:val="both"/>
        <w:spacing w:after="0" w:line="209" w:lineRule="auto"/>
        <w:rPr>
          <w:sz w:val="20"/>
          <w:szCs w:val="20"/>
          <w:color w:val="auto"/>
        </w:rPr>
      </w:pPr>
      <w:r>
        <w:rPr>
          <w:rFonts w:ascii="Times New Roman" w:cs="Times New Roman" w:eastAsia="Times New Roman" w:hAnsi="Times New Roman"/>
          <w:sz w:val="18"/>
          <w:szCs w:val="18"/>
          <w:color w:val="auto"/>
        </w:rPr>
        <w:t>conventional therapies. IMUNON is developing its non-viral DNA technology across its modalities. The first modality, TheraPlas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proteins and cytokines in the treatment of solid tumors where an immunological approach is deemed promising. The second modality,</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PlaCCine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is developed for the coding of viral antigens that can elicit a strong immunological response. This technology may represent a promising platform for the development of vaccines in infectious diseases.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lead clinical program, IMNN-001, is a DNA-based immunotherapy for the localized treatment of advanced ovarian cancer currently in Phase II development. IMNN-001 works by instructing the body to produce durable levels, within certain safety parameters, of powerful cancer-fighting molecules, such as interleukin-12 and interferon gamma, at the tumor site. Additionally, the Company is entering a first-in-human study of its COVID-19 booster vaccine (IMNN-101). We will continue to leverage these modalities and to advance the technological frontier of plasmid DNA to better serve patients with difficult-to-treat conditions.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Platform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Imunon’s technology platform is optimized for the delivery of DNA and mRNA therapeutics via synthetic non-viral carriers and is capable of providing cell transfection for double-stranded DNA plasmids and large therapeutic RNA segments such as mRNA. There are two components to the system, a backbone with plasmid DNA or mRNA payload encoding therapeutic proteins, or pathogen antigens or tumor associated antigens or cancer neoantigens and a delivery system. The delivery system is designed to protect the DNA/mRNA from degradation and promote trafficking into cells and through intracellular compartments. We designed the delivery system by chemically modifying the low molecular weight polymer to improve its gene transfer activity without increasing toxicity. We believe that our non-viral DNA technology may be a viable alternative to current approaches to gene delivery due to several distinguishing characteristics, including enhanced molecular versatility that allows for complex modifications to potentially improve activity and safety.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biocompatibility of these polymers reduces the risk of adverse immune response, thus allowing for repeated administration. Compared to naked DNA or cationic lipids, our delivery systems are generally more efficient, cost effective and have a more favorable safety profile. We believe that these advantages place Imunon in a position to capitalize on this technology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THERAPLAS MODALITY: IMNN-001 DEVELOPMENT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Ovarian Cancer Overview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40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and 17%, respectively. First-line chemotherapy regimens are typically platinum-based combination therapies. Although this first line of treatment has an approximate 80% response rate, 55% to 75%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bevacizumab are the only approved second-line therapies for platinum-resistant ovarian cancer. The overall response rate for these therapies is 10% to 20% with median overall survival (“OS”) of 11 to 12 months. Additionally, 10% to 15% of ovarian cancer cases nationwide are a result of germline or somatic BRCA mutations. With cognizance of tumor genetics, practice has shifted to include targeted agents in ovarian cancer treatment.</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Poly (ADP-ribose) polymerase (“PARP”) enzymes are responsible for detecting and repairing single-stranded and double-stranded DNA breaks during cell replication. BRCA1/2 mutations hinder the homologous recombination repair pathway, and tumor cells utilize PARP enzymes to repair DNA. For this reason, these tumors are particularly sensitive to the mechanism of PARP inhibitors. PARP inhibitors have expanded treatment options in ovarian cancer, but few treatment options are left for women who are not eligible to receive PARP inhibitors.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Immunotherapy is an attractive, novel approach for the treatment of ovarian cancer particularly since ovarian cancers are considered immunogenic tumors. Interleukin-12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IMNN-001 Immunotherapy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IMNN-001 is a DNA-based immunotherapeutic drug candidate for the localized treatment of ovarian cancer by intraperitoneally administering an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87"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Loco-regional production of the potent cytokine IL-12 avoids toxicities and poor pharmacokinetics associated with systemic delivery of recombinant IL-12;</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Persistent local delivery of IL-12 lasts up to one week and dosing can be repeated;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therapy is ideal for long-term maintenance therapy.</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OVATION 1 Study</w:t>
      </w:r>
      <w:r>
        <w:rPr>
          <w:rFonts w:ascii="Times New Roman" w:cs="Times New Roman" w:eastAsia="Times New Roman" w:hAnsi="Times New Roman"/>
          <w:sz w:val="18"/>
          <w:szCs w:val="18"/>
          <w:color w:val="auto"/>
        </w:rPr>
        <w:t>. In February 2015, we announced that the FDA accepted the Phase I dose-escalation clinical trial of IMNN-001 in combination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standard of care in neoadjuvant ovarian cancer (the “OVATION 1 Study”). The OVATION 1 Study was designed to:</w:t>
      </w:r>
    </w:p>
    <w:p>
      <w:pPr>
        <w:spacing w:after="0" w:line="159"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 tolerable and therapeutically active dose of IMNN-001 within certain safety parameters by recruiting and maximizing an immune response;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three to six patients per dose level and evaluate safety and efficacy;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define an optimal dose for a follow-on Phase I/II study.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OVATION 1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76"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Infiltration of cancer fighting T-cell lymphocytes into primary tumor and tumor microenvironment including peritoneal cavity, which is the primary site of metastasis of ovarian cancer;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systemic levels of immuno-stimulatory and immune-suppressive cytokines associated with tumor suppression and growth, respectively;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2016 and 2017, we announced data from the first 14 patients in the OVATION 1 Study. On October 3, 2017, we announced final translational research and clinical data from the OVATION 1 Study.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Key translational research findings from all evaluable patients were consistent with the earlier reports from partial analysis of the data and are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intraperitoneal treatment of IMNN-001 in conjunction with standard-of-care neoadjuvant chemotherapy (“NACT”) resulted in dose-dependent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were consistent with an IL-12 based immune mechanism;</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ind w:left="980" w:right="2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was a leading indicator and believed to be a good predictor of improved OS;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peritoneal fluid by cell sorting, not reported before, showed a treatment-related decrease in the percentage of immunosuppressive T-cell (Foxp3+), which was consistent with the reduction of Foxp3+ T-cells in the primary tumor tissue, and a shift in tumor naïve CD8+ cell population to more efficient tumor killing memory effector CD8+ cells.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reported encouraging clinical data from the first 14 patients who completed treatment in the OVATION 1 Study. IMNN-001 plus standard chemotherapy produced no dose-limiting toxicities and positive dose dependent efficacy signals which correlate well with positive surgical outcomes as summarized below:</w:t>
      </w:r>
    </w:p>
    <w:p>
      <w:pPr>
        <w:spacing w:after="0" w:line="176"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14 patients treated in the entire study, two patients demonstrated a complete response, 10 patients demonstrated a partial response, and two patients demonstrated stable disease, as measured by Response Evaluation Criteria in Solid Tumors (“RECIST”) criteria. This translated to a 100% disease control rate and an 86% objective response rate (“ORR”). Of the five patients treated in the highest dose cohort, there was a 100% ORR with one complete response and four partial responses;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experienced a clinically significant decrease in their CA-125 protein levels as of their most recent study visit. CA-125 was used to monitor certain cancers during and after treatment. CA-125 was present in greater concentrations in ovarian cancer cells than in other cells.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1 Study showed positive results in progression-free survival (“PFS”). The hazard ratio (“HR”) was 0.53 in the intent-to-treat (“ITT”) group, showing strong signals of efficacy. In its March 2019 discussion with the Company, the FDA noted that preliminary findings from the Phase Ib OVATION 1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2021, the Company announced final PFS results from the OVATION 1 Study published in the Journal of Clinical Cancer Research. Median PFS in patients treated per protocol (n=14) was 21 months and was 18.4 months for the ITT population (n=18) for all dose cohorts, including three patients who dropped out of the study after 13 days or less, and two patients who did not receive full NACT and IMNN-001 cycles. Under the current standard of care, in women with Stage III/IV ovarian cancer undergoing NACT, their disease progresses within about 12 months on average. The results from the OVATION 1 Study supported continued evaluation of IMNN-001 based on promising tumor response, as reported in the PFS data, and the ability for surgeons to completely remove visible tumors at interval debulking surgery. IMNN-001 was well tolerated, and no dose-limiting toxicities were detected in the OVATION 1 Study. Intraperitoneal administration of IMNN-001 was feasible with broad patient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OVATION 2 Study. </w:t>
      </w:r>
      <w:r>
        <w:rPr>
          <w:rFonts w:ascii="Times New Roman" w:cs="Times New Roman" w:eastAsia="Times New Roman" w:hAnsi="Times New Roman"/>
          <w:sz w:val="18"/>
          <w:szCs w:val="18"/>
          <w:color w:val="auto"/>
        </w:rPr>
        <w:t>The Company held an Advisory Board Meeting on September 27, 2017 with the clinical investigators and scientific experts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those from Roswell Park Cancer Institute, Vanderbilt University Medical School, and M.D. Anderson Cancer Center to review and finalize clinical, translational research and safety data from the OVATION 1 Study to determine the next steps forward for our IMNN-001 immunotherapy program. On November 13, 2017, the Company filed its Phase I/II clinical trial protocol with the FDA for IMNN-001 for the localized treatment of ovarian cancer. The protocol was designed with a single dose escalation phase to 100 mg/m² to identify a tolerable dose of IMNN-001 within certain safety parameters while maximizing an immune response. The Phase I portion of the study would be followed by a continuation at the selected dose in approximately 110 patients randomized Phase II study.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OVATION 2 Study, patients in the IMNN-001 treatment arm would receive IMNN-001 plus chemotherapy pre- and post-interval debulking surgery (“IDS”). The OVATION 2 Study was designed to include up to 110 patients with Stage III/IV ovarian cancer, with 12 to 15 patients in the Phase I portion and up to 95 patients in Phase II. The study was powered to show a 33% improvement in the primary endpoint, PFS, when comparing IMNN-001 with neoadjuvant + adjuvant chemotherapy versus neoadjuvant + adjuvant chemotherapy alone. The PFS primary analysis would be conducted after at least 80 events had been observed or after all patients had been followed for at least 16 months, whichever was later.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was designed to combine IMNN-001, the Company’s IL-12 gene-mediated immunotherapy, with standard-of-care NACT. Following NACT, patients would undergo IDS, followed by three additional cycles of chemotherapy.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IMNN-001 plus standard-of-care NACT produced positive dose-dependent efficacy results, with no dose-limiting toxicities, which correlates well with successful surgical outcomes as summarized below:</w:t>
      </w:r>
    </w:p>
    <w:p>
      <w:pPr>
        <w:spacing w:after="0" w:line="162" w:lineRule="exact"/>
        <w:rPr>
          <w:sz w:val="20"/>
          <w:szCs w:val="20"/>
          <w:color w:val="auto"/>
        </w:rPr>
      </w:pPr>
    </w:p>
    <w:p>
      <w:pPr>
        <w:jc w:val="both"/>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15 patients treated in the Phase I portion of the OVATION 2 Study, nine patients were treated with IMNN-001 at a dose of 100 mg/m² plus NACT and six patients were treated with NACT only. All 15 patients had successful resections of their tumors, with eight out of nine patients (88%) in the IMNN-001 treatment arm having an R0 resection. Only three out of six patients (50%) in the NACT only treatment arm had a R0 resection.</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combining these results with the surgical resection rates observed in the Company’s OVATION 1 Study, a population of patients with inclusion criteria identical to the OVATION 2 Study, the data reflected the strong dose-dependent efficacy of adding IMNN-001 to the current standard of care NACT:</w:t>
      </w:r>
    </w:p>
    <w:p>
      <w:pPr>
        <w:spacing w:after="0" w:line="175" w:lineRule="exact"/>
        <w:rPr>
          <w:rFonts w:ascii="Times New Roman" w:cs="Times New Roman" w:eastAsia="Times New Roman" w:hAnsi="Times New Roman"/>
          <w:sz w:val="18"/>
          <w:szCs w:val="18"/>
          <w:color w:val="auto"/>
        </w:rPr>
      </w:pPr>
    </w:p>
    <w:p>
      <w:pPr>
        <w:ind w:left="9740" w:right="520" w:hanging="243"/>
        <w:spacing w:after="0" w:line="272" w:lineRule="auto"/>
        <w:tabs>
          <w:tab w:leader="none" w:pos="9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Patients R0 Resections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48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3"/>
        </w:trPr>
        <w:tc>
          <w:tcPr>
            <w:tcW w:w="54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0, 36, 47 mg/m² of IMNN-001 plus NACT</w:t>
            </w:r>
          </w:p>
        </w:tc>
        <w:tc>
          <w:tcPr>
            <w:tcW w:w="3700" w:type="dxa"/>
            <w:vAlign w:val="bottom"/>
            <w:shd w:val="clear" w:color="auto" w:fill="CCEEFF"/>
          </w:tcPr>
          <w:p>
            <w:pPr>
              <w:ind w:left="2240"/>
              <w:spacing w:after="0" w:line="203" w:lineRule="exact"/>
              <w:rPr>
                <w:sz w:val="20"/>
                <w:szCs w:val="20"/>
                <w:color w:val="auto"/>
              </w:rPr>
            </w:pPr>
            <w:r>
              <w:rPr>
                <w:rFonts w:ascii="Times New Roman" w:cs="Times New Roman" w:eastAsia="Times New Roman" w:hAnsi="Times New Roman"/>
                <w:sz w:val="18"/>
                <w:szCs w:val="18"/>
                <w:color w:val="auto"/>
              </w:rPr>
              <w:t>N =12</w:t>
            </w:r>
          </w:p>
        </w:tc>
        <w:tc>
          <w:tcPr>
            <w:tcW w:w="2060" w:type="dxa"/>
            <w:vAlign w:val="bottom"/>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61, 79, 100 mg/m² of IMNN-001 plus NACT</w:t>
            </w:r>
          </w:p>
        </w:tc>
        <w:tc>
          <w:tcPr>
            <w:tcW w:w="3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 = 17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ORR as measured by RECIST criteria for the 0, 36, 47 mg/m² dose IMNN-001 patients were comparable, as expected, to the higher (61, 79, 100 mg/m²) dose IMNN-001 patients, with both groups demonstrating an approximate 80% ORR.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23, 2020, the Company announced that the European Medicines Agency (the “EMA”) Committee for Orphan Medicinal Products (“COMP”) had recommended that IMNN-001 be designated as an orphan medicinal product for the treatment of ovarian cancer. IMNN-001 previously received orphan designation from the FDA.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2021, the Company announced that it has received Fast Track designation from the FDA for IMNN-001 and also provided an update on the OVATION 2 Study. The Company reported that approximately one-third, or 34 patients, of the anticipated 110 patients had been enrolled into the OVATION 2 Study, of which 20 were in the treatment arm and 14 were in the control. Of the 34 patients enrolled in the trial, 27 patients have had their IDS with the following results:</w:t>
      </w:r>
    </w:p>
    <w:p>
      <w:pPr>
        <w:spacing w:after="0" w:line="180"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patients treated with IMNN-001 had a R0 resection.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patients in the control arm had an R0 resection.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interim data represented a 38% improvement in R0 resection rates for IMNN-001 patients compared with control arm patients and was consistent with the reported improvement in resection scores noted in the encouraging Phase I OVATION 1 Study, the manuscript of which was submitted for peer review publication.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4" w:lineRule="auto"/>
        <w:rPr>
          <w:sz w:val="20"/>
          <w:szCs w:val="20"/>
          <w:color w:val="auto"/>
        </w:rPr>
      </w:pPr>
      <w:r>
        <w:rPr>
          <w:rFonts w:ascii="Times New Roman" w:cs="Times New Roman" w:eastAsia="Times New Roman" w:hAnsi="Times New Roman"/>
          <w:sz w:val="18"/>
          <w:szCs w:val="18"/>
          <w:color w:val="auto"/>
        </w:rPr>
        <w:t>OVATION 2 Study continue treating patients with the dose of 100 mg/m</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DSMB also determined that safety was satisfactory, with an acceptable risk/benefit, and that patients tolerated IMNN-001 during a course of treatment that would last up to six months. No dose-limiting toxicities were reported at this point in the OVATION 2 Study. Interim clinical data from patients who had undergone IDS showed that the IMNN-001 treatment arm was continuing to show improvement in R0 surgical resection rates and CRS 3 chemotherapy response scores over the control arm. The chemotherapy response score is a three-tier standardized scoring system for histological tumor regression into complete/near complete (CRS 3), partial (CRS 2) and no/minimal (CRS 1) response based on omental examination.</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2022, the Company announced that its Phase I/II OVATION 2 Study with IMNN-001 in advanced ovarian cancer has completed enrollment with 113 patients.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the Company announced interim PFS and OS data with IMNN-001 in its Phase I/II OVATION 2 Study. Interim clinical data from the ITT population showed efficacy trends in PFS, demonstrating a delay in disease progression in the treatment arm of approximately 33% compared with the control arm, with the hazard ratio nearing the required value. Preliminary OS data follows a similar trend, showing an approximate 9-month improvement in the treatment arm over the control arm.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Subgroup analyses showed patients treated with a PARP inhibitor (“PARPi”) as maintenance therapy had longer PFS and OS if they were also treated with IMNN-001 compared with patients treated with NACT only. This was not a pre-specified subgroup as PARP inhibitors were approved after the OVATION 2 Study was initiated.</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PFS in the PARPi + NACT group and the PARPi + NACT + IMNN-001 group was 15.7 months and 23.7 months, respectively.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OS in the PARPi + NACT group was 45.6 months and has not yet been reached in the PARPi + NACT + IMNN-001 group.</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data are still preliminary, the Company believes that patients treated with a combination of NACT + PARPi + IMNN-001 appear to have the greatest benefit and should be the focus of on-going follow-up.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 also continues to see benefits in other secondary endpoints including an approximately 20% higher R0 tumor resection score and a doubling of the CRS 3 chemotherapy response score to approximately 30% in the treatment arm versus 14% in the control arm. Chemotherapy response score is considered a good prognostic indicator in ovarian cancer. The DSMB determined that safety analyses continue to show good tolerability of IMNN-001 in this setting. Topline results from the OVATION 2 Study are expected in mid-2024.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IMNN-001 in Combination with bevacizumab. </w:t>
      </w:r>
      <w:r>
        <w:rPr>
          <w:rFonts w:ascii="Times New Roman" w:cs="Times New Roman" w:eastAsia="Times New Roman" w:hAnsi="Times New Roman"/>
          <w:sz w:val="18"/>
          <w:szCs w:val="18"/>
          <w:color w:val="auto"/>
        </w:rPr>
        <w:t>In February 2023, the Company and Break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Cancer, a public foundation dedicated to supporting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translational research in the most difficult-to-treat cancers that partners with top cancer research centers, announced the commencement of patient enrollment in a collaboration to evaluate IMNN-001 in combination with bevacizumab in patients with advanced ovarian cancer in the frontline, neoadjuvant clinical setting.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This Phase I/II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are being randomized 1:1 in a two-arm trial. In October 2023, the first patient began treatment at University of Texas MD Anderson Cancer Center in the Phase I/II Clinical Trial Evaluating IMNN-001 in Combination with Bevacizumab in Advanced Ovarian Cancer. The trial’s primary endpoint is detection of minimal residual disease (MRD) by second look laparoscopy (SLL), and the secondary endpoint is PFS. Initial SLL data are expected within one year following the completion of enrollment and final PFS data are expected approximately three years following the completion of enrollment. This trial will also include a wealth of translational endpoints aimed at understanding the clonal evolution and immunogenomic features of the MRD phase of ovarian cancer that is currently undetectable by imaging or tumor markers.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four patients have been enrolled in the Phase I portion of this study at the University of Texas MD Anderson Cancer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Memorial Sloan Kettering Cancer Center has been added as a clinical site for this study in the first quarter of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PLACCINE DNA VACCINE MODALITY: IMNN-101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modality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Imunon’s PLACCINE DNA vaccine modality is characterized by a single mono-cistronic or multi-cistronic DNA plasmid vector expressing single or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consider certain pathogens BARDA has identified as the most urgent and the most important.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4°C to 25°C, making vaccines developed on this platform easily suitable for broad world-wide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COVID-19 Vaccine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Emerging data from the recent literature indicate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have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Next Generation Vaccine Initiative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79" w:lineRule="exact"/>
        <w:rPr>
          <w:sz w:val="20"/>
          <w:szCs w:val="20"/>
          <w:color w:val="auto"/>
        </w:rPr>
      </w:pPr>
    </w:p>
    <w:p>
      <w:pPr>
        <w:ind w:left="980" w:right="2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Viral Mutations</w:t>
      </w:r>
      <w:r>
        <w:rPr>
          <w:rFonts w:ascii="Times New Roman" w:cs="Times New Roman" w:eastAsia="Times New Roman" w:hAnsi="Times New Roman"/>
          <w:sz w:val="18"/>
          <w:szCs w:val="18"/>
          <w:color w:val="auto"/>
        </w:rPr>
        <w:t>: PLACCINE may offer broad-spectrum and mutational resistance (variants) by targeting multiple antigens on a single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plasmid vector.</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Durable Efficacy</w:t>
      </w:r>
      <w:r>
        <w:rPr>
          <w:rFonts w:ascii="Times New Roman" w:cs="Times New Roman" w:eastAsia="Times New Roman" w:hAnsi="Times New Roman"/>
          <w:sz w:val="18"/>
          <w:szCs w:val="18"/>
          <w:color w:val="auto"/>
        </w:rPr>
        <w:t>: PLACCINE delivers a DNA plasmid-based antigen that could result in durable antigen exposure and a robust vaccine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 to viral antigens.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Storage &amp; Distribution</w:t>
      </w:r>
      <w:r>
        <w:rPr>
          <w:rFonts w:ascii="Times New Roman" w:cs="Times New Roman" w:eastAsia="Times New Roman" w:hAnsi="Times New Roman"/>
          <w:sz w:val="18"/>
          <w:szCs w:val="18"/>
          <w:color w:val="auto"/>
        </w:rPr>
        <w:t>: PLACCINE allows for stability that is compatible with manageable vaccine storage and distribution.</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Simple Dosing &amp; Administration</w:t>
      </w:r>
      <w:r>
        <w:rPr>
          <w:rFonts w:ascii="Times New Roman" w:cs="Times New Roman" w:eastAsia="Times New Roman" w:hAnsi="Times New Roman"/>
          <w:sz w:val="18"/>
          <w:szCs w:val="18"/>
          <w:color w:val="auto"/>
        </w:rPr>
        <w:t>: PLACCINE is a synthetic delivery system that should require a simple injection that does not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viruses or special equipment to deliver its payload.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 2021, the Company announced results from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demonstrated the potential immunogenicity of Imunon’s PLACCINE DNA vaccine, which is intended to provide broad-spectrum protection and resistance against variants by incorporating multiple viral antigens, to improve vaccine stability at storage temperatures of 4°C and above, and to facilitate cheaper and easier manufacturing.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31, 2022, the Company announced the initiation of a nonhuman primate (“NHP”) challenge study with Imunon’s DNA-based approach for a SARS-CoV-2 vaccine. The NHP pilot study followed the generation of encouraging mouse data and will evaluate the Company’s lead vaccine formulations for safety, immunogenicity and protection against SARS-CoV-2. In completed preclinical studies, Imunon demonstrated a favorable safety profile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DNA-based vaccines have been based on a simple intramuscular injection that does not require viral encapsulation or special equipment for administration.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Times New Roman" w:cs="Times New Roman" w:eastAsia="Times New Roman" w:hAnsi="Times New Roman"/>
          <w:sz w:val="18"/>
          <w:szCs w:val="18"/>
          <w:i w:val="1"/>
          <w:iCs w:val="1"/>
          <w:color w:val="auto"/>
        </w:rPr>
        <w:t>Novel DNA Approaches for Cancer Immunotherapies and Multivalent Infectious Disease Vaccines.</w:t>
      </w:r>
      <w:r>
        <w:rPr>
          <w:rFonts w:ascii="Times New Roman" w:cs="Times New Roman" w:eastAsia="Times New Roman" w:hAnsi="Times New Roman"/>
          <w:sz w:val="18"/>
          <w:szCs w:val="18"/>
          <w:color w:val="auto"/>
        </w:rPr>
        <w:t>” PLACCINE has demonstrated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six months.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data from its now completed proof-of-concept mouse challenge study confirmed that a PLACCINE DNA-based vaccine can produce robust levels of IgG, neutralizing antibodies, and T-cell responses. The data demonstrated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have a favorable safety profile and elicited IgG responses and inhibited the viral load by 90-95%. The dual antigen vaccine was equally effective against both variants of the SARS CoV-2 virus.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2022, the Company reported partial results from an ongoing non-human primate study designed to examine the immunogenicity of its proprietary PLACCINE vaccine which supported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2023, the Company announced final results from the NHP study involving three vaccine-treated non-human primates. The final data were consistent with the earlier data and showed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In a recent mouse study, a single dose of PLACCINE vaccine without a booster dose produced longer duration of IgG responses and higher T-cell activation than an mRNA vaccine. A 12-month PLACCINE stability study demonstrated continued drug stability at 4° C (standard refrigerated temperature).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these compelling data were presented at the Vaccine Technology Summit 2023 in Boston. They showed robust immunogenicity and protection in SARS-CoV-2 models, durable cellular or humoral responses detectable for more than 12 months, comparable protection activity to a commercial mRNA vaccine in a booster-dose comparison and superior immune quality versus the mRNA vaccine in a single-dose comparison.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2023, the Company filed with the FDA a pre-IND package in advance of beginning human testing of a SARS-CoV-2 seasonal booster vaccine. In July 2023, the FDA confirmed in a written response our plug and play strategy agreeing that a platform approach to pre-clinical toxicology testing with reference to updated SARS-CoV-2 genes that align with current variant of concern may be used without additional need for toxicology studies. This demonstrated the flexibility and versatility of our platform, which allows for the rapid production and development of any vaccine by simply changing the antigen coding cassette.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18, 2024, the Company announced that it received clearance from the FDA to begin a Phase I clinical trial with a seasonal COVID-19 booster vaccine. The Company filed an Investigational New Drug (IND) application for IMNN-101 in late February, and pending resolution of limited comments from the FDA, expects to commence patient enrollment in the second quarter of 2024. The primary objectives of the Phase I study are to evaluate safety, tolerability, neutralizing antibody response, and the vaccine’s durability (duration of immunogenicity) in healthy adults. Secondary objectives of the study include evaluating the ability of the IMNN-101 vaccine to elicit binding antibodies and cellular responses and their associated durability. As currently planned, the Phase I study will enroll 24 subjects evaluating three escalating doses of IMNN-101 at two U.S. clinical trial sites. For this study, IMMN-101 has been designed to protect against the SARS-CoV-2 Omicron XBB1.5 variant, in accordance with the FDA’s Vaccines and Related Biological Products Advisory Committee’s June 2023 announcement of the framework for updated COVID-19 doses. Based on these results, we will advance discussions with potential partners to continue development of the platform.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Plan and Going Concern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generated and do not expect to generate any revenue from product sales in the next several years, if at all. An element of our business strategy has been to pursue, as resources permit, the research and development of a range of drug candidates for a variety of indications. We may also evaluate licensing products from third parties to expand our current product pipeline. This is intended to allow us to diversify the risks associated with our research and development expenditures. To the extent we are unable to maintain a broad range of drug candidates, our dependence on the success of one or a few drug candidates would increase and would have a more significant impact on our financial prospects, financial condition, and market value. We may also consider and evaluate strategic alternatives, including investment in, or acquisition of, complementary businesses, technologies, or products.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 business strategy includes the possibility of entering into collaborative arrangements with third parties to complete the development and commercialization of our drug candidates. In the event that third parties are contracted to manage the clinical trial process for one or more of our drug candidates, the estimated completion dates of such clinical trials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 However, we cannot forecast with any degree of certainty whether we will be selected to receive any subsidy, grant or governmental funding.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FDA. The Company has not generated significant revenue and has incurred significant net losses in each year since our inception. As of March 31, 2024, the Company has incurred approximately $393 million of cumulative net losses and had $9.8 million in cash and cash equivalents, short-term investments and interest receivable to fund its operations. We have substantial future capital requirements to continue our research and development activities and advance our drug candidates through various development stages. The Company believes these expenditures are essential for the commercialization of its drug candidates and technologies. The Company’s primary sources of cash have been proceeds from the issuance and sale of its common stock via its “ATM” program pursuant to an At the Market Offering Agreement (the “ATM Agreement”) with H.C. Wainwright &amp; Co., LLC (“Wainwright”) as sales agent and other potential funding transactions. There can be no assurance that the Company will be able to do so in the future on a timely basis on terms acceptable to the Company, or at all. The Company has not yet commercialized any of its product candidates. Even if the Company commercializes one or more of its product candidates, it may not become profitable in the near term. The Company’s ability to achieve profitability depends on several factors, including its ability to obtain regulatory approval for its product candidates, successfully complete any post-approval regulatory obligations and successfully commercialize its product candidates alone or in partnership.</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our development plans, we anticipate cash resources will be sufficient to fund our operations into the fourth quarter of 2024. The Company has no committed sources of additional capital. As a result of the risks and uncertainties discussed in our most recent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drug candidates through development and clinical trials, obtain regulatory approvals and manufacture and commercialized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 management has determined there is substantial doubt regarding our ability to continue as a going concern. The report of our independent registered public accounting firm for the year ended December 31, 2023 includes an explanatory paragraph which expresses substantial doubt about our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outside investors via its ATM program and other potential funding sources as mentioned.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raise additional capital may be adversely impacted by potential worsening global economic conditions and the recent disruptions to, and volatility in, financial markets in the U.S., the Russian invasion of Ukraine and the unrest in the Middle East. These disruptions may also disrupt the clinical trials process and enrollment of patients. This may delay commercialization efforts. The Company continues to monitor its operating activities in light of these events.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Debt and Other Forms of Financing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and 2023 through the date of this Quarterly Report on Form 10-Q, we issued a total of 1.9 million shares of common stock as discussed below for approximately $2.8 million in net proceeds.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25, 2022, the Company entered into the ATM Agreement with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the first quarter of 2023, the Company sold 1,660,608 shares of common stock for net proceeds of $2,474,362. The Company did not sell any shares of common stock under the ATM program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our consolidated financial statements included in our 2023 Annual Report on Form 10-K for the year ended December 31, 2023 filed with the SEC on March 28, 2024. See Note 3 to the Condensed Consolidated Financial Statements contained in this Quarterly Report on Form 10-Q.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clinical-stage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 FOR THE THREE MONTHS ENDED MARCH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our net loss was $4.9 million compared to a net loss of $5.6 million for the same three-month period of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$9.8 million in cash and cash equivalents, short-term investments and interest receivable at March 31, 2024, such conditions raise substantial doubts about the Company’s ability to continue as a going concern. Based on the above, management has determined there is substantial doubt regarding our ability to continue a going concern.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 Increase (Decrease)</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Research</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287</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Vaccine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571</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571</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Clinical and regulatory</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1,335</w:t>
            </w:r>
          </w:p>
        </w:tc>
        <w:tc>
          <w:tcPr>
            <w:tcW w:w="3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612</w:t>
            </w:r>
          </w:p>
        </w:tc>
        <w:tc>
          <w:tcPr>
            <w:tcW w:w="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723</w:t>
            </w:r>
          </w:p>
        </w:tc>
        <w:tc>
          <w:tcPr>
            <w:tcW w:w="3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118.1%</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Non-Clinical R&amp;D and CMC</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OVATION</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405</w:t>
            </w:r>
          </w:p>
        </w:tc>
        <w:tc>
          <w:tcPr>
            <w:tcW w:w="480" w:type="dxa"/>
            <w:vAlign w:val="bottom"/>
          </w:tcPr>
          <w:p>
            <w:pPr>
              <w:spacing w:after="0"/>
              <w:rPr>
                <w:sz w:val="18"/>
                <w:szCs w:val="18"/>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339</w:t>
            </w:r>
          </w:p>
        </w:tc>
        <w:tc>
          <w:tcPr>
            <w:tcW w:w="30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66</w:t>
            </w:r>
          </w:p>
        </w:tc>
        <w:tc>
          <w:tcPr>
            <w:tcW w:w="9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PlaCCine Vaccine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1,215</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1,017</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198</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Manufacturing (CMC)</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339</w:t>
            </w:r>
          </w:p>
        </w:tc>
        <w:tc>
          <w:tcPr>
            <w:tcW w:w="48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tcPr>
          <w:p>
            <w:pPr>
              <w:spacing w:after="0"/>
              <w:rPr>
                <w:sz w:val="20"/>
                <w:szCs w:val="20"/>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(312)</w:t>
            </w:r>
          </w:p>
        </w:tc>
        <w:tc>
          <w:tcPr>
            <w:tcW w:w="9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3"/>
        </w:trPr>
        <w:tc>
          <w:tcPr>
            <w:tcW w:w="360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3,294</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2,619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675</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5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1,717</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3,065</w:t>
            </w:r>
          </w:p>
        </w:tc>
        <w:tc>
          <w:tcPr>
            <w:tcW w:w="3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(1,348)</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5,011</w:t>
            </w:r>
          </w:p>
        </w:tc>
        <w:tc>
          <w:tcPr>
            <w:tcW w:w="34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5,684</w:t>
            </w:r>
          </w:p>
        </w:tc>
        <w:tc>
          <w:tcPr>
            <w:tcW w:w="34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(“R&amp;D”) expenses were $3.3 million in the first quarter of 2024 compared to $2.6 million in same period of 2023. Costs associated with the OVATION 2 Study were $0.3 million in the first quarter of 2024 and 2023. Costs associated with the PlaCCine vaccine trial were $0.6 million in the first quarter of 2024. Other clinical and regulatory costs were $0.5 million the first quarter of 2024 compared to $0.3 million in the same period of 2023. R&amp;D costs associated with the development of IMNN-001 to support the OVATION 2 Study were $0.4 million in the first quarter of 2024 compared to $0.3 million in same period of 2023. The development of the PLACCINE DNA vaccine technology platform increased to $1.2 million in the first quarter of 2024 compared to $1.0 million in the same period of 2023. CMC costs decreased to $0.3 million in the first quarter of 2023 compared to $0.7 million in the same period of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$1.7 million in the first quarter of 2024 compared to $3.1 million in the same period of 2023. The decrease was primarily attributable to lower non-cash stock compensation expenses of $0.3 million, legal expenses of $0.5 million, employee-related expenses of $0.2 million and consulting fees of $0.2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non-operating income was $81,921 in the first quarter of 2024 compared to $93,085 in the same period of 2023. The Company incurred interest expense of $0.2 million on its loan facility with Silicon Valley Bank in the first quarter of 2023. This loan facility was repaid in full in the second quarter of 2023. Investment income from the Company’s short-term investments decreased by $0.2 million for the first quarter of 2024 compared with the same period in 2023 due to a decrease in investment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incurred significant losses and negative cash flows from operations. We have financed our operations primarily through the net proceeds from the sales of equity, credit facilities, the sale of the Company’s net operating losses, and amounts received under various product licensing agreements.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$393 million at March 31,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2024, we had total current assets of $12.1 million and current liabilities of $4.8 million, resulting in net working capital of $7.3 million. At March 31, 2024, we had cash and cash equivalents, short-term investments, interest receivable on short-term investments of $9.8 million. At December 31, 2023, we had total current assets of $18.2 million and current liabilities of $7.4 million, resulting in net working capital of $10.8 million.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first three months of 2024 was $5.9 million. Net cash provided by investing activities was $2.5 million during the first three months of 2024. At March 31, 2024, we had cash and cash equivalents, short-term investments, and interest receivable on short term investments of $9.8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conditions raise substantial doubts about the Company’s ability to continue as a going concern. Management’s plan includes raising funds from the issuance and sale of its common stock via its ATM program and other funding transactions. However, as mentioned above, there is no assurance such funding will be available to the Company or that it will be obtained on terms favorable to the Company or will provide the Company with sufficient funds to meet its objectives. The Company’s financial statements do not include any adjustments relating to the recoverability and classification of assets, carrying amounts or the amount and classification of liabilities that may be required should the Company be unable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2024,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Times New Roman" w:cs="Times New Roman" w:eastAsia="Times New Roman" w:hAnsi="Times New Roman"/>
          <w:sz w:val="18"/>
          <w:szCs w:val="18"/>
          <w:i w:val="1"/>
          <w:iCs w:val="1"/>
          <w:color w:val="auto"/>
        </w:rPr>
        <w:t>Fidler v. Michael H. Tardugno, et al.</w:t>
      </w:r>
      <w:r>
        <w:rPr>
          <w:rFonts w:ascii="Times New Roman" w:cs="Times New Roman" w:eastAsia="Times New Roman" w:hAnsi="Times New Roman"/>
          <w:sz w:val="18"/>
          <w:szCs w:val="18"/>
          <w:color w:val="auto"/>
        </w:rPr>
        <w:t>, Case No. 3:21-cv-02662. The plaintiff alleged breach of fiduciary duty and other claims arising out of alleged statements made by certain of the Company’s directors and/or officers regarding</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ThermoDox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from those disclosed under “Risk Factors” in Part I, Item 1A of our 2023 Annual Report on Form 10-K. The risks and uncertainties described in our 2023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Incentive Stock Option Grant Agreement under the 2018 Stock Incentive Plan.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Restricted Stock Agreement under the 2018 Stock Incentive Plan.</w:t>
      </w:r>
    </w:p>
    <w:p>
      <w:pPr>
        <w:spacing w:after="0" w:line="225" w:lineRule="exact"/>
        <w:rPr>
          <w:sz w:val="20"/>
          <w:szCs w:val="20"/>
          <w:color w:val="auto"/>
        </w:rPr>
      </w:pPr>
    </w:p>
    <w:p>
      <w:pPr>
        <w:jc w:val="both"/>
        <w:ind w:left="780" w:hanging="768"/>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2">
        <w:r>
          <w:rPr>
            <w:rFonts w:ascii="Times New Roman" w:cs="Times New Roman" w:eastAsia="Times New Roman" w:hAnsi="Times New Roman"/>
            <w:sz w:val="18"/>
            <w:szCs w:val="18"/>
            <w:u w:val="single" w:color="auto"/>
            <w:color w:val="0000EE"/>
          </w:rPr>
          <w:t>Amended and Restated Bylaws of the Company, effective on March 15, 2024, incorporated by reference to Exhibit 3.1 to the Current Report on</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Form 8-K of the Company, filed on March 18, 2024 (SEC File No. 001-15911).</w:t>
        </w:r>
      </w:hyperlink>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Chief Financial Officer pursuant to Rule 13a-14(a)/15d-14(a), as adopted pursuant to Section 302 of the Sarbanes-Oxley Act of</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u w:val="single" w:color="auto"/>
          <w:color w:val="0000EE"/>
        </w:rPr>
        <w:t>2002.</w:t>
      </w:r>
    </w:p>
    <w:p>
      <w:pPr>
        <w:spacing w:after="0" w:line="20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Quarterly Report on Form 10-Q for the quarter ended March 31, 2024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0" w:lineRule="exact"/>
        <w:rPr>
          <w:sz w:val="20"/>
          <w:szCs w:val="20"/>
          <w:color w:val="auto"/>
        </w:rPr>
      </w:pPr>
    </w:p>
    <w:p>
      <w:pPr>
        <w:ind w:left="780" w:hanging="77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780" w:hanging="77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both"/>
        <w:ind w:left="780" w:hanging="772"/>
        <w:spacing w:after="0" w:line="261"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0" w:lineRule="exact"/>
        <w:rPr>
          <w:sz w:val="20"/>
          <w:szCs w:val="20"/>
          <w:color w:val="auto"/>
        </w:rPr>
      </w:pPr>
    </w:p>
    <w:p>
      <w:pPr>
        <w:ind w:left="780" w:hanging="772"/>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information is filed herewith.</w:t>
      </w:r>
    </w:p>
    <w:p>
      <w:pPr>
        <w:spacing w:after="0" w:line="225" w:lineRule="exact"/>
        <w:rPr>
          <w:sz w:val="20"/>
          <w:szCs w:val="20"/>
          <w:color w:val="auto"/>
        </w:rPr>
      </w:pPr>
    </w:p>
    <w:p>
      <w:pPr>
        <w:ind w:left="5540" w:right="4680" w:hanging="5532"/>
        <w:spacing w:after="0" w:line="532" w:lineRule="auto"/>
        <w:tabs>
          <w:tab w:leader="none" w:pos="7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13, 2024</w:t>
      </w:r>
      <w:r>
        <w:rPr>
          <w:sz w:val="20"/>
          <w:szCs w:val="20"/>
          <w:color w:val="auto"/>
        </w:rPr>
        <w:tab/>
      </w:r>
      <w:r>
        <w:rPr>
          <w:rFonts w:ascii="Times New Roman" w:cs="Times New Roman" w:eastAsia="Times New Roman" w:hAnsi="Times New Roman"/>
          <w:sz w:val="18"/>
          <w:szCs w:val="18"/>
          <w:b w:val="1"/>
          <w:bCs w:val="1"/>
          <w:color w:val="auto"/>
        </w:rPr>
        <w:t>IMUNON,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SERIAL NUMBER: 2018SOP-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GRANT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GRANT AGREEMENT </w:t>
      </w:r>
      <w:r>
        <w:rPr>
          <w:rFonts w:ascii="Times New Roman" w:cs="Times New Roman" w:eastAsia="Times New Roman" w:hAnsi="Times New Roman"/>
          <w:sz w:val="18"/>
          <w:szCs w:val="18"/>
          <w:color w:val="auto"/>
        </w:rPr>
        <w:t>(this “Agreement”) is made and entered into as of the</w:t>
      </w:r>
      <w:r>
        <w:rPr>
          <w:rFonts w:ascii="Times New Roman" w:cs="Times New Roman" w:eastAsia="Times New Roman" w:hAnsi="Times New Roman"/>
          <w:sz w:val="18"/>
          <w:szCs w:val="18"/>
          <w:b w:val="1"/>
          <w:bCs w:val="1"/>
          <w:color w:val="auto"/>
        </w:rPr>
        <w:t xml:space="preserve"> ________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__________</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IMUNON,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“Corporation”), a Delaware corporation, and </w:t>
      </w:r>
      <w:r>
        <w:rPr>
          <w:rFonts w:ascii="Times New Roman" w:cs="Times New Roman" w:eastAsia="Times New Roman" w:hAnsi="Times New Roman"/>
          <w:sz w:val="18"/>
          <w:szCs w:val="18"/>
          <w:b w:val="1"/>
          <w:bCs w:val="1"/>
          <w:color w:val="auto"/>
        </w:rPr>
        <w:t>_____________</w:t>
      </w:r>
      <w:r>
        <w:rPr>
          <w:rFonts w:ascii="Times New Roman" w:cs="Times New Roman" w:eastAsia="Times New Roman" w:hAnsi="Times New Roman"/>
          <w:sz w:val="18"/>
          <w:szCs w:val="18"/>
          <w:color w:val="auto"/>
        </w:rPr>
        <w:t>, an individual employed by or performing services for the Corporation (“Grantee”).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OPTION</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1.1 Grant of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this Agreement, and pursuant to the provisions of the IMUNON, INC. 2018 Stock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amended, (the “Plan”), the Corporation hereby grants to Grantee, as of the Grant Date specified in Attachment A, a Stock Option (the “Option”) of the type stated in Attachment A to purchase all or any part of the number and class of shares of Common Stock set forth on Attachment A (“Shares”) at the exercise price per share (“Option Price”) set forth in Attachment A.</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1.2 Term of Options</w:t>
      </w:r>
      <w:r>
        <w:rPr>
          <w:rFonts w:ascii="Times New Roman" w:cs="Times New Roman" w:eastAsia="Times New Roman" w:hAnsi="Times New Roman"/>
          <w:sz w:val="18"/>
          <w:szCs w:val="18"/>
          <w:color w:val="auto"/>
        </w:rPr>
        <w:t>. Subject to earlier termination in accordance with the remaining provisions of this Agreement, the Plan or otherwise,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unexercised portion of the Option shall expire at 5:00 p.m. Lawrenceville, New Jersey time on the expiration date specified in Attachment A. In no event will the Option expire later than the day prior to the tenth (10th) anniversary of the grant date (the “Grant Date”) set forth in Attachment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2.1 Vesting Schedule</w:t>
      </w:r>
      <w:r>
        <w:rPr>
          <w:rFonts w:ascii="Times New Roman" w:cs="Times New Roman" w:eastAsia="Times New Roman" w:hAnsi="Times New Roman"/>
          <w:sz w:val="18"/>
          <w:szCs w:val="18"/>
          <w:color w:val="auto"/>
        </w:rPr>
        <w:t>. Subject to earlier termination or acceleration in accordance with the remaining provisions of this Agreement,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the Option will vest on the dates (each, a “Vesting Date”), and with respect to the number of Shares, specified in Attachment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Shares subject to vesting on a particular Vesting Date shall so vest only if Grantee shall have been in the continuous employ of or affiliation (as a consultant or director) with the Corporation from the Grant Date through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2.2 Acceleration Upon Change of Control</w:t>
      </w:r>
      <w:r>
        <w:rPr>
          <w:rFonts w:ascii="Times New Roman" w:cs="Times New Roman" w:eastAsia="Times New Roman" w:hAnsi="Times New Roman"/>
          <w:sz w:val="18"/>
          <w:szCs w:val="18"/>
          <w:color w:val="auto"/>
        </w:rPr>
        <w:t>. Notwithstanding any language to the contrary contained herein, if this Agreement is in effect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the occurrence of a “Change of Control” event, all Options granted hereunder not then vested shall automatically fully vest and become immediately exercisable simultaneously with the occurrence of such Change of Control event. For purposes of this Agreement, “Change of Control” event means:</w:t>
      </w:r>
    </w:p>
    <w:p>
      <w:pPr>
        <w:spacing w:after="0" w:line="180" w:lineRule="exact"/>
        <w:rPr>
          <w:sz w:val="20"/>
          <w:szCs w:val="20"/>
          <w:color w:val="auto"/>
        </w:rPr>
      </w:pPr>
    </w:p>
    <w:p>
      <w:pPr>
        <w:jc w:val="both"/>
        <w:ind w:left="660" w:hanging="328"/>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 amalgamation, merger or consolidation of the Company with or into another entity or any other corporate reorganization of the Company, if more than fifty percent (50%) of the combined voting power of the continuing or surviving entity’s securities outstanding immediately after such amalgamation, merger, consolidation or other reorganization (or, if applicable, more than fifty percent (50%) of the combined voting power of the ultimate parent company that directly or indirectly has beneficial ownership of the securities of such continuing or surviving entity) is not owned directly or indirectly by persons who were holders of the Company’s then-outstanding voting securities immediately prior to such amalgamation, merger, consolidation or other reorganization;</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to an entity that is not a parent, a Subsidiary or an Affiliate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as a result of which any person becomes the “beneficial owner” (as defined in Rule 13d-3 under the Exchange Act), directly or indirectly, of securities of the Company representing at least fifty percent (50%) of the total voting power represented by the Company’s then-outstanding voting securities. For purposes of this subsection, the term “person” shall have the same meaning as when used in sections 13(d) and 14(d) of the Exchange Act but shall exclude: (i) any parent, Subsidiary or Affiliate of the Company; (ii) any employee benefit plan (or related trust) sponsored or maintained by the Company, a parent, or any Subsidiary or Affiliate; and (iii) any underwriter temporarily holding securities pursuant to an offering of such securities;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twenty four (24) consecutive months or less as a result of which individuals who, at the beginning of such period, constitute the Board (the “Incumbent Board”) cease for any reason to constitute at least a majority of the Board; provided, however, that any individual subsequently becoming a director whose election, or nomination for election by the Company’s stockholders, was approved by a vote of at least a majority of the directors then comprising the Board (either by a specific vote or by approval of the proxy statement of the Company in which such person is named as a nominee for director, without written objection to such nomination) shall be considered as though such individual were a member of the Incumbent Board, but excluding, for this purpose, any such individual whose initial assumption of office occurs as a result of either an actual or threatened solicitation of proxies or consents by or on behalf of a person other than the Board; or</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complete liquidation or dissolution of the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OF OPTION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3.1 Exercisability of Option</w:t>
      </w:r>
      <w:r>
        <w:rPr>
          <w:rFonts w:ascii="Times New Roman" w:cs="Times New Roman" w:eastAsia="Times New Roman" w:hAnsi="Times New Roman"/>
          <w:sz w:val="18"/>
          <w:szCs w:val="18"/>
          <w:color w:val="auto"/>
        </w:rPr>
        <w:t>. No portion of the Option granted to Grantee shall be exercisable by Grantee prior to the time such portion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has vested.</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3.2 Manner of Exercise</w:t>
      </w:r>
      <w:r>
        <w:rPr>
          <w:rFonts w:ascii="Times New Roman" w:cs="Times New Roman" w:eastAsia="Times New Roman" w:hAnsi="Times New Roman"/>
          <w:sz w:val="18"/>
          <w:szCs w:val="18"/>
          <w:color w:val="auto"/>
        </w:rPr>
        <w:t>. The vested portion of the Option may be exercised, in whole or in part, at any time or from time to time,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Compensation Committee of the Board of Directors or such committee or the whole Board of Directors as may be discharging the duties normally assigned to a compensation committee (the “Committee”) in the form attached hereto as Attachment B or in such other form as the Committee may prescribe from time to time. Such notice shall specify the number of Shares subject to the Option as to which the Option is being exercised, and shall be accompanied by full payment of the Option Price of the Shares as to which the Option is being exercised. Payment of the Option Price shall be made in cash (or cash equivalents acceptable to the Committee in the Committee’s discretion). In the Committee’s sole and absolute discretion, the Committee may authorize payment of the Option Price to be made, in whole or in part, by such other means as the Committee may prescribe. The Option may be exercised only in multiples of whole Shares and no partial Shares, or scrip in lieu thereof, shall be issued.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3.3 Issuance of Shares and Payment of Cash upon Exercise</w:t>
      </w:r>
      <w:r>
        <w:rPr>
          <w:rFonts w:ascii="Times New Roman" w:cs="Times New Roman" w:eastAsia="Times New Roman" w:hAnsi="Times New Roman"/>
          <w:sz w:val="18"/>
          <w:szCs w:val="18"/>
          <w:color w:val="auto"/>
        </w:rPr>
        <w:t>. Upon exercise of the Option, in whole or in part, in accordance with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upon payment of the Option Price for the Shares as to which the Option is exercised, the Corporation shall issue to Grantee or, in the event of Grantee’s death, to Grantee’s executor, personal representative or the person to whom the Option shall have been transferred by will or the laws of descent and distribution, as the case may be, the number of Shares so paid for, in the form of fully paid and non-assessable Shares. The stock certificates for any Shares issued hereunder shall, if such Shares are not registered or an exemption from registration is not available under applicable federal and state law, bear a legend restricting transferability of such shares.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4.1 Unvested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in accordance with the remaining provisions of this Agreement, the Plan or otherwise,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portion of the Option shall terminate upon termination of Grantee’s employment by or affiliation (as a consultant or director) with the Corporation for any reason.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auto"/>
        </w:rPr>
        <w:t>Section 4.2 Vested Portion Upon Termination of Employment or Affiliation for Reason Other Than Death or Disability</w:t>
      </w:r>
      <w:r>
        <w:rPr>
          <w:rFonts w:ascii="Times New Roman" w:cs="Times New Roman" w:eastAsia="Times New Roman" w:hAnsi="Times New Roman"/>
          <w:sz w:val="18"/>
          <w:szCs w:val="18"/>
          <w:color w:val="auto"/>
        </w:rPr>
        <w:t>. Subject to earlier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in accordance with the terms of this Agreement, the Plan or otherwise, and to the terms of any other controlling agreement extending the time for exercise, any vested but unexercised portion of the Option shall terminate (i) immediately upon termination of Grantee’s employment by or affiliation (as a consultant or director) with the Corporation by resignation or for “cause” or (ii) ninety (90) days after termination of Grantee’s employment by or affiliation (as a consultant or director) with the Corporation for any other reason except the Grantee’s death or Disability. If Grantee is a party to a written employment agreement with the Corporation which contains a definition of “cause”, “termination for cause” or any other similar term or phrase, determination of whether Grantee is terminated for “cause” pursuant to this Section 4.2 shall be determined according to the terms of and in a manner consistent with the provisions of such written employment agreement. If Grantee is not party to such a written employment agreement with the Corporation, then for purposes of this Section 4.2, “cause” shall mean (a) the failure by the Grantee to perform his or her duties as assigned by the Corporation in a reasonable manner; (b) any act by the Grantee of dishonesty or bad faith with respect to the Corporation; or (c) the commission by the Grantee of any act, misdemeanor, or crime reflecting unfavorably upon Grantee or the Corporation. The good faith determination by the Committee of whether the Grantee’s employment was terminated by the Corporation for “cause” shall be final and binding for all purposes.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Section 4.3 Vested Portion Upon Grantee’s Death</w:t>
      </w:r>
      <w:r>
        <w:rPr>
          <w:rFonts w:ascii="Times New Roman" w:cs="Times New Roman" w:eastAsia="Times New Roman" w:hAnsi="Times New Roman"/>
          <w:sz w:val="18"/>
          <w:szCs w:val="18"/>
          <w:color w:val="auto"/>
        </w:rPr>
        <w:t>. Subject to earlier termination in accordance with the terms of this Agreement, the Plan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the terms of any other controlling agreement extending the time for exercise, upon Grantee’s death Grantee’s executor, personal representative or the person to whom the Option shall have been transferred by will or the laws of descent and distribution (Grantee’s “Representative”), as the case may be, may exercise all or any part of the vested portion of the Option, at any time or from time to time during the period of twelve (12) months after the date Grantee dies, or, if shorter, the remainder of the term of the Option as provided herein.</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Section 4.4 Vested Portion Upon Termination of Employment or Affiliation by Reason of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of this Agreement, the Plan or otherwise, and to the terms of any other controlling agreement extending the time for exercise, in the event that Grantee ceases, by reason of Disability, to be an employee of or affiliated (as a consultant or director) with the Corporation, the vested portion of the Option may be exercised in whole or in part by the Grantee or the Grantee’s legal representative or guardian or person legally acting in a similar capacity (Grantee’s “Guardian”), if any, at any time or from time to time during the period of twelve (12) months after the date of Disability (determined as provided below) or, if shorter, the remainder of the term of the Option as provided herein. For purposes of this Agreement, Disability shall be as defined in Section 22(e)(3) of the Internal Revenue Code of 1986, as amended and the rules and regulations thereunder, or any success or statute thereto and the rules and regulations thereunder (the “Code”), and shall be determined by the Committee, with its determination on the matter being final and binding for all purposes.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5.1 Non-Guarantee of Employment</w:t>
      </w:r>
      <w:r>
        <w:rPr>
          <w:rFonts w:ascii="Times New Roman" w:cs="Times New Roman" w:eastAsia="Times New Roman" w:hAnsi="Times New Roman"/>
          <w:sz w:val="18"/>
          <w:szCs w:val="18"/>
          <w:color w:val="auto"/>
        </w:rPr>
        <w:t>. Nothing in the Plan or this Agreement shall be construed as an employment, consulting or similar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between the Corporation (or an affiliate) and Grantee, or as a contractual right of Grantee to continue as an employee or, consultant to the Corporation (or an affiliate) or in any similar capacity, or as a limitation of the right of the Corporation (or an affiliate) to discharge Grantee at any time.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5.2 No Rights of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(or, in the case of death or disability, Grantee’s Representative or Guardian) shall not have any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stockholder with respect to the Shares that may be issued upon the exercise of the Option until such Shares have been fully paid for and duly issued thereto upon the due exercise of the Option.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5.3 Notice of Disqualifying Disposition</w:t>
      </w:r>
      <w:r>
        <w:rPr>
          <w:rFonts w:ascii="Times New Roman" w:cs="Times New Roman" w:eastAsia="Times New Roman" w:hAnsi="Times New Roman"/>
          <w:sz w:val="18"/>
          <w:szCs w:val="18"/>
          <w:color w:val="auto"/>
        </w:rPr>
        <w:t>. If Grantee makes a disposition (as that term is defined in §424(c) of the Code) of any Shares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exercise of an Incentive Stock Option within two (2) years of the Grant Date or within one (1) year after the Shares are transferred to Grantee, Grantee shall notify the Committee of such disposition in writing, setting forth, in reasonable detail, the terms and circumstances of such disposition.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5.4 Withholding of Taxes</w:t>
      </w:r>
      <w:r>
        <w:rPr>
          <w:rFonts w:ascii="Times New Roman" w:cs="Times New Roman" w:eastAsia="Times New Roman" w:hAnsi="Times New Roman"/>
          <w:sz w:val="18"/>
          <w:szCs w:val="18"/>
          <w:color w:val="auto"/>
        </w:rPr>
        <w:t>. The Corporation or any affiliate shall have the right to deduct from any compensation or any other payment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withholding the issuance of Shares) due Grantee the amount of any federal, state or local taxes required by law to be withheld as the result of the exercise of the Option or the disposition (as that term is defined in §424(c) of the Code) of Shares acquired pursuant to the exercise of the Option. In lieu of such deduction, the Committee may require Grantee to make a cash payment to the Corporation or an affiliate equal to the amount required to be withheld. If Grantee does not make such payment when requested, the Corporation may refuse to issue any certificate for Shares until such time, if any, as arrangements satisfactory to the Committee for such payment have been made.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5.5 Nontransferability of Option</w:t>
      </w:r>
      <w:r>
        <w:rPr>
          <w:rFonts w:ascii="Times New Roman" w:cs="Times New Roman" w:eastAsia="Times New Roman" w:hAnsi="Times New Roman"/>
          <w:sz w:val="18"/>
          <w:szCs w:val="18"/>
          <w:color w:val="auto"/>
        </w:rPr>
        <w:t>. The Option shall be nontransferable otherwise than by will or the laws of descent and distribution.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lifetime of Grantee, the Option may be exercised only by Grantee or, during the period Grantee is under a legal disability, by Grantee’s Guardian.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5.6 Agreement Subject to Charter and Bylaws</w:t>
      </w:r>
      <w:r>
        <w:rPr>
          <w:rFonts w:ascii="Times New Roman" w:cs="Times New Roman" w:eastAsia="Times New Roman" w:hAnsi="Times New Roman"/>
          <w:sz w:val="18"/>
          <w:szCs w:val="18"/>
          <w:color w:val="auto"/>
        </w:rPr>
        <w:t>. This Agreement is subject to the Charter and Bylaws of the Corporation, and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or state laws, rules or regulations, including without limitation, the laws, rules, and regulations of the State of Delaware.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5.7 Gender and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the context otherwise requires, terms used herein in the singular shall extend to and include the plural,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the plural shall extend to and include the singular and works used in either gender or the neuter shall extend to and include each other gender or be neutral.</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5.8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to and headings of the various provisions hereof are solely for the convenience of the parties, are not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not be used for the interpretation of or determination of the validity of this Agreement or any term or provision hereof.</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5.9 Notices</w:t>
      </w:r>
      <w:r>
        <w:rPr>
          <w:rFonts w:ascii="Times New Roman" w:cs="Times New Roman" w:eastAsia="Times New Roman" w:hAnsi="Times New Roman"/>
          <w:sz w:val="18"/>
          <w:szCs w:val="18"/>
          <w:color w:val="auto"/>
        </w:rPr>
        <w:t>. All notices and other communications made or given pursuant to the Agreement shall be in writing and shall be sufficiently made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if hand delivered, sent by courier or reputable overnight delivery company, transmitted by facsimile, e-mail or other electronic means (provided that the party giving such notice or effecting such communication receives confirmation of transmittal thereof), or mailed by certified mail, addressed to Grantee at the address or facsimile number contained in the records of the Corporation, or addressed to the Committee, care of the Corporation for the attention of its Secretary at its principal office. Any notice or other communication shall be deemed given on the date of actual delivery, if hand delivered, on the business day next succeeding the date of dispatch, if sent by courier or delivery company or if transmitted by facsimile, e-mail or similar electronic means, and on the third business day following dispatch if mailed.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5.10 Entire Agreement; Modification</w:t>
      </w:r>
      <w:r>
        <w:rPr>
          <w:rFonts w:ascii="Times New Roman" w:cs="Times New Roman" w:eastAsia="Times New Roman" w:hAnsi="Times New Roman"/>
          <w:sz w:val="18"/>
          <w:szCs w:val="18"/>
          <w:color w:val="auto"/>
        </w:rPr>
        <w:t>. The Agreement, including Attachments A and B hereto, which are incorporated herein by reference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 part hereof, together with the Plan and any other agreement that makes reference hereto or to the Plan contains the entire agreement between the parties with respect to the subject matter contained herein and may not be modified, except as provided in the Plan or in a written document signed by each of the parties 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5.11 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incorporated herein by reference. Unless stated otherwise herein, capitalized terms in this Agreement shall have the same meaning as defined in the Plan. Inconsistencies between this Agreement and the Plan shall be resolved in accordance with the terms of the Plan. In the event of any ambiguity in the Agreement or any matters as to which the Agreement is silent, the Plan shall govern including, without limitation, the provisions thereof pursuant to which the Committee has the power, among others, to (i) interpret the Plan and Grant Agreements related thereto, (ii) prescribe, amend and rescind rules and regulations relating to the Plan, and (iii) make all other determinations deemed necessary or advisable for the administration of the Plan. The Grantee acknowledges by signing this Agreement that he or she has received and reviewed a copy of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the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ATTEST:</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53"/>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6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WITNESS</w:t>
            </w:r>
            <w:r>
              <w:rPr>
                <w:rFonts w:ascii="Times New Roman" w:cs="Times New Roman" w:eastAsia="Times New Roman" w:hAnsi="Times New Roman"/>
                <w:sz w:val="18"/>
                <w:szCs w:val="18"/>
                <w:color w:val="auto"/>
              </w:rPr>
              <w:t>:</w:t>
            </w: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GRANTEE</w:t>
            </w:r>
          </w:p>
        </w:tc>
      </w:tr>
      <w:tr>
        <w:trPr>
          <w:trHeight w:val="453"/>
        </w:trPr>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439"/>
        </w:trPr>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bottom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6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w w:val="98"/>
              </w:rPr>
              <w:t>SERIAL NUMBER: 2018SOP-</w:t>
            </w:r>
          </w:p>
        </w:tc>
      </w:tr>
      <w:tr>
        <w:trPr>
          <w:trHeight w:val="432"/>
        </w:trPr>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ATTACHMENT A</w:t>
            </w: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Option:</w:t>
            </w: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Incentive Stock Option</w:t>
            </w: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and Class of Shares:</w:t>
            </w: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__________shares of Common Stock</w:t>
            </w: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432"/>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414"/>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Termination Date:</w:t>
            </w: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Subject to any exceptions set out in the Agreement, the Option terminates at the following times</w:t>
            </w:r>
          </w:p>
        </w:tc>
      </w:tr>
      <w:tr>
        <w:trPr>
          <w:trHeight w:val="234"/>
        </w:trPr>
        <w:tc>
          <w:tcPr>
            <w:tcW w:w="4160" w:type="dxa"/>
            <w:vAlign w:val="bottom"/>
          </w:tcPr>
          <w:p>
            <w:pPr>
              <w:spacing w:after="0"/>
              <w:rPr>
                <w:sz w:val="20"/>
                <w:szCs w:val="20"/>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after your termination of employment or affiliation with the Corporation:</w:t>
            </w:r>
          </w:p>
        </w:tc>
      </w:tr>
      <w:tr>
        <w:trPr>
          <w:trHeight w:val="391"/>
        </w:trPr>
        <w:tc>
          <w:tcPr>
            <w:tcW w:w="4160" w:type="dxa"/>
            <w:vAlign w:val="bottom"/>
          </w:tcPr>
          <w:p>
            <w:pPr>
              <w:spacing w:after="0"/>
              <w:rPr>
                <w:sz w:val="24"/>
                <w:szCs w:val="24"/>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Immediately </w:t>
            </w:r>
            <w:r>
              <w:rPr>
                <w:rFonts w:ascii="Times New Roman" w:cs="Times New Roman" w:eastAsia="Times New Roman" w:hAnsi="Times New Roman"/>
                <w:sz w:val="18"/>
                <w:szCs w:val="18"/>
                <w:color w:val="auto"/>
              </w:rPr>
              <w:t>– upon resignation or termination for cause</w:t>
            </w:r>
          </w:p>
        </w:tc>
      </w:tr>
      <w:tr>
        <w:trPr>
          <w:trHeight w:val="20"/>
        </w:trPr>
        <w:tc>
          <w:tcPr>
            <w:tcW w:w="4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412"/>
        </w:trPr>
        <w:tc>
          <w:tcPr>
            <w:tcW w:w="4160" w:type="dxa"/>
            <w:vAlign w:val="bottom"/>
          </w:tcPr>
          <w:p>
            <w:pPr>
              <w:spacing w:after="0"/>
              <w:rPr>
                <w:sz w:val="24"/>
                <w:szCs w:val="24"/>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12 months </w:t>
            </w:r>
            <w:r>
              <w:rPr>
                <w:rFonts w:ascii="Times New Roman" w:cs="Times New Roman" w:eastAsia="Times New Roman" w:hAnsi="Times New Roman"/>
                <w:sz w:val="18"/>
                <w:szCs w:val="18"/>
                <w:color w:val="auto"/>
              </w:rPr>
              <w:t>– following termination due to death or Disability</w:t>
            </w:r>
          </w:p>
        </w:tc>
      </w:tr>
      <w:tr>
        <w:trPr>
          <w:trHeight w:val="20"/>
        </w:trPr>
        <w:tc>
          <w:tcPr>
            <w:tcW w:w="4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r>
      <w:tr>
        <w:trPr>
          <w:trHeight w:val="412"/>
        </w:trPr>
        <w:tc>
          <w:tcPr>
            <w:tcW w:w="4160" w:type="dxa"/>
            <w:vAlign w:val="bottom"/>
          </w:tcPr>
          <w:p>
            <w:pPr>
              <w:spacing w:after="0"/>
              <w:rPr>
                <w:sz w:val="24"/>
                <w:szCs w:val="24"/>
                <w:color w:val="auto"/>
              </w:rPr>
            </w:pPr>
          </w:p>
        </w:tc>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90 days </w:t>
            </w:r>
            <w:r>
              <w:rPr>
                <w:rFonts w:ascii="Times New Roman" w:cs="Times New Roman" w:eastAsia="Times New Roman" w:hAnsi="Times New Roman"/>
                <w:sz w:val="18"/>
                <w:szCs w:val="18"/>
                <w:color w:val="auto"/>
              </w:rPr>
              <w:t>– following termination for any other reason.</w:t>
            </w:r>
          </w:p>
        </w:tc>
      </w:tr>
      <w:tr>
        <w:trPr>
          <w:trHeight w:val="45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6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shall become vested and exercisable with respect to:</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the shares subject to Option on</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the shares subject to Option on</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of the shares subject to Option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ind w:left="4900"/>
        <w:spacing w:after="0"/>
        <w:rPr>
          <w:sz w:val="20"/>
          <w:szCs w:val="20"/>
          <w:color w:val="auto"/>
        </w:rPr>
      </w:pPr>
      <w:r>
        <w:rPr>
          <w:rFonts w:ascii="Times New Roman" w:cs="Times New Roman" w:eastAsia="Times New Roman" w:hAnsi="Times New Roman"/>
          <w:sz w:val="18"/>
          <w:szCs w:val="18"/>
          <w:b w:val="1"/>
          <w:bCs w:val="1"/>
          <w:color w:val="auto"/>
        </w:rPr>
        <w:t>ATTACHMENT B</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EXERCISE FORM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IMUNON,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997 Lenox Drive –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Lawrenceville, NJ 08648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656"/>
        <w:spacing w:after="0" w:line="262" w:lineRule="auto"/>
        <w:tabs>
          <w:tab w:leader="none" w:pos="8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Stock Option.</w:t>
      </w:r>
      <w:r>
        <w:rPr>
          <w:rFonts w:ascii="Times New Roman" w:cs="Times New Roman" w:eastAsia="Times New Roman" w:hAnsi="Times New Roman"/>
          <w:sz w:val="18"/>
          <w:szCs w:val="18"/>
          <w:color w:val="auto"/>
        </w:rPr>
        <w:t xml:space="preserve"> I hereby exercise the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xml:space="preserve"> (the “Stock Option”) granted to me on ___________ by IMUNON, INC. (the “Corporation”), subject to all the terms and provisions thereof and of the IMUNON, INC. 2018 Stock Incentive Plan (the “Plan”), and notify you of my desire to purchase ____________ shares (the “Shares”) of Common Stock of the Corporation at a price of $___________ per Share pursuant to the exercise of said Stock Option.</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8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about the Corporation</w:t>
      </w:r>
      <w:r>
        <w:rPr>
          <w:rFonts w:ascii="Times New Roman" w:cs="Times New Roman" w:eastAsia="Times New Roman" w:hAnsi="Times New Roman"/>
          <w:sz w:val="18"/>
          <w:szCs w:val="18"/>
          <w:color w:val="auto"/>
        </w:rPr>
        <w:t>. I am aware of the Corporation’s business affairs and financial condition and have acquired sufficient information about the Corporation to reach an informed and knowledgeable decision to acquire the Shares.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I am not relying upon the Corporation for any tax advice in connection with this option exercise, but rather am relying on my own personal tax advisors in connection with the exercise of the Stock Option and any subsequent disposition of the Shares.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I understand that, in the case of a nonqualified stock option, I must submit upon demand from the Corporation an amount in cash or cash equivalents sufficient to satisfy any federal, state or local tax withholding applicable to this Stock Option exercise, in addition to the purchase price enclosed, or make such other arrangements for such tax withholding that are satisfactory to the Corporation, in its sole discretion, in order for this exercise to be effective.</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Unregistered Shares</w:t>
      </w:r>
      <w:r>
        <w:rPr>
          <w:rFonts w:ascii="Times New Roman" w:cs="Times New Roman" w:eastAsia="Times New Roman" w:hAnsi="Times New Roman"/>
          <w:sz w:val="18"/>
          <w:szCs w:val="18"/>
          <w:color w:val="auto"/>
        </w:rPr>
        <w:t>. The following shall apply in the event the Shares purchased herein are not registered under the Securities Act of 1933,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acquiring the Shares for my own account for investment with no present intention of dividing my interest with others or of reselling or otherwise disposing of any of the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being issued without registration under the Securities Act of 1933, as amended (the “Act”), in reliance upon the exemption provided by Section 3(b) of the Act for employee benefit plans, contained in Rule 701 promulgated there under, or in lieu thereof upon the private offering exemption contained in Section 4(2) of the Act, and such reliance is based in part on the above representation.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both"/>
        <w:ind w:firstLine="1304"/>
        <w:spacing w:after="0" w:line="261" w:lineRule="auto"/>
        <w:tabs>
          <w:tab w:leader="none" w:pos="15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Shares have not been registered under the Act, they must be held indefinitely until an exemption from the registration requirements of the Act is available or they are subsequently registered, in which event the representation in Paragraph (a) hereof shall terminate. As a condition to any transfer of the Shares, I understand that the Corporation will require an opinion of counsel satisfactory to the Corporation to the effect that such transfer does not require registration under the Act or any state securities law.</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not obligated to comply with the registration requirements of the Act or with the requirements for an exemption under Regulation A under the Act for my benefit.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for the shares to be issued to me shall contain appropriate legends to reflect the restrictions on transferability imposed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Act.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Amount Enclosed: $__________</w:t>
            </w:r>
          </w:p>
        </w:tc>
        <w:tc>
          <w:tcPr>
            <w:tcW w:w="7080" w:type="dxa"/>
            <w:vAlign w:val="bottom"/>
          </w:tcPr>
          <w:p>
            <w:pPr>
              <w:spacing w:after="0"/>
              <w:rPr>
                <w:sz w:val="20"/>
                <w:szCs w:val="20"/>
                <w:color w:val="auto"/>
              </w:rPr>
            </w:pPr>
          </w:p>
        </w:tc>
      </w:tr>
      <w:tr>
        <w:trPr>
          <w:trHeight w:val="41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Date:________________________</w:t>
            </w:r>
          </w:p>
        </w:tc>
        <w:tc>
          <w:tcPr>
            <w:tcW w:w="70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234"/>
        </w:trPr>
        <w:tc>
          <w:tcPr>
            <w:tcW w:w="4160" w:type="dxa"/>
            <w:vAlign w:val="bottom"/>
          </w:tcPr>
          <w:p>
            <w:pPr>
              <w:spacing w:after="0"/>
              <w:rPr>
                <w:sz w:val="20"/>
                <w:szCs w:val="20"/>
                <w:color w:val="auto"/>
              </w:rPr>
            </w:pPr>
          </w:p>
        </w:tc>
        <w:tc>
          <w:tcPr>
            <w:tcW w:w="70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(Optionee)</w:t>
            </w:r>
          </w:p>
        </w:tc>
      </w:tr>
      <w:tr>
        <w:trPr>
          <w:trHeight w:val="432"/>
        </w:trPr>
        <w:tc>
          <w:tcPr>
            <w:tcW w:w="4160" w:type="dxa"/>
            <w:vAlign w:val="bottom"/>
          </w:tcPr>
          <w:p>
            <w:pPr>
              <w:spacing w:after="0"/>
              <w:rPr>
                <w:sz w:val="24"/>
                <w:szCs w:val="24"/>
                <w:color w:val="auto"/>
              </w:rPr>
            </w:pPr>
          </w:p>
        </w:tc>
        <w:tc>
          <w:tcPr>
            <w:tcW w:w="70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Received by IMUNON, INC.</w:t>
            </w:r>
          </w:p>
        </w:tc>
      </w:tr>
      <w:tr>
        <w:trPr>
          <w:trHeight w:val="432"/>
        </w:trPr>
        <w:tc>
          <w:tcPr>
            <w:tcW w:w="4160" w:type="dxa"/>
            <w:vAlign w:val="bottom"/>
          </w:tcPr>
          <w:p>
            <w:pPr>
              <w:spacing w:after="0"/>
              <w:rPr>
                <w:sz w:val="24"/>
                <w:szCs w:val="24"/>
                <w:color w:val="auto"/>
              </w:rPr>
            </w:pPr>
          </w:p>
        </w:tc>
        <w:tc>
          <w:tcPr>
            <w:tcW w:w="70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On:_________________________, 20__</w:t>
            </w:r>
          </w:p>
        </w:tc>
      </w:tr>
      <w:tr>
        <w:trPr>
          <w:trHeight w:val="432"/>
        </w:trPr>
        <w:tc>
          <w:tcPr>
            <w:tcW w:w="4160" w:type="dxa"/>
            <w:vAlign w:val="bottom"/>
          </w:tcPr>
          <w:p>
            <w:pPr>
              <w:spacing w:after="0"/>
              <w:rPr>
                <w:sz w:val="24"/>
                <w:szCs w:val="24"/>
                <w:color w:val="auto"/>
              </w:rPr>
            </w:pPr>
          </w:p>
        </w:tc>
        <w:tc>
          <w:tcPr>
            <w:tcW w:w="70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By:_________________________________</w:t>
            </w:r>
          </w:p>
        </w:tc>
      </w:tr>
      <w:tr>
        <w:trPr>
          <w:trHeight w:val="439"/>
        </w:trPr>
        <w:tc>
          <w:tcPr>
            <w:tcW w:w="41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6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SERIAL NUMBER: 2018RSG-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STOCK AGREEMENT </w:t>
      </w:r>
      <w:r>
        <w:rPr>
          <w:rFonts w:ascii="Times New Roman" w:cs="Times New Roman" w:eastAsia="Times New Roman" w:hAnsi="Times New Roman"/>
          <w:sz w:val="18"/>
          <w:szCs w:val="18"/>
          <w:color w:val="auto"/>
        </w:rPr>
        <w:t>(this “Agreement”) is made and entered into as of the ___ day of ____________, by and between</w:t>
      </w:r>
      <w:r>
        <w:rPr>
          <w:rFonts w:ascii="Times New Roman" w:cs="Times New Roman" w:eastAsia="Times New Roman" w:hAnsi="Times New Roman"/>
          <w:sz w:val="18"/>
          <w:szCs w:val="18"/>
          <w:b w:val="1"/>
          <w:bCs w:val="1"/>
          <w:color w:val="auto"/>
        </w:rPr>
        <w:t xml:space="preserve"> IMUNON, INC </w:t>
      </w:r>
      <w:r>
        <w:rPr>
          <w:rFonts w:ascii="Times New Roman" w:cs="Times New Roman" w:eastAsia="Times New Roman" w:hAnsi="Times New Roman"/>
          <w:sz w:val="18"/>
          <w:szCs w:val="18"/>
          <w:color w:val="auto"/>
        </w:rPr>
        <w:t>(the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 Delaware corporation, and __________, an individual employed by or performing services for the Corporation (“Grantee”).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RESTRICTED STOCK</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1.1 Grant of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this Agreement, and pursuant to the provisions of the IMUNON, INC 2018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 (the “Plan”), the Corporation hereby grants to Grantee, as of the Grant Date specified in Attachment A, a Restricted Stock (the “Grant”) of the type stated in Attachment A to require all or any part of the number and class of shares of Common Stock set forth on Attachment A (“Shares”).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2.1 Vesting Schedule</w:t>
      </w:r>
      <w:r>
        <w:rPr>
          <w:rFonts w:ascii="Times New Roman" w:cs="Times New Roman" w:eastAsia="Times New Roman" w:hAnsi="Times New Roman"/>
          <w:sz w:val="18"/>
          <w:szCs w:val="18"/>
          <w:color w:val="auto"/>
        </w:rPr>
        <w:t>. Subject to earlier termination or acceleration in accordance with the remaining provisions of this Agreement,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the Grant will vest on the dates (each, a “Vesting Date”), and with respect to the number of Shares, specified in Attachment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Shares subject to vesting on a particular Vesting Date shall so vest only if Grantee shall have been in the continuous employ of or affiliation (as a consultant or director) with the Corporation from the Grant Date through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2.2 Acceleration Upon 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language to the contrary contained herein, if this Agreement is in effect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of the occurrence of a “Change of Control” event, all Grant granted hereunder not then vested shall automatically fully vest and become immediately exercisable simultaneously with the occurrence of such Change of Control event. For purposes of this Agreement, “Change of Control” event means: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180" w:lineRule="exact"/>
        <w:rPr>
          <w:sz w:val="20"/>
          <w:szCs w:val="20"/>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 amalgamation, merger or consolidation of the Company with or into another entity or any other corporate reorganization of the Company, if more than fifty percent (50%) of the combined voting power of the continuing or surviving entity’s securities outstanding immediately after such amalgamation, merger, consolidation or other reorganization (or, if applicable, more than fifty percent (50%) of the combined voting power of the ultimate parent company that directly or indirectly has beneficial ownership of the securities of such continuing or surviving entity) is not owned directly or indirectly by persons who were holders of the Company’s then-outstanding voting securities immediately prior to such amalgamation, merger, consolidation or other reorganization;</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to an entity that is not a parent, a Subsidiary or an Affiliate of the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as a result of which any person becomes the “beneficial owner” (as defined in Rule 13d-3 under the Exchange Act), directly or indirectly, of securities of the Company representing at least fifty percent (50%) of the total voting power represented by the Company’s then-outstanding voting securities. For purposes of this subsection, the term “person” shall have the same meaning as when used in sections 13(d) and 14(d) of the Exchange Act but shall exclude: (i) any parent, Subsidiary or Affiliate of the Company; (ii) any employee benefit plan (or related trust) sponsored or maintained by the Company, a parent, or any Subsidiary or Affiliate; and (iii) any underwriter temporarily holding securities pursuant to an offering of such securities;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twenty four (24) consecutive months or less as a result of which individuals who, at the beginning of such period, constitute the Board (the “Incumbent Board”) cease for any reason to constitute at least a majority of the Board; provided, however, that any individual subsequently becoming a director whose election, or nomination for election by the Company’s stockholders, was approved by a vote of at least a majority of the directors then comprising the Board (either by a specific vote or by approval of the proxy statement of the Company in which such person is named as a nominee for director, without written objection to such nomination) shall be considered as though such individual were a member of the Incumbent Board, but excluding, for this purpose, any such individual whose initial assumption of office occurs as a result of either an actual or threatened solicitation of proxies or consents by or on behalf of a person other than the Board;</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complete liquidation or dissolution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OF EMPLOYMENT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3.1 Unvested Portion.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in accordance with the remaining provisions of this Agreement, the Plan or otherwise,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portion of the Grant shall terminate upon termination of Grantee’s employment by or affiliation (as a consultant or director) with the Corporation for any reason.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4.1 Non-Guarantee of Employment</w:t>
      </w:r>
      <w:r>
        <w:rPr>
          <w:rFonts w:ascii="Times New Roman" w:cs="Times New Roman" w:eastAsia="Times New Roman" w:hAnsi="Times New Roman"/>
          <w:sz w:val="18"/>
          <w:szCs w:val="18"/>
          <w:color w:val="auto"/>
        </w:rPr>
        <w:t>. Nothing in the Plan or this Agreement shall be construed as an employment, consulting or similar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between the Corporation (or an affiliate) and Grantee, or as a contractual right of Grantee to continue as an employee or, consultant to the Corporation (or an affiliate) or in any similar capacity, or as a limitation of the right of the Corporation (or an affiliate) to discharge Grantee at any time.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4.2 No Rights of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(or, in the case of death or disability, Grantee’s Representative or Guardian) shall not have any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 stockholder with respect to the Shares that may be issued upon the exercise of the Grant until such Shares have been fully paid for and duly issued thereto upon the due exercise of the Grant.</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Section 4.3 Withholding of Taxes</w:t>
      </w:r>
      <w:r>
        <w:rPr>
          <w:rFonts w:ascii="Times New Roman" w:cs="Times New Roman" w:eastAsia="Times New Roman" w:hAnsi="Times New Roman"/>
          <w:sz w:val="18"/>
          <w:szCs w:val="18"/>
          <w:color w:val="auto"/>
        </w:rPr>
        <w:t>. The Corporation or any affiliate shall have the right to deduct from any compensation or any other payment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withholding the issuance of Shares) due Grantee the amount of any federal, state or local taxes required by law to be withheld as the result of the vesting of the Grant or the disposition (as that term is defined in §424(c) of the Code) of Shares acquired pursuant to the vesting of the Grant. In lieu of such deduction, the Committee may require Grantee to make a cash payment to the Corporation or an affiliate equal to the amount required to be withheld. If Grantee does not make such payment when requested, the Corporation may refuse to issue any certificate for Shares until such time, if any, as arrangements satisfactory to the Committee for such payment have been made.</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4.4 Agreement Subject to Charter and Bylaws</w:t>
      </w:r>
      <w:r>
        <w:rPr>
          <w:rFonts w:ascii="Times New Roman" w:cs="Times New Roman" w:eastAsia="Times New Roman" w:hAnsi="Times New Roman"/>
          <w:sz w:val="18"/>
          <w:szCs w:val="18"/>
          <w:color w:val="auto"/>
        </w:rPr>
        <w:t>. This Agreement is subject to the Charter and Bylaws of the Corporation, and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or state laws, rules or regulations, including without limitation, the laws, rules, and regulations of the State of Delaware.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4.5 Gender and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the context otherwise requires, terms used herein in the singular shall extend to and include the plural,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the plural shall extend to and include the singular and works used in either gender or the neuter shall extend to and include each other gender or be neutral.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Section 4.6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to and headings of the various provisions hereof are solely for the convenience of the parties, are not a part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not be used for the interpretation of or determination of the validity of this Agreement or any term or provision hereof.</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4.7 Notices</w:t>
      </w:r>
      <w:r>
        <w:rPr>
          <w:rFonts w:ascii="Times New Roman" w:cs="Times New Roman" w:eastAsia="Times New Roman" w:hAnsi="Times New Roman"/>
          <w:sz w:val="18"/>
          <w:szCs w:val="18"/>
          <w:color w:val="auto"/>
        </w:rPr>
        <w:t>. All notices and other communications made or given pursuant to the Agreement shall be in writing and shall be sufficiently made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if hand delivered, sent by courier or reputable overnight delivery company, transmitted by facsimile, e-mail or other electronic means (provided that the party giving such notice or effecting such communication receives confirmation of transmittal thereof), or mailed by certified mail, addressed to Grantee at the address or facsimile number contained in the records of the Corporation, or addressed to the Committee, care of the Corporation for the attention of its Secretary at its principal office. Any notice or other communication shall be deemed given on the date of actual delivery, if hand delivered, on the business day next succeeding the date of dispatch, if sent by courier or delivery company or if transmitted by facsimile, e-mail or similar electronic means, and on the third business day following dispatch if mailed.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Section 4.8 Entire Agreement; Modification</w:t>
      </w:r>
      <w:r>
        <w:rPr>
          <w:rFonts w:ascii="Times New Roman" w:cs="Times New Roman" w:eastAsia="Times New Roman" w:hAnsi="Times New Roman"/>
          <w:sz w:val="18"/>
          <w:szCs w:val="18"/>
          <w:color w:val="auto"/>
        </w:rPr>
        <w:t>. The Agreement, including Attachments A and B hereto, which are incorporated herein by reference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 part hereof, together with the Plan and any other agreement that makes reference hereto or to the Plan contains the entire agreement between the parties with respect to the subject matter contained herein and may not be modified, except as provided in the Plan or in a written document signed by each of the parties hereto.</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Section 4.9 Conformity with Plan</w:t>
      </w:r>
      <w:r>
        <w:rPr>
          <w:rFonts w:ascii="Times New Roman" w:cs="Times New Roman" w:eastAsia="Times New Roman" w:hAnsi="Times New Roman"/>
          <w:sz w:val="18"/>
          <w:szCs w:val="18"/>
          <w:color w:val="auto"/>
        </w:rPr>
        <w:t>. This Agreement is intended to conform in all respects with, and is subject to all applicable provisions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incorporated herein by reference. Unless stated otherwise herein, capitalized terms in this Agreement shall have the same meaning as defined in the Plan. Inconsistencies between this Agreement and the Plan shall be resolved in accordance with the terms of the Plan. In the event of any ambiguity in the Agreement or any matters as to which the Agreement is silent, the Plan shall govern including, without limitation, the provisions thereof pursuant to which the Committee has the power, among others, to (i) interpret the Plan and Grant Agreements related thereto, (ii) prescribe, amend and rescind rules and regulations relating to the Plan, and (iii) make all other determinations deemed necessary or advisable for the administration of the Plan. The Grantee acknowledges by signing this Agreement that he or she has received and reviewed a copy of the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the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ATTEST:</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IMUNON, INC</w:t>
            </w:r>
          </w:p>
        </w:tc>
      </w:tr>
      <w:tr>
        <w:trPr>
          <w:trHeight w:val="453"/>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6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rPr>
                <w:sz w:val="17"/>
                <w:szCs w:val="17"/>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WITNESS</w:t>
            </w:r>
            <w:r>
              <w:rPr>
                <w:rFonts w:ascii="Times New Roman" w:cs="Times New Roman" w:eastAsia="Times New Roman" w:hAnsi="Times New Roman"/>
                <w:sz w:val="18"/>
                <w:szCs w:val="18"/>
                <w:color w:val="auto"/>
              </w:rPr>
              <w:t>:</w:t>
            </w: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GRANTEE</w:t>
            </w:r>
          </w:p>
        </w:tc>
      </w:tr>
      <w:tr>
        <w:trPr>
          <w:trHeight w:val="453"/>
        </w:trPr>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439"/>
        </w:trPr>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tcBorders>
          </w:tcPr>
          <w:p>
            <w:pPr>
              <w:spacing w:after="0"/>
              <w:rPr>
                <w:sz w:val="24"/>
                <w:szCs w:val="24"/>
                <w:color w:val="auto"/>
              </w:rPr>
            </w:pPr>
          </w:p>
        </w:tc>
        <w:tc>
          <w:tcPr>
            <w:tcW w:w="49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SERIAL NUMBER: 2018RSG-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Grantee:</w:t>
      </w:r>
    </w:p>
    <w:p>
      <w:pPr>
        <w:spacing w:after="0" w:line="225"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b w:val="1"/>
          <w:bCs w:val="1"/>
          <w:color w:val="auto"/>
        </w:rPr>
        <w:t>Type of Grant:</w:t>
      </w:r>
      <w:r>
        <w:rPr>
          <w:sz w:val="20"/>
          <w:szCs w:val="20"/>
          <w:color w:val="auto"/>
        </w:rPr>
        <w:tab/>
      </w:r>
      <w:r>
        <w:rPr>
          <w:rFonts w:ascii="Times New Roman" w:cs="Times New Roman" w:eastAsia="Times New Roman" w:hAnsi="Times New Roman"/>
          <w:sz w:val="17"/>
          <w:szCs w:val="17"/>
          <w:b w:val="1"/>
          <w:bCs w:val="1"/>
          <w:color w:val="auto"/>
        </w:rPr>
        <w:t>Restricted Stock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and Class of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The Grant shall become vested and exercisable with respect to:</w:t>
      </w:r>
    </w:p>
    <w:p>
      <w:pPr>
        <w:spacing w:after="0" w:line="2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of the shares subject to Grant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H. Tardugno, certify that:</w:t>
      </w:r>
    </w:p>
    <w:p>
      <w:pPr>
        <w:spacing w:after="0" w:line="225" w:lineRule="exact"/>
        <w:rPr>
          <w:sz w:val="20"/>
          <w:szCs w:val="20"/>
          <w:color w:val="auto"/>
        </w:rPr>
      </w:pPr>
    </w:p>
    <w:p>
      <w:pPr>
        <w:ind w:left="660" w:hanging="39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13,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Church, certify that:</w:t>
      </w:r>
    </w:p>
    <w:p>
      <w:pPr>
        <w:spacing w:after="0" w:line="225" w:lineRule="exact"/>
        <w:rPr>
          <w:sz w:val="20"/>
          <w:szCs w:val="20"/>
          <w:color w:val="auto"/>
        </w:rPr>
      </w:pPr>
    </w:p>
    <w:p>
      <w:pPr>
        <w:ind w:left="660" w:hanging="39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Imunon, Inc.;</w:t>
      </w:r>
    </w:p>
    <w:p>
      <w:pPr>
        <w:spacing w:after="0" w:line="225" w:lineRule="exact"/>
        <w:rPr>
          <w:rFonts w:ascii="Times New Roman" w:cs="Times New Roman" w:eastAsia="Times New Roman" w:hAnsi="Times New Roman"/>
          <w:sz w:val="18"/>
          <w:szCs w:val="18"/>
          <w:color w:val="auto"/>
        </w:rPr>
      </w:pPr>
    </w:p>
    <w:p>
      <w:pPr>
        <w:jc w:val="both"/>
        <w:ind w:left="660" w:hanging="396"/>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0" w:hanging="396"/>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9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13,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2024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13,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H. Tardugno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13,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W. Church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jc w:val="both"/>
        <w:ind w:firstLine="8"/>
        <w:spacing w:after="0" w:line="266" w:lineRule="auto"/>
        <w:tabs>
          <w:tab w:leader="none" w:pos="1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lvl w:ilvl="1">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04"/>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42" Type="http://schemas.openxmlformats.org/officeDocument/2006/relationships/hyperlink" Target="https://www.sec.gov/Archives/edgar/data/749647/000149315224010195/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2024-05-13T07:16:02Z</dcterms:created>
  <dcterms:modified xsi:type="dcterms:W3CDTF">2024-05-13T07:16:02Z</dcterms:modified>
</cp:coreProperties>
</file>