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 to _______</w:t>
      </w:r>
    </w:p>
    <w:p>
      <w:pPr>
        <w:spacing w:after="0" w:line="1" w:lineRule="exact"/>
        <w:rPr>
          <w:rFonts w:ascii="MS PGothic" w:cs="MS PGothic" w:eastAsia="MS PGothic" w:hAnsi="MS PGothic"/>
          <w:sz w:val="18"/>
          <w:szCs w:val="18"/>
          <w:color w:val="auto"/>
          <w:highlight w:val="black"/>
        </w:rPr>
      </w:pPr>
    </w:p>
    <w:p>
      <w:pPr>
        <w:ind w:left="43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001-15911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CELSION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LAWRENCEVILLE, NJ</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08648</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CLSN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ind w:right="16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$109.9 million as of June 30, 2021 (the last business day of the Registrant’s most recently completed second fiscal quarter) based on the closing sale price of $19.05 for the Registrant’s common stock on that date as reported by The Nasdaq Capital Market (“NASDAQ”). For purposes of this calculation, shares of common stock held by directors, officers and stockholders who own greater than 10% of the Registrant’s outstanding stock at June 30, 2021, were excluded. This determination of executive officers and directors as affiliates is not necessarily a conclusive determination for any other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2022, 5,770,516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2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46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46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6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FORWARD-LOOKING STATEMENTS</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IMMUNO-ONCOLOGY PROGRAM</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THERAPLAS Technology Platform</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Ovarian Cancer Overview</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GEN-1 Immunotherapy</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OVATION I Study</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OVATION 2 Study</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PLACCINE DNA VACCINE TECHNOLOGY PLATFORM</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COVID-19 Vaccine 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Our Next Generation Vaccine Initiative</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THERMODOX® DIRECTED CHEMOTHERAPY</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THERMODOX® for the Treatment of Primary Liver Cancer</w:t>
              </w:r>
            </w:hyperlink>
          </w:p>
        </w:tc>
        <w:tc>
          <w:tcPr>
            <w:tcW w:w="2460" w:type="dxa"/>
            <w:vAlign w:val="bottom"/>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Celsion’s Approach</w:t>
              </w:r>
            </w:hyperlink>
          </w:p>
        </w:tc>
        <w:tc>
          <w:tcPr>
            <w:tcW w:w="2460" w:type="dxa"/>
            <w:vAlign w:val="bottom"/>
            <w:shd w:val="clear" w:color="auto" w:fill="CCEEFF"/>
          </w:tcPr>
          <w:p>
            <w:pPr>
              <w:jc w:val="center"/>
              <w:ind w:left="17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OPTIMA Study</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Investigator-Sponsored Studies with ThermoDox®</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BUSINESS STRATEGY AND DEVELOPMENT PLAN</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RESEARCH AND DEVELOPMENT EXPENDITURES</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GOVERNMENT REGULATION</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MANUFACTURING AND SUPPLY</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SALES AND MARKETING</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PRODUCT LIABILITY AND INSURANCE</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COMPETITION</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0" w:type="dxa"/>
            <w:vAlign w:val="bottom"/>
            <w:gridSpan w:val="35"/>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GEN-1</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ThermoDox ®</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INTELLECTUAL PROPERTY</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gridSpan w:val="35"/>
          </w:tcPr>
          <w:p>
            <w:pPr>
              <w:ind w:left="18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Patents and Proprietary Rights</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EMPLOYEES</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COMPANY INFORMATION</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AVAILABLE INFORMATION</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RECENT EVENTS</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8780" w:type="dxa"/>
            <w:vAlign w:val="bottom"/>
            <w:gridSpan w:val="37"/>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1A. </w:t>
            </w:r>
            <w:hyperlink w:anchor="page31">
              <w:r>
                <w:rPr>
                  <w:rFonts w:ascii="Times New Roman" w:cs="Times New Roman" w:eastAsia="Times New Roman" w:hAnsi="Times New Roman"/>
                  <w:sz w:val="18"/>
                  <w:szCs w:val="18"/>
                  <w:color w:val="0000EE"/>
                </w:rPr>
                <w:t>RISK FACTORS</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80" w:type="dxa"/>
            <w:vAlign w:val="bottom"/>
            <w:gridSpan w:val="37"/>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1B. </w:t>
            </w:r>
            <w:hyperlink w:anchor="page53">
              <w:r>
                <w:rPr>
                  <w:rFonts w:ascii="Times New Roman" w:cs="Times New Roman" w:eastAsia="Times New Roman" w:hAnsi="Times New Roman"/>
                  <w:sz w:val="18"/>
                  <w:szCs w:val="18"/>
                  <w:color w:val="0000EE"/>
                </w:rPr>
                <w:t>UNRESOLVED STAFF COMMENTS</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PROPERTIES</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36"/>
          </w:tcPr>
          <w:p>
            <w:pPr>
              <w:ind w:left="8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LEGAL PROCEEDINGS</w:t>
              </w:r>
            </w:hyperlink>
          </w:p>
        </w:tc>
        <w:tc>
          <w:tcPr>
            <w:tcW w:w="246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36"/>
            <w:shd w:val="clear" w:color="auto" w:fill="CCEEFF"/>
          </w:tcPr>
          <w:p>
            <w:pPr>
              <w:ind w:left="8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MINE SAFETY DISCLOSURES</w:t>
              </w:r>
            </w:hyperlink>
          </w:p>
        </w:tc>
        <w:tc>
          <w:tcPr>
            <w:tcW w:w="246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gridSpan w:val="12"/>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60" w:type="dxa"/>
            <w:vAlign w:val="bottom"/>
            <w:gridSpan w:val="10"/>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8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60" w:type="dxa"/>
            <w:vAlign w:val="bottom"/>
            <w:gridSpan w:val="12"/>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TABLE OF CONTENTS (continued)</w:t>
            </w:r>
          </w:p>
        </w:tc>
        <w:tc>
          <w:tcPr>
            <w:tcW w:w="7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780" w:type="dxa"/>
            <w:vAlign w:val="bottom"/>
            <w:gridSpan w:val="4"/>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55">
              <w:r>
                <w:rPr>
                  <w:rFonts w:ascii="Times New Roman" w:cs="Times New Roman" w:eastAsia="Times New Roman" w:hAnsi="Times New Roman"/>
                  <w:sz w:val="18"/>
                  <w:szCs w:val="18"/>
                  <w:b w:val="1"/>
                  <w:bCs w:val="1"/>
                  <w:color w:val="0000EE"/>
                </w:rPr>
                <w:t>PART II</w:t>
              </w:r>
            </w:hyperlink>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MARKET FOR REGISTRANT’S COMMON EQUITY, RELATED STOCKHOLDER MATTERS AND ISSUER PURCHASES OF</w:t>
              </w:r>
            </w:hyperlink>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EQUITY SECURITIES</w:t>
              </w:r>
            </w:hyperlink>
          </w:p>
        </w:tc>
        <w:tc>
          <w:tcPr>
            <w:tcW w:w="7940" w:type="dxa"/>
            <w:vAlign w:val="bottom"/>
            <w:tcBorders>
              <w:bottom w:val="single" w:sz="8" w:color="CCEEFF"/>
            </w:tcBorders>
            <w:gridSpan w:val="22"/>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Market for Our Common Stock</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Record Holders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Dividend Policy</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Securities Authorized for Issuance Under Equity Compensation Plans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Unregistered Sales of Equity Securities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Issuer Purchases of Equity Securities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SELECTED FINANCIAL DATA</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8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176"/>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900" w:type="dxa"/>
            <w:vAlign w:val="bottom"/>
            <w:tcBorders>
              <w:top w:val="single" w:sz="8" w:color="0000EE"/>
            </w:tcBorders>
            <w:gridSpan w:val="29"/>
          </w:tcPr>
          <w:p>
            <w:pPr>
              <w:ind w:left="18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Overview</w:t>
              </w:r>
            </w:hyperlink>
          </w:p>
        </w:tc>
        <w:tc>
          <w:tcPr>
            <w:tcW w:w="78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Business Plan</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Financing Overview</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Critical Accounting Policies and Estimates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Results of Operations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Condition, Liquidity and Capital Resources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Off-Balance Sheet Arrangements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5"/>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7A. </w:t>
            </w:r>
            <w:hyperlink w:anchor="page74">
              <w:r>
                <w:rPr>
                  <w:rFonts w:ascii="Times New Roman" w:cs="Times New Roman" w:eastAsia="Times New Roman" w:hAnsi="Times New Roman"/>
                  <w:sz w:val="18"/>
                  <w:szCs w:val="18"/>
                  <w:color w:val="0000EE"/>
                </w:rPr>
                <w:t>QUANTITATIVE AND QUALITATIVE DISCLOSURES ABOUT MARKET RISK</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7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6140" w:type="dxa"/>
            <w:vAlign w:val="bottom"/>
            <w:tcBorders>
              <w:top w:val="single" w:sz="8" w:color="0000EE"/>
            </w:tcBorders>
            <w:gridSpan w:val="2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FINANCIAL STATEMENTS AND SUPPLEMENTARY DATA</w:t>
              </w:r>
            </w:hyperlink>
          </w:p>
        </w:tc>
        <w:tc>
          <w:tcPr>
            <w:tcW w:w="3540" w:type="dxa"/>
            <w:vAlign w:val="bottom"/>
            <w:tcBorders>
              <w:top w:val="single" w:sz="8" w:color="CCEEFF"/>
            </w:tcBorders>
            <w:gridSpan w:val="5"/>
          </w:tcPr>
          <w:p>
            <w:pPr>
              <w:spacing w:after="0"/>
              <w:rPr>
                <w:sz w:val="15"/>
                <w:szCs w:val="15"/>
                <w:color w:val="auto"/>
              </w:rPr>
            </w:pPr>
          </w:p>
        </w:tc>
        <w:tc>
          <w:tcPr>
            <w:tcW w:w="78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8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60" w:type="dxa"/>
            <w:vAlign w:val="bottom"/>
            <w:gridSpan w:val="35"/>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9A. </w:t>
            </w:r>
            <w:hyperlink w:anchor="page74">
              <w:r>
                <w:rPr>
                  <w:rFonts w:ascii="Times New Roman" w:cs="Times New Roman" w:eastAsia="Times New Roman" w:hAnsi="Times New Roman"/>
                  <w:sz w:val="18"/>
                  <w:szCs w:val="18"/>
                  <w:color w:val="0000EE"/>
                </w:rPr>
                <w:t>CONTROLS AND PROCEDURES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35"/>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9B. </w:t>
            </w:r>
            <w:hyperlink w:anchor="page75">
              <w:r>
                <w:rPr>
                  <w:rFonts w:ascii="Times New Roman" w:cs="Times New Roman" w:eastAsia="Times New Roman" w:hAnsi="Times New Roman"/>
                  <w:sz w:val="18"/>
                  <w:szCs w:val="18"/>
                  <w:color w:val="0000EE"/>
                </w:rPr>
                <w:t>OTHER INFORMATION</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5"/>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9C. </w:t>
            </w:r>
            <w:hyperlink w:anchor="page75">
              <w:r>
                <w:rPr>
                  <w:rFonts w:ascii="Times New Roman" w:cs="Times New Roman" w:eastAsia="Times New Roman" w:hAnsi="Times New Roman"/>
                  <w:sz w:val="18"/>
                  <w:szCs w:val="18"/>
                  <w:color w:val="0000EE"/>
                </w:rPr>
                <w:t>DISCLOSURE REGARDING FOREIGN JURISDICTIONS THAT PREVENT INSPECTIONS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780" w:type="dxa"/>
            <w:vAlign w:val="bottom"/>
            <w:gridSpan w:val="4"/>
          </w:tcPr>
          <w:p>
            <w:pPr>
              <w:spacing w:after="0" w:line="176" w:lineRule="exact"/>
              <w:rPr>
                <w:rFonts w:ascii="Times New Roman" w:cs="Times New Roman" w:eastAsia="Times New Roman" w:hAnsi="Times New Roman"/>
                <w:sz w:val="18"/>
                <w:szCs w:val="18"/>
                <w:b w:val="1"/>
                <w:bCs w:val="1"/>
                <w:color w:val="0000EE"/>
              </w:rPr>
            </w:pPr>
            <w:hyperlink w:anchor="page76">
              <w:r>
                <w:rPr>
                  <w:rFonts w:ascii="Times New Roman" w:cs="Times New Roman" w:eastAsia="Times New Roman" w:hAnsi="Times New Roman"/>
                  <w:sz w:val="18"/>
                  <w:szCs w:val="18"/>
                  <w:b w:val="1"/>
                  <w:bCs w:val="1"/>
                  <w:color w:val="0000EE"/>
                </w:rPr>
                <w:t>PART III</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DIRECTORS, EXECUTIVE OFFICERS AND CORPORATE GOVERNANCE</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8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EXECUTIVE COMPENSATION</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8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78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MATTERS</w:t>
              </w:r>
            </w:hyperlink>
          </w:p>
        </w:tc>
        <w:tc>
          <w:tcPr>
            <w:tcW w:w="78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70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98">
              <w:r>
                <w:rPr>
                  <w:rFonts w:ascii="Times New Roman" w:cs="Times New Roman" w:eastAsia="Times New Roman" w:hAnsi="Times New Roman"/>
                  <w:sz w:val="18"/>
                  <w:szCs w:val="18"/>
                  <w:color w:val="0000EE"/>
                  <w:w w:val="98"/>
                </w:rPr>
                <w:t>CERTAIN RELATIONSHIPS AND RELATED TRANSACTIONS, AND DIRECTOR INDEPENDENCE</w:t>
              </w:r>
            </w:hyperlink>
          </w:p>
        </w:tc>
        <w:tc>
          <w:tcPr>
            <w:tcW w:w="198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94</w:t>
            </w:r>
          </w:p>
        </w:tc>
      </w:tr>
      <w:tr>
        <w:trPr>
          <w:trHeight w:val="175"/>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PRINCIPAL ACCOUNTANT FEES AND SERVICES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780" w:type="dxa"/>
            <w:vAlign w:val="bottom"/>
            <w:gridSpan w:val="4"/>
          </w:tcPr>
          <w:p>
            <w:pPr>
              <w:spacing w:after="0" w:line="176" w:lineRule="exact"/>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PART IV</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EXHIBITS AND FINANCIAL STATEMENT SCHEDULES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1. FINANCIAL STATEMENTS</w:t>
              </w:r>
            </w:hyperlink>
          </w:p>
        </w:tc>
        <w:tc>
          <w:tcPr>
            <w:tcW w:w="7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2. FINANCIAL STATEMENT SCHEDULES</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00">
              <w:r>
                <w:rPr>
                  <w:rFonts w:ascii="Times New Roman" w:cs="Times New Roman" w:eastAsia="Times New Roman" w:hAnsi="Times New Roman"/>
                  <w:sz w:val="18"/>
                  <w:szCs w:val="18"/>
                  <w:color w:val="0000EE"/>
                  <w:w w:val="97"/>
                </w:rPr>
                <w:t>3. EXHIBITS</w:t>
              </w:r>
            </w:hyperlink>
          </w:p>
        </w:tc>
        <w:tc>
          <w:tcPr>
            <w:tcW w:w="8680" w:type="dxa"/>
            <w:vAlign w:val="bottom"/>
            <w:tcBorders>
              <w:bottom w:val="single" w:sz="8" w:color="CCEEFF"/>
            </w:tcBorders>
            <w:gridSpan w:val="2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96</w:t>
            </w:r>
          </w:p>
        </w:tc>
      </w:tr>
      <w:tr>
        <w:trPr>
          <w:trHeight w:val="175"/>
        </w:trPr>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80" w:type="dxa"/>
            <w:vAlign w:val="bottom"/>
            <w:gridSpan w:val="31"/>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FORM 10-K SUMMARY</w:t>
              </w:r>
            </w:hyperlink>
          </w:p>
        </w:tc>
        <w:tc>
          <w:tcPr>
            <w:tcW w:w="7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of the statements contained in this Annual Report on Form 10-K (this “Annual Report”) are forward-looking and constitute forward-looking statements within the meaning of Section 27A of the Securities Act of 1933, as amended (the “Securities Act”), and Section 21E of the Securities Exchange Act of 1934, as amended (the “Exchange Act”).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“Celsion”, “the Company”, “we”, “us”, or “our” are to Celsion Corporation, a Delaware corporation and its wholly owned subsidiaries, CLSN Laboratories, Inc., also a Delaware corporation and Celsion GmbH, a Swiss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contained in this document are trademarks, registered trademarks or service marks of Celsion Corporation or its subsidiary in the United States (the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or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Celsion’s proprietary heat-activated liposomal encapsulation of doxorubicin, currently under investigator-sponsored development for several cancer indications, is being managed though Celsion’s wholly owned subsidiary, Celsion GmbH. Additionally,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Inc., a privately held corporation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position to capitalize on this technology platform.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percent and 17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GEN-1 by recruiting and maximizing an immune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On March 2, 2019, the Company announced final, investigator assessed,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tbl>
      <w:tblPr>
        <w:tblLayout w:type="fixed"/>
        <w:tblInd w:w="8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6"/>
        </w:trPr>
        <w:tc>
          <w:tcPr>
            <w:tcW w:w="5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Patients</w:t>
            </w:r>
          </w:p>
        </w:tc>
      </w:tr>
      <w:tr>
        <w:trPr>
          <w:trHeight w:val="216"/>
        </w:trPr>
        <w:tc>
          <w:tcPr>
            <w:tcW w:w="5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with R0</w:t>
            </w:r>
          </w:p>
        </w:tc>
      </w:tr>
      <w:tr>
        <w:trPr>
          <w:trHeight w:val="241"/>
        </w:trPr>
        <w:tc>
          <w:tcPr>
            <w:tcW w:w="516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Resections</w:t>
            </w:r>
          </w:p>
        </w:tc>
        <w:tc>
          <w:tcPr>
            <w:tcW w:w="16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36, 47 mg/m² of GEN-1 plus NACT</w:t>
            </w:r>
          </w:p>
        </w:tc>
        <w:tc>
          <w:tcPr>
            <w:tcW w:w="300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N = 12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GEN-1 plus NACT</w:t>
            </w:r>
          </w:p>
        </w:tc>
        <w:tc>
          <w:tcPr>
            <w:tcW w:w="30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 = 17</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2022. Because this is an open-label study, the Company intends to provide clinical updates throughout the course of treatment including response rates and surgical resection scores.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GEN-1 had a R0 resection, which indicates a microscopically margin-negative complete resection in which no gross or microscopic tumor remains in the tumor bed.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 announced that following a pre-planned interim safety review of 81 as treated patients randomized in the OVATION 2 Study, the Data Safety Monitoring Board (DSMB) unanimously recommended that the OVATION 2 Study continue treating patients with the dose of 100</w:t>
      </w:r>
    </w:p>
    <w:p>
      <w:pPr>
        <w:jc w:val="both"/>
        <w:spacing w:after="0" w:line="209" w:lineRule="auto"/>
        <w:rPr>
          <w:sz w:val="20"/>
          <w:szCs w:val="20"/>
          <w:color w:val="auto"/>
        </w:rPr>
      </w:pPr>
      <w:r>
        <w:rPr>
          <w:rFonts w:ascii="Times New Roman" w:cs="Times New Roman" w:eastAsia="Times New Roman" w:hAnsi="Times New Roman"/>
          <w:sz w:val="18"/>
          <w:szCs w:val="18"/>
          <w:color w:val="auto"/>
        </w:rPr>
        <w:t>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GEN-1 during a course of treatment that lasts up to six months. No dose-limiting toxicities were reported.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that over 75% of the projected 110 patients have been enrolled in the OVATION 2 Study. Interim clinical data from the first 39 patients who have undergone interval debulking surgery showed that the GEN-1 treatment arm is showing a 27% improvement in R0 surgical resection rate over the control arm.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Through March 15, 2022, 88 of 110 patients have been enrolled in the OVATION 2 study. To date no patient in the treatment arm of the phase 2 portion of the trial has received all 17 doses of the GEN-1 treatment as prescribed in the study protocol. Implications will be assessed in conjunction with the primary end point, PFS,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Celsion’s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Celsion’s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Celsion’s DNA-based approach for a SARS-CoV-2 vaccine. The NHP pilot study follows the generation of encouraging mouse data and will evaluate the Company’s lead vaccine formulations for safety, immunogenicity and protection against SARS-CoV-2. In completed preclinical studies, Celsion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Celsion’s novel DNA-based vaccines have been based on a simple intramuscular injection that does not require viral encapsulation or special equipment for administration.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Investigator sponsored THERMODOX</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Treatment of Various Cancers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Celsion’s Approach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24, 2014, we announced that the FDA provided clearance for the OPTIMA Study, which is a pivotal, double-blind, placebo-controlled Phase</w:t>
      </w:r>
    </w:p>
    <w:p>
      <w:pPr>
        <w:spacing w:after="0" w:line="27" w:lineRule="exact"/>
        <w:rPr>
          <w:sz w:val="20"/>
          <w:szCs w:val="20"/>
          <w:color w:val="auto"/>
        </w:rPr>
      </w:pPr>
    </w:p>
    <w:p>
      <w:pPr>
        <w:jc w:val="both"/>
        <w:ind w:right="20" w:firstLine="8"/>
        <w:spacing w:after="0" w:line="221"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Post-hoc data analysis from our earlier Phase III HEAT Study suggests that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3"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patients with a single lesion (n=285, 41% of the HEAT Study patients), treatment with a combination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optimized RFA provided an average 54% risk improvement in OS compared to optimized RFA alone. The HR at this analysis is 0.65 (95% CI 0.45 - 0.94) with a p-value of 0.02. Median OS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group has been reached which translates into a two-year survival benefit over the optimized RFA group (projected to be</w:t>
      </w:r>
    </w:p>
    <w:p>
      <w:pPr>
        <w:spacing w:after="0" w:line="186" w:lineRule="auto"/>
        <w:rPr>
          <w:sz w:val="20"/>
          <w:szCs w:val="20"/>
          <w:color w:val="auto"/>
        </w:rPr>
      </w:pPr>
      <w:r>
        <w:rPr>
          <w:rFonts w:ascii="Times New Roman" w:cs="Times New Roman" w:eastAsia="Times New Roman" w:hAnsi="Times New Roman"/>
          <w:sz w:val="18"/>
          <w:szCs w:val="18"/>
          <w:color w:val="auto"/>
        </w:rPr>
        <w:t>greater than 80 months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optimized RFA group compared to less than 60 months projection for the optimized RFA only group).</w:t>
      </w:r>
    </w:p>
    <w:p>
      <w:pPr>
        <w:spacing w:after="0"/>
        <w:rPr>
          <w:sz w:val="20"/>
          <w:szCs w:val="20"/>
          <w:color w:val="auto"/>
        </w:rPr>
      </w:pPr>
      <w:r>
        <w:rPr>
          <w:rFonts w:ascii="Times New Roman" w:cs="Times New Roman" w:eastAsia="Times New Roman" w:hAnsi="Times New Roman"/>
          <w:sz w:val="18"/>
          <w:szCs w:val="18"/>
          <w:color w:val="auto"/>
        </w:rPr>
        <w:t>This information should be viewed with caution since it is based on a retrospective analysis of a subgroup.</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28" w:lineRule="auto"/>
        <w:rPr>
          <w:sz w:val="20"/>
          <w:szCs w:val="20"/>
          <w:color w:val="auto"/>
        </w:rPr>
      </w:pPr>
      <w:r>
        <w:rPr>
          <w:rFonts w:ascii="Times New Roman" w:cs="Times New Roman" w:eastAsia="Times New Roman" w:hAnsi="Times New Roman"/>
          <w:sz w:val="18"/>
          <w:szCs w:val="18"/>
          <w:color w:val="auto"/>
        </w:rPr>
        <w:t>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w:t>
      </w:r>
    </w:p>
    <w:p>
      <w:pPr>
        <w:spacing w:after="0" w:line="77"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parallel, the Company submitted all OPTIMA Study clinical trial data to the National Institutes of Health (NIH) and with the expectation of receiving a report on the following:</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3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Times New Roman" w:cs="Times New Roman" w:eastAsia="Times New Roman" w:hAnsi="Times New Roman"/>
          <w:sz w:val="18"/>
          <w:szCs w:val="18"/>
          <w:i w:val="1"/>
          <w:iCs w:val="1"/>
          <w:color w:val="auto"/>
        </w:rPr>
        <w:t>Journal of Vascular and Interventional Radiology</w:t>
      </w:r>
      <w:r>
        <w:rPr>
          <w:rFonts w:ascii="Times New Roman" w:cs="Times New Roman" w:eastAsia="Times New Roman" w:hAnsi="Times New Roman"/>
          <w:sz w:val="18"/>
          <w:szCs w:val="18"/>
          <w:color w:val="auto"/>
        </w:rPr>
        <w:t>, in which the key finding was that increased RFA heating time per tumor volume significantly improved OS in patients with single lesion HCC who were treated with RFA plus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compared with patients treated with RFA alone.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site-by-site evaluation for RFA heating time-based anomalies that may have contributed to the treatment arm performance.</w:t>
      </w:r>
    </w:p>
    <w:p>
      <w:pPr>
        <w:spacing w:after="0" w:line="7"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image-based evaluation comparing results from the OPTIMA Study to the data from the HEAT Study that led to the RFA heating time hypothesis.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 continues working closely and supporting investigations by others throughout the world in breast cancer, pancreatic cancer and in solid tumors in children. Following inquiries from the NIH, we renewed our Cooperative Research and Development Agreement (CRADA) with the Institute at a nominal</w:t>
      </w:r>
    </w:p>
    <w:p>
      <w:pPr>
        <w:jc w:val="both"/>
        <w:spacing w:after="0" w:line="221" w:lineRule="auto"/>
        <w:rPr>
          <w:sz w:val="20"/>
          <w:szCs w:val="20"/>
          <w:color w:val="auto"/>
        </w:rPr>
      </w:pPr>
      <w:r>
        <w:rPr>
          <w:rFonts w:ascii="Times New Roman" w:cs="Times New Roman" w:eastAsia="Times New Roman" w:hAnsi="Times New Roman"/>
          <w:sz w:val="18"/>
          <w:szCs w:val="18"/>
          <w:color w:val="auto"/>
        </w:rPr>
        <w:t>cost, 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summaries of several investigator-sponsored studies using ThermoDox®:</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University commenced enrolling patients in a Phase I pancreatic cancer study with ThermoDox® in combination with High Intensity Focused Ultrasound (HIFU) in July of 2021. The primary objective of this trial, the PanDox Study: Targeted Doxorubicin in Pancreatic Tumors, is to quantify the enhancement in intratumoral doxorubicin concentration when delivered with ThermoDox® and HIFU, versus doxorubicin monotherapy. This study is being undertaken pursuant to promising data in a mouse model of pancreatic cancer, which was published in the International Journal of Hyperthermia in 2018. That preclinical study showed a 23x increase in intratumoral doxorubicin concentration with ThermoDox® + HIFU, compared with a 2x increase in intratumoral doxorubicin concentration with free doxorubicin plus HIFU.</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Utrecht University in the Netherlands continues to enroll patients in a Phase I breast cancer study to determine the safety, tolerability and feasibility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clinical product for the trial.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DEVELOPMENT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OPTIMA Study in February 2021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and OPTIMA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$56.9 million in cash and cash equivalents, short-term investments, interest receivable, net proceeds on the sale of net operating losses and restricted cash as of December 31, 2021. Given our current development plans, we anticipate our current cash resources will be sufficient to fund our operations and financial commitments through the end of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Times New Roman" w:cs="Times New Roman" w:eastAsia="Times New Roman" w:hAnsi="Times New Roman"/>
          <w:sz w:val="18"/>
          <w:szCs w:val="18"/>
          <w:b w:val="1"/>
          <w:bCs w:val="1"/>
          <w:color w:val="auto"/>
        </w:rPr>
        <w:t>Part II,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7 - Management’s Discussion and Analysis of Financial Condition and Results of Operations </w:t>
      </w:r>
      <w:r>
        <w:rPr>
          <w:rFonts w:ascii="Times New Roman" w:cs="Times New Roman" w:eastAsia="Times New Roman" w:hAnsi="Times New Roman"/>
          <w:sz w:val="18"/>
          <w:szCs w:val="18"/>
          <w:color w:val="auto"/>
        </w:rPr>
        <w:t>of this Annual Report for additional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Company’s financial condition, 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engaged in a limited amount of research and development in our own facilities and have sponsored research programs in partnership with various research institutions, including the NIH, the National Cancer Institute and Duke University. We are currently, with minimal cash expenditures, sponsoring clinical and pre-clinical research at the University of Oxford, University of Utrecht, and the Children’s Hospital Research Institute. The majority of the spending in research and development is for the funding of GEN-1 and ThermoDox® clinical trials and our next generation vaccine initiative. Research and development expenses were approximately $10.6 million and $11.3 million for the years ended December 31, 2021 and 2020, respectively. See </w:t>
      </w:r>
      <w:r>
        <w:rPr>
          <w:rFonts w:ascii="Times New Roman" w:cs="Times New Roman" w:eastAsia="Times New Roman" w:hAnsi="Times New Roman"/>
          <w:sz w:val="18"/>
          <w:szCs w:val="18"/>
          <w:b w:val="1"/>
          <w:bCs w:val="1"/>
          <w:color w:val="auto"/>
        </w:rPr>
        <w:t>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II, Item 7 - Management’s Discussion and Analysis of Financial Condition and Results of Operations </w:t>
      </w:r>
      <w:r>
        <w:rPr>
          <w:rFonts w:ascii="Times New Roman" w:cs="Times New Roman" w:eastAsia="Times New Roman" w:hAnsi="Times New Roman"/>
          <w:sz w:val="18"/>
          <w:szCs w:val="18"/>
          <w:color w:val="auto"/>
        </w:rPr>
        <w:t>of this Annual Report for additional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expenditures related to our research and development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vehicle by which FDA approves a new pharmaceutical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cGMP and to assure adequate identity, strength, quality, purity, and potency; and (e) FDA review and approval of the NDA/BLA.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product candidate otherwise will come to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a therapeutic product candidate being studied in clinical trials may be made available for treatment of individual patients. Pursuant to the 21st Century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product candidate is being manufactured in accordance with cGMP. The testing, submission, and approval process requires substantial time, effort, and financial resources, including substantial application user fees and annual product and establishment user fees. There can be no assurance that any approval will be granted for any product at any time, according to any schedule, or at all. The FDA may refuse to accept or approve an application if it determines those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reviews are applied to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under Section 505(b)(2), the FDA may rely, for approval of an NDA, on data not developed by the applicant.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Regulations Specific to Gene-Based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gene-based products as biological products. Biological products intended for therapeutic use may be regulated by either the Center for Biologics Evaluation &amp; Research (“CBER”) or the Center for Drug Evaluation &amp; Research (“CDER”). Gene-based products are subject to extensive regulation under the FDCA, the PHSA, and their implementing regulations. Each clinical trial of investigational gene therapies must be reviewed and approved by the Institutional Biosafety Committee (“IBC”) for each clinical site if they receive any funding whatsoever from the National Institutes of Health (“NIH”). IBCs were established under NIH Guidelines for Research Involving Recombinant or Synthetic Nucleic Acid Molecules (“NIH Guidelines”) to provide local review and oversight of nearly all forms of research utilizing recombinant or synthetic nucleic acid molecules. The IBC assesses biosafety issues, specifically, safety practices and containment procedures, related to the investigational product and clinical study. Compliance with the NIH Guidelines is mandatory for investigators at institutions receiving NIH funds for research involving recombinant DNA, however many companies and other institutions not otherwise subject to the NIH Guidelines voluntarily follow them. Such trials remain subject to FDA and other clinical trial regulations, and only after FDA, IBC, and other relevant approvals are in place can these protocols proceed.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Biological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which are intended to expedite or simplify the process for reviewing product candidates, or provide for the approval of a product candidate on the basis of a surrogate endpoint. In January 2021, the FDA granted Fast Track designation for GEN-1 for the treatment of ovarian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product candidates to treat serious or life-threatening diseases or conditions and fill unmet medical needs.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Fast Track and priority review do not affect the standards for approval, the FDA will attempt to facilitate early and frequent meetings with a sponsor of a Fast Track designated product candidate and expedite review of the application for a product candidate designated for priority review. Accelerated approval provides for an earlier approval for a new product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clinical trials to verify and describe the predicted effect on irreversible morbidity or mortality or other clinical endpoint, and the product may be subject to accelerated withdrawal procedures.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seek FDA designation of a product candidate as a “breakthrough therapy” if the product candidate is intended, alone or in combination with one or more other therapeutics,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II. Drugs designated as breakthrough therapies are also eligible for accelerated approval and receive the same benefits as drugs with Fast Track designation. The FDA must take certain actions, such as holding timely meetings and providing advice, intended to expedite the development and review of an application for approval of a breakthrough therapy. Fast Track and breakthrough therapy designations may also be rescinded if the product candidate does not continue to meet the designation criteria. Fast Track designation, priority review, accelerated approval, and breakthrough therapy designation do not change the standards for approval but may expedite the development or approval process.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2005, the FDA granted orphan drug designation for GEN-1 for the treatment of ovarian cancer. In 2010, the FDA granted orphan drug designation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created an abbreviated approval pathway for biological product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 clinical trial or trials,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product candidate and the manufacturer must develop methods for testing the quality, purity and potency of the product candidate. Additionally, appropriate packaging must be selected and tested, and stability studies must be conducted to demonstrate that the product candidate does not undergo unacceptable deterioration over its proposed shelf-life.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Clinical Studies to Support an IND, NDA, or BLA</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 This information includes the investigator’s qualifications; a description of the research facilities; a detailed summary of the protocol and trial results and, if requested, case records or additional background data; a description of the drug substance and drug product, including the components, formulation, specifications, and, if available, the bioavailability of the product candidate; information showing that the trial is adequate and well controlled; the name and address of the independent ethics committee that reviewed the trial and a statement that the independent ethics committee meets the required definition; a summary of the independent ethics committee’s decision to approve or modify and approve the trial, or to provide a favorable opinion; a description of how informed consent was obtained; a description of what incentives, if any, were provided to subjects to participate; a description of how the sponsor monitored the trial and ensured that the trial was consistent with the protocol; a description of how investigators were trained to comply with GCP and to conduct the trial in accordance with the trial protocol; and a statement on whether written commitments by investigators to comply with GCP and the protocol were obtained.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 Further, with the COVID-19 pandemic, it is possible that Congress and FDA may implement new laws, regulations, or policies that may impact our ability to continue development programs as planned.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regulations prohibit the promotion of an investigational product for an unapproved use. The FDA distinguishes impermissible promotion of an investigational product from the permissible exchange of scientific and medical information among healthcare professionals, which may include company-sponsored scientific and educational activities. The FDA has issued Warning Letters and untitled letters to sponsors and clinical investigators who have claimed, directly or indirectly, that an investigational product is safe and effective for its intended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87" w:lineRule="exact"/>
        <w:rPr>
          <w:sz w:val="20"/>
          <w:szCs w:val="20"/>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91" w:lineRule="exact"/>
        <w:rPr>
          <w:rFonts w:ascii="Times New Roman" w:cs="Times New Roman" w:eastAsia="Times New Roman" w:hAnsi="Times New Roman"/>
          <w:sz w:val="18"/>
          <w:szCs w:val="18"/>
          <w:color w:val="auto"/>
        </w:rPr>
      </w:pPr>
    </w:p>
    <w:p>
      <w:pPr>
        <w:jc w:val="both"/>
        <w:ind w:left="340" w:hanging="287"/>
        <w:spacing w:after="0" w:line="254" w:lineRule="auto"/>
        <w:tabs>
          <w:tab w:leader="none" w:pos="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(“ACA”),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are often not pre-empted, and may have a more prohibitive effect than the Sunshine Act, thus further complicating compliance efforts. Effective January 1, 2022, these reporting obligations extend to include transfers of value made in the previous year to certain non-physician providers such as physician assistants and nurse practitioners.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and can divert a company’s attention from its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following the enactment of the California Consumer Privacy Act of 2018 (the “CCPA”), other state laws have established a broad range of privacy obligations for businesses, including robust notice, opt-out choice from selling or sharing personal information, access, portability, deletion, and related obligations. CCPA primarily vested enforcement authority in the California Attorney General, which includes injunctions and civil penalties of up to $7,500 per violation. It also included a private right of action for data breaches, with statutory damages of up to $750 per consumer per incident, for situations involving unauthorized access to nonencrypted and nonredacted sensitive personal information within the meaning of California’s existing breach notification and data security statute. Subsequently, California amended CCPA by enacting by the California Consumer Privacy Rights Act, Virginia enacted the Virginia Consumer Data Protection Act, and Colorado enacted the Colorado Privacy Act. While many of these statutes exempt protected health information that is subject to HIPAA and clinical trial regulations, these statutes mark the beginning of a trend toward more stringent state privacy legislation in the U.S., which could increase our potential liability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on data subjects the right to lodge complaints with supervisory authorities, and seek certain judicial review for violations of the GDPR. In addition, the GDPR includes restrictions on cross-border data transfers. The GDPR increases our responsibility and liability in relation to personal data that we process where such processing is subject to the GDPR, and we are required to put in place additional mechanisms to ensure compliance with the GDPR, including additional requirements imposed by individual countries. Further, the United Kingdom’s decision to leave the EU, often referred to as Brexit, has created new requirements with regard to its data protection regulation, including standard contractual clauses for the transfers of data to and from the United Kingdom.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ACA,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future healthcare reform legislation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Also, in March 2010, the U.S. Congress enacted the ACA, which, among other things, includes changes to the coverage and payment for products under government health care programs. The ACA includes provisions of importance to our potential product candidates that:</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1" w:lineRule="exact"/>
        <w:rPr>
          <w:rFonts w:ascii="Times New Roman" w:cs="Times New Roman" w:eastAsia="Times New Roman" w:hAnsi="Times New Roman"/>
          <w:sz w:val="18"/>
          <w:szCs w:val="18"/>
          <w:color w:val="auto"/>
        </w:rPr>
      </w:pPr>
    </w:p>
    <w:p>
      <w:pPr>
        <w:jc w:val="both"/>
        <w:ind w:left="340" w:hanging="287"/>
        <w:spacing w:after="0" w:line="266"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provisions of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In June 2021, the U.S. Supreme Court held that the states and individuals that brought the lawsuit challenging ACA’s individual mandate did not have standing. We will continue to evaluate the effect that the ACA has on our business. Other legislative changes have been proposed and adopted in the U.S. since the ACA was enacted.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2020, HHS Office of the Inspector General finalized a regulation with the goal of lowering prescription drug prices and out-of-pocket spending for prescription drugs. Specifically, the final rule clarifies and amends the discount safe harbor under the federal Anti-Kickback Statute with the effect that rebates paid from drug manufacturers to Medicare Part D prescription drug plan sponsors, or their pharmacy benefit managers (“PBMs”) are excluded from liability protection under the discount safe harbor. The rule also adds a new safe harbor for point-of-sale reductions in price and another that protects certain fixed-fee service arrangements between PBMs and drug manufacturers.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Coronavirus Aid, Relief, and Economic Security Act, also known as the CARES Act, and the 2020 Omnibus Bill, and later regulatory actions, the reductions required by the Budget Control Act of 2011 are suspended from May 1, 2020, through March 31, 2022, due to the COVID-19 pandemic. Further, it is possible that the government will take additional steps to address the COVID-19 pandemic. For example, on April 18, 2020, CMS announced that qualified health plan issuers under the ACA may suspend activities related to the collection and reporting of quality data that would have otherwise been reported between May and June 2020 because of the challenges healthcare providers are facing responding to the COVID-19 virus.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Regulation Outside of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of other countries governing, among other things, any clinical trials and commercial sales and distribution of our product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GCP and Good Manufacturing Practice (“GMP”) rules, ICH guidelines and be consistent with ethical principles. The new EU Clinical Trial Regulation (Regulation 536/2014) came into application on January 31, 2022, seeks to harmonize the submission, assessment, and supervision processes for clinical trials in the EU and will impact the way clinical trials are conducted in the EU.</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(the “CHMP”), a committee within the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 the requirements for pricing, coverage and reimbursement of any product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orphan designations for our product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Medical product manufacturers and other entities involved in the manufacture and distribution of approved drug or biologic products are required to register their establishments with the FDA and certain state agencies and are subject to periodic unannounced inspections by the FDA and certain state agencies for compliance with cGMP and other laws. cGMP is a regulatory standard for the production of pharmaceuticals that will be used in humans which is recognized by FDA and many foreign regulatory authorities. Accordingly, manufacturers must continue to expend time, money, and effort in the area of production and quality control to maintain GMP compliance. We use CMOs which manufacture our product candidates under cGMP conditions.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The FDA has the authority to take a variety of actions to address violations, including suspending the review of a pending application; refusing to approve or withdrawing approval of a marketing application; placing a study on clinical hold; issuing warning or untitled letters; ordering a product recall; seizing product in distribution; seeking an injunction to stop manufacture and distribution of a product; seeking restitution, disgorgement of profits, and fines; and debarring a company and its executives individually from participation in any capacity in the drug approval process. The U.S. Department of Justice has the authority to criminally prosecute companies and company executives for violations of the FD&amp;C Act and the PHS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GEN-1</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Studied indications for GEN-1 currently include stage III/IV ovarian cancer. In evaluating the competitive landscape for this indication, early-stage indications are treated with chemotherapy (docetaxel, doxil and cisplatinum for ovarian cancer), while later stage ovarian cancer is treated with Bevacizumab - Avastin®, an anti-angiogenesis inhibitor. Avastin® is currently also being evaluated for early-stage disease.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product positioning for the ovarian cancer indications, there currently is no direct immunotherapy competitor for GEN-1, which will be studied as an adjuvant to both chemotherapy standard of care regimens, as well as anti-angiogenesis compounds. To support these cases, we have conducted clinical</w:t>
      </w:r>
    </w:p>
    <w:p>
      <w:pPr>
        <w:ind w:right="100"/>
        <w:spacing w:after="0" w:line="411" w:lineRule="auto"/>
        <w:rPr>
          <w:sz w:val="20"/>
          <w:szCs w:val="20"/>
          <w:color w:val="auto"/>
        </w:rPr>
      </w:pPr>
      <w:r>
        <w:rPr>
          <w:rFonts w:ascii="Times New Roman" w:cs="Times New Roman" w:eastAsia="Times New Roman" w:hAnsi="Times New Roman"/>
          <w:sz w:val="18"/>
          <w:szCs w:val="18"/>
          <w:color w:val="auto"/>
        </w:rPr>
        <w:t>studies in combination with chemotherapy for ovarian cancer, and preclinical studies in combination with both temozolomide and Bevacizumab-Avastin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ThermoDox</w:t>
      </w:r>
      <w:r>
        <w:rPr>
          <w:rFonts w:ascii="Times New Roman" w:cs="Times New Roman" w:eastAsia="Times New Roman" w:hAnsi="Times New Roman"/>
          <w:sz w:val="29"/>
          <w:szCs w:val="29"/>
          <w:i w:val="1"/>
          <w:iCs w:val="1"/>
          <w:color w:val="auto"/>
          <w:vertAlign w:val="superscript"/>
        </w:rPr>
        <w:t>®</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are many drugs and devices marketed and under development for the treatment of cancer, the Company is not aware of any other heat activated drug delivery product either being marketed or in human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ThermoDox® technology, we either exclusively license with Duke University for its temperature-sensitive liposome technology that covers the ThermoDox® formulation or own U.S. and international patents with claims and methods and compositions of matters that cover various aspects of lysolipid thermally sensitive liposomes technology, with expiration dates ranging from 2018 to 2026. Celsion also has issued patents which pertain specifically to methods of storing stabilized, temperature-sensitive liposomal formulations and will assist in the protection of global rights. These patents will extend the overall term of the ThermoDox® patent portfolio to 2026. The patents in this family, include a pending application in the U.S., and issued patents in Europe and additional key commercial geographies in Asia. This extended patent runway to 2026 allows for the evaluation of future development activities for ThermoDox® and Celsion’s heat-sensitive liposome technology platform.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FDA granted orphan drug designation to ThermoDox® for the treatment of HCC and to GEN-1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“Our business depends on license agreements with third parties to permit us to use patented technologies. The loss of any of our rights under these agreements could impair our ability to develop and market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2022, we employed 29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Celsion was founded in 1982 and is a Delaware corporation. Our principal executive offices are located at 997 Lenox Drive, Suite 100, Lawrenceville, NJ 08648. Our telephone number is (609) 896-9100. The Company’s website is www.celsion.com. The information contained in, or that can be accessed through, our website is not part of, and is not incorporated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www.celsion.com,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and should not be relied upon.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will have a stated value of $300 per share and are convertible, at a conversion price of $13.65 per share, into 1,098,901 shares of common stock (subject in certain circumstances to adjustments). The shares of Series B Preferred Stock will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outstanding shares of Series B Preferred Stock. As a result, all shares of the Preferred Stock have been retired and are no longer outstanding and Celsion’s only class of outstanding stock is its common stock. Each share of common stock entitles the holder to one vote.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1, 2022. On February 28, 2022,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 See Note 10 to the consolidated financial statements included in this Annual Report (the “Financial Statements”). The reverse stock split was previously approved by the Company’s stockholders at the 2022 Special Meeting held on February 24, 2022, and the Company subsequently filed a Certificate of Amendment to its Certificate of Incorporation to effect the stock consolidation. All shares have been restated in this Annual Report to reflect the effectiveness of the reverse stock split.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9" w:gutter="0" w:footer="0" w:header="0"/>
        </w:sectPr>
      </w:pPr>
    </w:p>
    <w:bookmarkStart w:id="30" w:name="page31"/>
    <w:bookmarkEnd w:id="3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some of the Company’s most important risks and uncertainties that could materially adversely affect our business, financial condition, and results of operations. You should read this summary together with the more detailed description of each risk factor. Additional discussion of the risks summarized in this Risk Factors Summary, and other risks that we face, can be found below under the heading “Risk Factors” and should be carefully considered, together with other information in this Form 10-K and our other filings with the SEC, before making an investment in our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Related to Our Business and Operations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losses from operations and expect to continue to incur significant losses for the foreseeable future.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 Our lead drug candidate failed to meet its primary endpoint in our earlier Phase III clinical trial.</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duration and severity of the novel coronavirus disease, COVID-19, pandemic could adversely impact our business, including our preclinical studies and clinical trials.</w:t>
      </w: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may be harmed if the government, private health insurers and other third-party payers do not provide sufficient coverage or reimbursement.</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for the treatment of cancer are subject to rapid change, and the development of treatment strategies that are more effective than our technologies could render our technologies obsolete.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our ability to grow and diversify, which in turn will require that we manage and control our growth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the failure to compete effectively could adversely affect our ability to develop and market our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on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the COVID-19 coronavirus could have an adverse impact on our developmental programs and our financial condition.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pending patent applications do not issue, or are deemed invalid following issuance, we may lose valuable intellectual property protection.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Securities</w:t>
      </w:r>
    </w:p>
    <w:p>
      <w:pPr>
        <w:spacing w:after="0" w:line="225"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 and fluctuate significantly, which could result in substantial losses for investors and subject us to securities class action litigation.</w:t>
      </w: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capital and credit market conditions could affect our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cash dividends on our common stock and do not anticipate paying dividends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$333 million at December 31, 2021. For the years ended December 31, 2021 and 2020, we incurred net losses of $20.8 million and $21.5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GEN-1 and other new product candidates and these product candidates have been clinically tested, approved by the U.S.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devoted our resources to developing a new generation of products and will not be able to market these products until we have completed clinical trials and obtain all necessary governmental approvals. Our product candidates, including GEN-1, are still in various stages of development and trials and cannot be marketed until we have completed clinical testing and obtained necessary governmental approval. Following our announcement on February 11,</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2021 that the Company’s Phase III OPTIMA Study failed to meet its primary endpoint of OS, we do not expect to generate revenue from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foreseeable future. GEN-1 is currently in a Phase II trial for the treatment of ovarian cancer.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9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 Our lead drug candidate, 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failed to meet its primary endpoint in two Phase III clinical trials.</w:t>
      </w:r>
    </w:p>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January 31, 2013, we announced that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failed to meet the primary endpoint of the Phase III clinical trial for primary liver cancer, known as the HEAT study. On July 13, 2020, the Company announced that it received a recommendation from the independent DMC</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the Company was notifying all clinical sites to discontinue following patients in the OPTIMA Study.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244" w:lineRule="auto"/>
        <w:rPr>
          <w:sz w:val="20"/>
          <w:szCs w:val="20"/>
          <w:color w:val="auto"/>
        </w:rPr>
      </w:pPr>
      <w:r>
        <w:rPr>
          <w:rFonts w:ascii="Times New Roman" w:cs="Times New Roman" w:eastAsia="Times New Roman" w:hAnsi="Times New Roman"/>
          <w:sz w:val="18"/>
          <w:szCs w:val="18"/>
          <w:color w:val="auto"/>
        </w:rPr>
        <w:t>Preclinical testing and clinical trials are long, expensive, and highly uncertain processes and failure can unexpectedly occur at any stage of clinical development, as evidenced by the failure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meet its primary endpoint in the HEAT Study and the OPTIMA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2021, we incurred a net loss of $20.8 million. We have incurred approximately $333 million of cumulative net losses. As of December 31, 2021, we had cash and cash equivalents, short-term investments, interest receivable, net proceeds on the sale of net operating losses and restricted money market investments of $56.9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product candidates through various development stages.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U.S., given that we may be subject to additional or different regulatory burdens in other markets. This could limit our ability to realize their full market potential.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outbreak, duration and severity of the novel coronavirus disease, COVID-19, pandemic could adversely impact our business, including our preclinical studies and clinical trials.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2020, the WHO declared COVID-19 a global pandemic, and the U.S. Department of Health and Human Services declared a public health emergency to aid the U.S. healthcare community in responding to COVID-19.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year ended December 31, 2021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disruptions caused by COVID-19 may also disrupt preclinical studies,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this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as of the date of this report, we have not experienced any material disruptions to the execution of the clinical trials and the research and development activities that we currently have underway, as a result of the pandemic we may experience disruptions that could severely impact research and development timelines and outcomes, including, but not limited to:</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state or foreign governments, employers and others or interruption of clinical trial subject visits and study procedures (such as procedures that are deemed non-essential under law, regulation or institutional policies),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contracted research facilities;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we may incur as a result of the impact of the COVID-19 pandemic, including the costs of mitigation efforts;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that could limit our ability to obtain external financing to fund our operations and capital expenditures;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risks, including difficulties in liquidating investments due to current market conditions and adverse investment performance;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research and development activities, including because of sickness of employees or their families or the desire of employees to avoid contact with large groups of people; or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limitations of the types described affecting our service providers and collaboration partners, including contract research organizations running clinical trials and collaboration partners sponsoring clinical trials in which we are supplying our product candidates or otherwise participating.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trading prices for common stock of other biopharmaceutical companies have been highly volatile as a result of the COVID-19 pandemic. 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U.S. and other countries, business closures or business disruptions and the effectiveness of actions taken in the U.S. and other countries to diagnose, contain and treat the disease. If we or any of the third parties with whom we engage were to experience shutdowns or other business disruptions, our ability to conduct our business and development activities in the manner and on the timelines presently planned could be materially and negatively impacted. There can be no assurance that any such disruptions or delays will not materially adversely impact our business, results of operations, access to financial resources and our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our product candidates initially show promise in these early clinical trials, the side effects of drugs are frequently only detectable after they are tested in large,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research programs resulting from factors related to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pandemic or any future pandemics that we believe may adversely affect enrollment in our trials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interrupt key trial activities, such as clinical trial site initiations and monitoring;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clinical trial materials, such as investigational drug product and comparator drugs used in our trials;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furlough days that delay necessary interactions with local regulators, ethics committees and other important agencies and contractors.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pandemic of the COVID-19 coronavirus continues to evolve and the conduct of our trials may continue to be adversely affected, despite efforts to mitigate this impact.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transactions, such as acquisitions, partnerships, and collaborations, including the EGEN asset acquisition, involve numerous risks, including:</w:t>
      </w:r>
    </w:p>
    <w:p>
      <w:pPr>
        <w:spacing w:after="0" w:line="225"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markets for the products of acquired businesses, technologies, or product lines to develop as expected;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identifying and pursuing acquisition targets;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achieving strategic objectives, cost savings and other benefits expected from acquisitions;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financial returns on acquisitions will not support the expenditures incurred to acquire such businesses or the capital expenditures needed to develop such businesses;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manage additional business locations, including the additional infrastructure and resources necessary to support and integrate such locations;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or conducting operations with which we have no or limited direct prior experience;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assuming the legal obligations of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related to acquired businesses, technologies, or product lines;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manufacturers.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our third-party manufacturers to implement and that may include the temporary or permanent suspension of a clinical trial or commercial sales or the temporary or permanent closure of a manufacturing facility. Any such remedial measures imposed upon third parties with whom we contract could materially harm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any of our third-party manufacturers or testing contractors fail to maintain regulatory compliance, this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GEN-1 ThermoDox® and may seek Orphan Drug Designation for other product candidates, but we may be unsuccessful or may be unable to maintain the benefits associated with Orphan Drug Designation, including the potential for market exclusivity.</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GEN-1 has been granted orphan drug designation for ovarian cancer in both the U.S. and Europe.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has been granted orphan drug designation for primary liver cancer in both the U.S. and Europe.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Even though we have obtained Orphan Drug Designation for GEN-1 and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GEN-1 and ThermoDox® have received U.S. FDA Fast Track Designation in 2021 and 2010, respectively.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94" w:lineRule="exact"/>
        <w:rPr>
          <w:sz w:val="20"/>
          <w:szCs w:val="20"/>
          <w:color w:val="auto"/>
        </w:rPr>
      </w:pPr>
    </w:p>
    <w:p>
      <w:pPr>
        <w:jc w:val="both"/>
        <w:ind w:left="660" w:hanging="328"/>
        <w:spacing w:after="0" w:line="253"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certain point-of-sale discounts off negotiated prices of applicable brand drugs to eligible beneficiaries during their coverage gap period, as a condition for the manufacturer’s outpatient drugs to be covered under Medicare Part 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and there have been challenges to certain provision to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In June 2021, the U.S. Supreme Court held that the states and individuals that brought the lawsuit challenging ACA’s individual mandate did not have standing. The Company will continue to evaluate the effect that ACA has on our business.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affecting among other matters, Medicare payments to providers.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reduction in reimbursement from Medicare and other government programs may result in a similar reduction in payments from private payers. In addition, individual states in the U.S.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any product candidates that we may successfully develop and for which we may obtain regulatory approval and may affect our overall financial condition and ability to develop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on data subjects the right to lodge complaints with supervisory authorities, and seek certain judicial review for violations of the GDPR. In addition, the GDPR includes restrictions on cross-border data transfers. The GDPR increases our responsibility and liability in relation to personal data that we process where such processing is subject to the GDPR, and we are required to put in place additional mechanisms to ensure compliance with the GDPR, including additional requirements imposed by individual countries.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we continue to conduct clinical trials in the EEA, we must also ensure that we maintain adequate safeguards to enable the transfer of personal data outside of the EEA, in particular to the U.S.,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authorities and other third-party payors decide which drugs and treatments they will cover and the amount of reimbursement. In the U.S.,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9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ACA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Several of our current clinical trials are being conducted outside the U.S., and the FDA may not accept data from trials conducted in foreign locations.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of our current clinical trials are being conducted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U.S. must be representative of the population for whom we intend to label the product in the U.S.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U.S. If the FDA does not accept the data from such clinical trials, it would likely result in the need for additional trials, which would be costly and time-consuming and delay or permanently halt our development of our product candidates.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We or the third parties upon whom we depend on may be adversely affected by earthquakes, global pandemics, climate change or other natural disasters and our business continuity and disaster recovery plans may not adequately protect us from a serious disaster, including earthquakes or other natural disasters.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operations are located in our facilities in Lawrenceville, New Jersey. Any unplanned event, such as flood, fire, explosion, earthquake, extreme weather condition, climate change,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Please see the risk factor titled “The outbreak, severity and duration of the novel coronavirus disease, COVID-19, pandemic could adversely impact our business, including our preclinical studies and clinical trials” for information regarding the COVID-19 pandemic.</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disaster recovery and business continuity plan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do not issue, or are deemed invalid following issuance, we may lose valuable intellectual property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closing price of our common stock as reported on NASDAQ had a high price of $78.90 and a low price of $7.05 in the 52-week period ended December 31, 2020, a high price of $42.15 and a low price of $8.28 in the 52-week period ended December 31, 2020, and a high price of $9.00 and a low price of $4.58 from January 1, 2022 through March 30,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Among the factors that may cause the market price of our common stock to fluctuate are the risks described in this “Risk Factors” section and other factors, including:</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studies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and regulations applicable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or our competitors, and the timing of these introductions or announcements;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other strategic transactions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or maintain market acceptance or commercial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serve;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regulatory policies, practices or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financings, including the EGEN acquisition;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To maintain the listing of our common stock on The Nasdaq Capital Market, we are required to meet certain listing requirements, including, among others, a minimum closing bid price of $1.00 per share.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 2021, we received notice from The Nasdaq Stock Market (“Nasdaq”) that the closing bid price for our common stock had been below $1.00 per share for the previous 30 consecutive business days, and that we are therefore not in compliance with the minimum bid price requirement for continued inclusion on The Nasdaq Capital Market under Nasdaq Listing Rule 5550(a)(2) (the “Rule”). Nasdaq’s notice had no immediate effect on the listing or trading of our common stock on The Nasdaq Capital Market. The notice indicated that we would have 180 calendar days, until May 31, 2022, to regain compliance with this requirement. To regain compliance with the $1.00 minimum bid listing requirement, the closing bid price of our common stock must be at least $1.00 per share for a minimum of 10 consecutive business days during the 180-day compliance period. On March 15, 2022, the Company received written notice from the Listing Qualifications Staff of Nasdaq notifying the Company that, for the previous 10 consecutive business days, from March 1, 2022 to March 14, 2022, the closing bid price for the Company’s common stock was $1.00 per share or greater. Accordingly, the written notice stated that the Company has regained compliance with the minimum bid price listing requirement set forth under the Rule. If in the future we are unable to comply with one or more of the Nasdaq listing standards, we could receive a notice of non-compliance and, if we are not able to regain compliance within the requisite time period, Nasdaq could take action to delist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30, 2022, we had 5,770,516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30, 2022, we have the following number of securities convertible into, or allowing the purchase of, our common stock, including 168,519 shares of common stock issuable upon exercise of warrants outstanding, 753,033 options to purchase shares of our common stock and restricted stock awards outstanding, and 202,859 shares of common stock reserved for future issuance under our stock incentive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Changes in tax law could adversely affect our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former President Trump signed into law the “Coronavirus Aid, Relief, and Economic Security Act” or the CARES Act, which included certain changes in tax law intended to stimulate the U.S. economy in light of the COVID-19 coronavirus pandemic, including temporary beneficial changes to the treatment of net operating losses, interest deductibility limitations and payroll tax matters.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the then President of the U.S.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2021, 2020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2018, 2020 and 2021.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 Future changes in tax laws could also impair our corporate tax rate and/or our ability to utilize our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Under the terms of the current lease, which was amended effective May 1, 2017,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Asset Purchase Agreement with EGEN in June 2014, we assumed the existing lease with another landlord for an 11,500 square foot premises located in Huntsville, Alabama. In January 2018, we entered into a new 60-month lease agreement for 9,049 square feet with rent payments of approximately $18,100 per month. On June 9, 2021, the Company and the Huntsville landlord entered into a 22-month lease, as amended on July 2021, for an additional 2,197 square foot premises with rent payments of approximately $5,500 per month.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table of future payments and maturity of our operating lease liabilities as of December 31, 2021:</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9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9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year ending</w:t>
            </w:r>
          </w:p>
        </w:tc>
      </w:tr>
      <w:tr>
        <w:trPr>
          <w:trHeight w:val="245"/>
        </w:trPr>
        <w:tc>
          <w:tcPr>
            <w:tcW w:w="9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9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601,495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238,609</w:t>
            </w:r>
          </w:p>
        </w:tc>
        <w:tc>
          <w:tcPr>
            <w:tcW w:w="140" w:type="dxa"/>
            <w:vAlign w:val="bottom"/>
          </w:tcPr>
          <w:p>
            <w:pPr>
              <w:spacing w:after="0"/>
              <w:rPr>
                <w:sz w:val="18"/>
                <w:szCs w:val="18"/>
                <w:color w:val="auto"/>
              </w:rPr>
            </w:pPr>
          </w:p>
        </w:tc>
      </w:tr>
      <w:tr>
        <w:trPr>
          <w:trHeight w:val="23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r>
      <w:tr>
        <w:trPr>
          <w:trHeight w:val="203"/>
        </w:trPr>
        <w:tc>
          <w:tcPr>
            <w:tcW w:w="9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840,104</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3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(60,485)</w:t>
            </w:r>
          </w:p>
        </w:tc>
      </w:tr>
      <w:tr>
        <w:trPr>
          <w:trHeight w:val="210"/>
        </w:trPr>
        <w:tc>
          <w:tcPr>
            <w:tcW w:w="9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779,619</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9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00" w:type="dxa"/>
            <w:vAlign w:val="bottom"/>
          </w:tcPr>
          <w:p>
            <w:pPr>
              <w:spacing w:after="0"/>
              <w:rPr>
                <w:sz w:val="19"/>
                <w:szCs w:val="19"/>
                <w:color w:val="auto"/>
              </w:rPr>
            </w:pP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 years</w:t>
            </w:r>
          </w:p>
        </w:tc>
      </w:tr>
      <w:tr>
        <w:trPr>
          <w:trHeight w:val="216"/>
        </w:trPr>
        <w:tc>
          <w:tcPr>
            <w:tcW w:w="9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9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2021, operating lease expense was $560,513 and cash paid for operating leases included in operating cash flows was $568,269. For 2020, operating lease expense was $522,380 and cash paid for operating leases included in operating cash flows was $525,809.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existing facilities are suitable and adequate to conduct our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“CLSN”.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2022, there were approximately 54,000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Part III, Item 12 - Security Ownership of Certain Beneficial Owners and Management and Related Stockholder Matter-Equity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Plan Information </w:t>
      </w:r>
      <w:r>
        <w:rPr>
          <w:rFonts w:ascii="Times New Roman" w:cs="Times New Roman" w:eastAsia="Times New Roman" w:hAnsi="Times New Roman"/>
          <w:sz w:val="18"/>
          <w:szCs w:val="18"/>
          <w:color w:val="auto"/>
        </w:rPr>
        <w:t>of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redeemed all of Series A Preferred Stock and Series B Preferred Stock issued in January 2021. See Note 10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redeemed all of Series A Preferred Stock and Series B Preferred Stock issued in January 2021. See Note 10 to the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discussions should be read in conjunction with the Financial Statements and related notes thereto included in this Annual Report. 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the Company’s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Times New Roman" w:cs="Times New Roman" w:eastAsia="Times New Roman" w:hAnsi="Times New Roman"/>
          <w:sz w:val="18"/>
          <w:szCs w:val="18"/>
          <w:b w:val="1"/>
          <w:bCs w:val="1"/>
          <w:color w:val="auto"/>
        </w:rPr>
        <w:t>“Part I, Item 1A - Risk Factors”</w:t>
      </w:r>
      <w:r>
        <w:rPr>
          <w:rFonts w:ascii="Times New Roman" w:cs="Times New Roman" w:eastAsia="Times New Roman" w:hAnsi="Times New Roman"/>
          <w:sz w:val="18"/>
          <w:szCs w:val="18"/>
          <w:color w:val="auto"/>
        </w:rPr>
        <w:t xml:space="preserve"> appearing in this Annual Report and factors described in other cautionary statements, cautionary language and risk factors set forth in other documents that the Company files with the Securities and Exchange Commission. The Company undertakes no obligation to publicly update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 ThermoDox®,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cGMP lots have been produced with reproducible quality.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position to capitalize on this technology platform.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7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GEN-1 by recruiting and maximizing an immune response;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On March 2, 2019, the Company announced final, investigator assessed,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75" w:lineRule="exact"/>
        <w:rPr>
          <w:rFonts w:ascii="Times New Roman" w:cs="Times New Roman" w:eastAsia="Times New Roman" w:hAnsi="Times New Roman"/>
          <w:sz w:val="18"/>
          <w:szCs w:val="18"/>
          <w:color w:val="auto"/>
        </w:rPr>
      </w:pPr>
    </w:p>
    <w:p>
      <w:pPr>
        <w:ind w:left="9620" w:hanging="195"/>
        <w:spacing w:after="0"/>
        <w:tabs>
          <w:tab w:leader="none" w:pos="9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w:t>
      </w:r>
    </w:p>
    <w:p>
      <w:pPr>
        <w:spacing w:after="0" w:line="27"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color w:val="auto"/>
        </w:rPr>
        <w:t>Patients</w:t>
      </w:r>
    </w:p>
    <w:p>
      <w:pPr>
        <w:spacing w:after="0" w:line="9"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color w:val="auto"/>
        </w:rPr>
        <w:t>with R0</w:t>
      </w:r>
    </w:p>
    <w:p>
      <w:pPr>
        <w:spacing w:after="0" w:line="9"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color w:val="auto"/>
        </w:rPr>
        <w:t>Resections</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52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GEN-1 plus NACT</w:t>
            </w:r>
          </w:p>
        </w:tc>
        <w:tc>
          <w:tcPr>
            <w:tcW w:w="2960" w:type="dxa"/>
            <w:vAlign w:val="bottom"/>
            <w:shd w:val="clear" w:color="auto" w:fill="CCEEFF"/>
          </w:tcPr>
          <w:p>
            <w:pPr>
              <w:ind w:left="2260"/>
              <w:spacing w:after="0" w:line="203" w:lineRule="exact"/>
              <w:rPr>
                <w:sz w:val="20"/>
                <w:szCs w:val="20"/>
                <w:color w:val="auto"/>
              </w:rPr>
            </w:pPr>
            <w:r>
              <w:rPr>
                <w:rFonts w:ascii="Times New Roman" w:cs="Times New Roman" w:eastAsia="Times New Roman" w:hAnsi="Times New Roman"/>
                <w:sz w:val="18"/>
                <w:szCs w:val="18"/>
                <w:color w:val="auto"/>
              </w:rPr>
              <w:t>N = 12</w:t>
            </w:r>
          </w:p>
        </w:tc>
        <w:tc>
          <w:tcPr>
            <w:tcW w:w="138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GEN-1 plus NACT</w:t>
            </w:r>
          </w:p>
        </w:tc>
        <w:tc>
          <w:tcPr>
            <w:tcW w:w="2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 = 17</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2022. Because this is an open-label study, the Company intends to provide clinical updates throughout the course of treatment including response rates and surgical resection scores.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GEN-1 had a R0 resection, which indicates a microscopically margin-negative complete resection in which no gross or microscopic tumor remains in the tumor bed.</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 announced that following a pre-planned interim safety review of 81 as treated patients randomized in the OVATION 2 Study, the Data Safety Monitoring Board (DSMB) unanimously recommended that the OVATION 2 Study continue treating patients with the dose of 100</w:t>
      </w:r>
    </w:p>
    <w:p>
      <w:pPr>
        <w:jc w:val="both"/>
        <w:spacing w:after="0" w:line="209" w:lineRule="auto"/>
        <w:rPr>
          <w:sz w:val="20"/>
          <w:szCs w:val="20"/>
          <w:color w:val="auto"/>
        </w:rPr>
      </w:pPr>
      <w:r>
        <w:rPr>
          <w:rFonts w:ascii="Times New Roman" w:cs="Times New Roman" w:eastAsia="Times New Roman" w:hAnsi="Times New Roman"/>
          <w:sz w:val="18"/>
          <w:szCs w:val="18"/>
          <w:color w:val="auto"/>
        </w:rPr>
        <w:t>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GEN-1 during a course of treatment that lasts up to six months. No dose-limiting toxicities were reported.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that over 75% of the projected 110 patients have been enrolled in the OVATION 2 Study. Interim clinical data from the first 39 patients who have undergone interval debulking surgery showed that the GEN-1 treatment arm is showing a 27% improvement in R0 surgical resection rate over the control arm.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Celsion’s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can result in durable antigen exposure and a robust vaccine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Celsion’s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Celsion’s DNA-based approach for a SARS-CoV-2 vaccine. The NHP pilot study follows the generation of encouraging mouse data and will evaluate the Company’s lead vaccine formulations for safety, immunogenicity and protection against SARS-CoV-2. In completed preclinical studies, Celsion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Celsion’s novel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Investigator sponsored THERMODOX</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Treatment of Various Cancers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Celsion’s Approach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24, 2014, we announced that the FDA provided clearance for the OPTIMA Study, which is a pivotal, double-blind, placebo-controlled Phase</w:t>
      </w:r>
    </w:p>
    <w:p>
      <w:pPr>
        <w:spacing w:after="0" w:line="27" w:lineRule="exact"/>
        <w:rPr>
          <w:sz w:val="20"/>
          <w:szCs w:val="20"/>
          <w:color w:val="auto"/>
        </w:rPr>
      </w:pPr>
    </w:p>
    <w:p>
      <w:pPr>
        <w:jc w:val="both"/>
        <w:ind w:right="20" w:firstLine="8"/>
        <w:spacing w:after="0" w:line="221" w:lineRule="auto"/>
        <w:tabs>
          <w:tab w:leader="none" w:pos="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spacing w:after="0" w:line="234" w:lineRule="auto"/>
        <w:rPr>
          <w:sz w:val="20"/>
          <w:szCs w:val="20"/>
          <w:color w:val="auto"/>
        </w:rPr>
      </w:pPr>
      <w:r>
        <w:rPr>
          <w:rFonts w:ascii="Times New Roman" w:cs="Times New Roman" w:eastAsia="Times New Roman" w:hAnsi="Times New Roman"/>
          <w:sz w:val="18"/>
          <w:szCs w:val="18"/>
          <w:color w:val="auto"/>
        </w:rPr>
        <w:t>Post-hoc data analysis from our earlier Phase III HEAT Study suggests that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3"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patients with a single lesion (n=285, 41% of the HEAT Study patients), treatment with a combination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optimized RFA provided an average 54% risk improvement in OS compared to optimized RFA alone. The HR at this analysis is 0.65 (95% CI 0.45 - 0.94) with a p-value of 0.02. Median OS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group has been reached which translates into a two-year survival benefit over the optimized RFA group (projected to be</w:t>
      </w:r>
    </w:p>
    <w:p>
      <w:pPr>
        <w:spacing w:after="0" w:line="186" w:lineRule="auto"/>
        <w:rPr>
          <w:sz w:val="20"/>
          <w:szCs w:val="20"/>
          <w:color w:val="auto"/>
        </w:rPr>
      </w:pPr>
      <w:r>
        <w:rPr>
          <w:rFonts w:ascii="Times New Roman" w:cs="Times New Roman" w:eastAsia="Times New Roman" w:hAnsi="Times New Roman"/>
          <w:sz w:val="18"/>
          <w:szCs w:val="18"/>
          <w:color w:val="auto"/>
        </w:rPr>
        <w:t>greater than 80 months for the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optimized RFA group compared to less than 60 months projection for the optimized RFA only group).</w:t>
      </w:r>
    </w:p>
    <w:p>
      <w:pPr>
        <w:spacing w:after="0"/>
        <w:rPr>
          <w:sz w:val="20"/>
          <w:szCs w:val="20"/>
          <w:color w:val="auto"/>
        </w:rPr>
      </w:pPr>
      <w:r>
        <w:rPr>
          <w:rFonts w:ascii="Times New Roman" w:cs="Times New Roman" w:eastAsia="Times New Roman" w:hAnsi="Times New Roman"/>
          <w:sz w:val="18"/>
          <w:szCs w:val="18"/>
          <w:color w:val="auto"/>
        </w:rPr>
        <w:t>This information should be viewed with caution since it is based on a retrospective analysis of a subgroup.</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has left the final decision of whether or not to stop the OPTIMA Study to Celsion. There were no safety concerns noted during the interim analysis. The Company followed the advice of the DMC and considered its options either to stop the study or continue to follow patients after a thorough review of the data, and an evaluation of our probability of success. Timing for this decision is made less urgent by the fact that the OPTIMA Study has been fully enrolled since August 2018 and that the vast majority of the trial expenses have already been incurred.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28" w:lineRule="auto"/>
        <w:rPr>
          <w:sz w:val="20"/>
          <w:szCs w:val="20"/>
          <w:color w:val="auto"/>
        </w:rPr>
      </w:pPr>
      <w:r>
        <w:rPr>
          <w:rFonts w:ascii="Times New Roman" w:cs="Times New Roman" w:eastAsia="Times New Roman" w:hAnsi="Times New Roman"/>
          <w:sz w:val="18"/>
          <w:szCs w:val="18"/>
          <w:color w:val="auto"/>
        </w:rPr>
        <w:t>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w:t>
      </w:r>
    </w:p>
    <w:p>
      <w:pPr>
        <w:spacing w:after="0" w:line="77" w:lineRule="exact"/>
        <w:rPr>
          <w:sz w:val="20"/>
          <w:szCs w:val="20"/>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parallel, the Company submitted all OPTIMA Study clinical trial data to the National Institutes of Health (NIH) with the expectation of receiving a report on the following: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3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Times New Roman" w:cs="Times New Roman" w:eastAsia="Times New Roman" w:hAnsi="Times New Roman"/>
          <w:sz w:val="18"/>
          <w:szCs w:val="18"/>
          <w:i w:val="1"/>
          <w:iCs w:val="1"/>
          <w:color w:val="auto"/>
        </w:rPr>
        <w:t>Journal of Vascular and Interventional Radiology</w:t>
      </w:r>
      <w:r>
        <w:rPr>
          <w:rFonts w:ascii="Times New Roman" w:cs="Times New Roman" w:eastAsia="Times New Roman" w:hAnsi="Times New Roman"/>
          <w:sz w:val="18"/>
          <w:szCs w:val="18"/>
          <w:color w:val="auto"/>
        </w:rPr>
        <w:t>, in which the key finding was that increased RFA heating time per tumor volume significantly improved OS in patients with single lesion HCC who were treated with RFA plus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compared with patients treated with RFA alone.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site-by-site evaluation for RFA heating time-based anomalies that may have contributed to the treatment arm performance.</w:t>
      </w:r>
    </w:p>
    <w:p>
      <w:pPr>
        <w:spacing w:after="0" w:line="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image-based evaluation comparing results from the OPTIMA Study to the data from the HEAT Study that led to the RFA heating time hypothesis.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 continues working closely and supporting investigations by others throughout the world in breast cancer, pancreatic cancer and in solid tumors in children. Following inquiries from the NIH, we renewed our Cooperative Research and Development Agreement (CRADA) with the Institute at a nominal</w:t>
      </w:r>
    </w:p>
    <w:p>
      <w:pPr>
        <w:jc w:val="both"/>
        <w:spacing w:after="0" w:line="221" w:lineRule="auto"/>
        <w:rPr>
          <w:sz w:val="20"/>
          <w:szCs w:val="20"/>
          <w:color w:val="auto"/>
        </w:rPr>
      </w:pPr>
      <w:r>
        <w:rPr>
          <w:rFonts w:ascii="Times New Roman" w:cs="Times New Roman" w:eastAsia="Times New Roman" w:hAnsi="Times New Roman"/>
          <w:sz w:val="18"/>
          <w:szCs w:val="18"/>
          <w:color w:val="auto"/>
        </w:rPr>
        <w:t>cost, 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summaries of several investigator-sponsored studies using ThermoDox®:</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University commenced enrolling patients in a Phase I pancreatic cancer study with ThermoDox® in combination with High Intensity Focused Ultrasound (HIFU) in July of 2021. The primary objective of this trial, the PanDox Study: Targeted Doxorubicin in Pancreatic Tumors, is to quantify the enhancement in intratumoral doxorubicin concentration when delivered with ThermoDox® and HIFU, versus doxorubicin monotherapy. This study is being undertaken pursuant to promising data in a mouse model of pancreatic cancer, which was published in the International Journal of Hyperthermia in 2018. That preclinical study showed a 23x increase in intratumoral doxorubicin concentration with ThermoDox® + HIFU, compared with a 2x increase in intratumoral doxorubicin concentration with free doxorubicin plus HIFU.</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Utrecht University in the Netherlands continues to enroll patients in a Phase I breast cancer study to determine the safety, tolerability and feasibility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clinical product for the trial.</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December 31, 2021, the Company has incurred approximately $333 million of cumulative net losses and had approximately $56.9 million in cash and cash equivalents, short-term investments, interest receivable, net proceeds on the sale of net operating losses and restricted cash.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200 countries, including the U.S. Governments and businesses around the world took unprecedented actions to mitigate the spread of COVID-19, including, but not limited to, shelter-in-place orders, quarantines, significant restrictions on travel, as well as restrictions that prohibited many employees from going to work. Uncertainty with respect to the economic impacts of the pandemic introduced significant volatility in the financial markets. The Company did not observe significant impacts on its business or results of operations during 2021 or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and the Russian invasion of Ukraine. These disruptions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(“New Jersey NOLs”) as part of the Technology Business Tax Certificate Program (the “NOL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NOL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$3.4 million in New Jersey NOLs under this maximum lifetime benefit.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NOL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NOL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$3.4 million in New Jersey NOLs under this maximum lifetime benefit.</w:t>
      </w:r>
    </w:p>
    <w:p>
      <w:pPr>
        <w:spacing w:after="0" w:line="1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more fully discussed in Note 10 to the Financial Statements, during 2021, the Company raised approximately $6.9 million in gross proceeds from the use of its JonesTrading Capital on Demand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financing facility, $35 million from a registered direct financing completed in January 2021, $15 million from a registered direct financing completed on April 5, 2021, and $1.5 million from warrant exercises. With $56.9 million in cash and cash equivalents, short-term investments, interest receivable, net proceeds on the sale of New Jersey NOLs and restricted cash, the Company believes it has sufficient capital resources to fund its operations through the end of 2024.</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 Credit Agreement with Horizon Technology Finance Corporation (“Horizon”) that provided $10 million in capital (the “Horizon Credit Agreement”) in June 2018.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As more fully discussed in Note 8 to the Financial Statements, in June 2021, the Company entered into a $10 million loan facility with Silicon Valley Bank. The Company immediately used $6 million from this facility to retire all outstanding indebtedness with Horizon Technology Finance Corporation. The remaining $4 million under the SVB Loan Facility will be available to be drawn down up to 12 months after closing.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Company filed with the SEC a $75 million shelf registration statement on Form S-3 (the “2018 Shelf Registration Statement”) that allowed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2020 and 2021 we issued a total of 4.2 million shares of common stock as discussed below for an aggregate $83.2 million in gross proceeds.</w:t>
      </w:r>
    </w:p>
    <w:p>
      <w:pPr>
        <w:spacing w:after="0" w:line="225" w:lineRule="exact"/>
        <w:rPr>
          <w:sz w:val="20"/>
          <w:szCs w:val="20"/>
          <w:color w:val="auto"/>
        </w:rPr>
      </w:pPr>
    </w:p>
    <w:p>
      <w:pPr>
        <w:jc w:val="both"/>
        <w:ind w:left="660" w:hanging="328"/>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2020, the Company sold and issued an aggregate of 0.3 million shares under the Capital on Demand Agreement, receiving approximately $6.2 million in gross proceeds. During 2021, the Company sold 0.5 million shares under the Capital on Demand Agreement, receiving approximately $6.9 million in gross proceeds under the Capital on Demand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304,761 shares (the “Shares”) of our common stock at an offering price of $15.75 per Share for gross proceeds of approximately $4.8 million before the deduction of the Placement Agent fees and offering expenses. The February 2020 Purchase Agreement contained customary representations, warranties and agreements by the Company and customary conditions to closing. In a concurrent private placement, the Company issued to the investors that participated in the February 2020 Offering, for no additional consideration, warrants, to purchase up to 198,095 shares of Common Stock (the “Original Warrants”). The Original Warrants were initially exercisable six months following their date of issue and were set to expire on the five-year anniversary of such initial exercise date. The Original Warrants had an exercise price of $17.25 per share subject to adjustment as provided therein. On March 12, 2020, the Company entered into private exchange agreements (the “Exchange Agreements”) with holders of the Original Warrants. Pursuant to the Exchange Agreements, in return for a higher exercise price of $18.60 per share of Common Stock, the Company issued new warrants to the investors to purchase up to 213,333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the Company has issued 81,111 shares pursuant to investors exercising Exchange Warrants, receiving approximately $1.5 million.</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2020, the Company entered into an underwriting agreement (the “Underwriting Agreement”) with Oppenheimer &amp; Co. Inc. (the “Underwriter”), relating to the issuance and sale (the “Underwritten Offering”) of 177,777 shares of the Company’s common stock. Pursuant to the terms of the Underwriting Agreement, the Underwriter agreed to purchase the shares at a price of $52.3125 per share. The Underwriter offered the shares at a public offering price of $56.25 per share, reflecting an underwriting discount equal to $3.9375, or 7.0% of the public offering price. The net proceeds to the Company from the Underwritten Offering, after deducting the underwriting discount and estimated offering expenses payable by the Company, were approximately $9.1 million.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During 2020, the Company sold and issued an aggregate of 218,854 shares, including 29,188 commitment shares provided to Lincoln Park, under the LPC Purchase Agreement, receiving approximately $2.2 million in gross proceeds. On January 21, 2021, the Company terminated the LPC Purchase Agreement. The Company did not sell any shares under the LPC Purchase Agreement in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ind w:left="328" w:hanging="328"/>
        <w:spacing w:after="0" w:line="253"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 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769,230 shares of the Company’s common stock, at an offering price of $19.50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3"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March 2021 Offering, the Company entered into a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Company, entered into the 2019 Aspire Purchase Agreement with Aspire Capital. Pursuant to the 2019 Aspire Purchase Agreement, Aspire Capital was committed to purchase up to an aggregate of $10.0 million of shares of the Company’s common stock over the 24-month term of the 2019 Aspire Purchase Agreement. On March 5, 2020, the Company delivered notice to Aspire Capital terminating the 2019 Aspire Purchase Agreement effective as of March 6, 2020. During the first quarter of 2020, the Company sold 66,666 million shares of common stock under the 2019 Aspire Purchase Agreement and received $1.6 million in gross proceeds.</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88"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(the “Charter”), to effect a reverse stock split of the outstanding shares of common stock (“Common Stock”) by a ratio to be determined by the Board of Directors of the Company (the “Reverse Stock Split”), ranging from 7-to-1 to, 10-to-1, 12-to-1 or 15-to-1. The investors have agreed in the Purchase Agreement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91"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Preferred Stock will be entitled to dividends, on an as-if converted basis, equal to dividends actually paid, if any, on shares of Common Stock. The Preferred Stock is convertible into shares of Common Stock at a rate of $13.95 per share for the Series A Preferred Stock and $15.00 per share for the Series B Preferred Stock. The conversion price can be adjusted pursuant to the Certificate of Designation. The Preferred Stock can be converted at the option of the holder at any time after the Company has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can cause the holder of the Preferred Stock to convert their shares of Preferred Stock, subject to such beneficial ownership limitations.</w:t>
      </w:r>
    </w:p>
    <w:p>
      <w:pPr>
        <w:spacing w:after="0" w:line="191"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the Preferred Stock has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w:t>
      </w:r>
    </w:p>
    <w:p>
      <w:pPr>
        <w:spacing w:after="0" w:line="183"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as placement agent pursuant to which the Company agreed to pay AGP an aggregate cash fee equal to $1,000,000 and reimburse AGP for certain of their expenses in an amount not to exceed $110,000.</w:t>
      </w:r>
    </w:p>
    <w:p>
      <w:pPr>
        <w:spacing w:after="0" w:line="175"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outstanding Series B Preferred Stock. As a result, all shares of the Preferred Stock have been retired and are no longer outstanding and Celsion’s only class of outstanding stock is its common stock. Each share of common stock entitles the holder to one vote.</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1" w:right="339" w:bottom="0" w:gutter="0" w:footer="0" w:header="0"/>
        </w:sectPr>
      </w:pPr>
    </w:p>
    <w:bookmarkStart w:id="68" w:name="page69"/>
    <w:bookmarkEnd w:id="68"/>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b w:val="1"/>
          <w:bCs w:val="1"/>
          <w:color w:val="auto"/>
        </w:rPr>
        <w:t>Note 2 to our Financial Statements</w:t>
      </w:r>
      <w:r>
        <w:rPr>
          <w:rFonts w:ascii="Times New Roman" w:cs="Times New Roman" w:eastAsia="Times New Roman" w:hAnsi="Times New Roman"/>
          <w:sz w:val="18"/>
          <w:szCs w:val="18"/>
          <w:color w:val="auto"/>
        </w:rPr>
        <w:t xml:space="preserve">. Also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including, but not limited to</w:t>
      </w:r>
      <w:r>
        <w:rPr>
          <w:rFonts w:ascii="Times New Roman" w:cs="Times New Roman" w:eastAsia="Times New Roman" w:hAnsi="Times New Roman"/>
          <w:sz w:val="18"/>
          <w:szCs w:val="18"/>
          <w:i w:val="1"/>
          <w:iCs w:val="1"/>
          <w:color w:val="auto"/>
        </w:rPr>
        <w:t>,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Our financial statements, which appear at </w:t>
      </w:r>
      <w:r>
        <w:rPr>
          <w:rFonts w:ascii="Times New Roman" w:cs="Times New Roman" w:eastAsia="Times New Roman" w:hAnsi="Times New Roman"/>
          <w:sz w:val="18"/>
          <w:szCs w:val="18"/>
          <w:b w:val="1"/>
          <w:bCs w:val="1"/>
          <w:color w:val="auto"/>
        </w:rPr>
        <w:t>Part II, Item 8. Financial Statements and Supplementary Data</w:t>
      </w:r>
      <w:r>
        <w:rPr>
          <w:rFonts w:ascii="Times New Roman" w:cs="Times New Roman" w:eastAsia="Times New Roman" w:hAnsi="Times New Roman"/>
          <w:sz w:val="18"/>
          <w:szCs w:val="18"/>
          <w:color w:val="auto"/>
        </w:rPr>
        <w:t xml:space="preserve"> of this Annual Report have been prepared in accordance with accounting principles generally accepted in the U.S., which require that we make certain assumptions and estimates and, in connection therewith, adopt certain accounting policies. Our significant accounting policies are set forth in </w:t>
      </w:r>
      <w:r>
        <w:rPr>
          <w:rFonts w:ascii="Times New Roman" w:cs="Times New Roman" w:eastAsia="Times New Roman" w:hAnsi="Times New Roman"/>
          <w:sz w:val="18"/>
          <w:szCs w:val="18"/>
          <w:b w:val="1"/>
          <w:bCs w:val="1"/>
          <w:color w:val="auto"/>
        </w:rPr>
        <w:t>Note 1 to our Financial Statements</w:t>
      </w:r>
      <w:r>
        <w:rPr>
          <w:rFonts w:ascii="Times New Roman" w:cs="Times New Roman" w:eastAsia="Times New Roman" w:hAnsi="Times New Roman"/>
          <w:sz w:val="18"/>
          <w:szCs w:val="18"/>
          <w:color w:val="auto"/>
        </w:rPr>
        <w:t>. Of those policies, we believe that the policies discussed below may involve a higher degree of judgment and may be more critical to an accurate reflection of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During 2014, the Company acquired certain assets of EGEN, Inc. As more fully described in </w:t>
      </w:r>
      <w:r>
        <w:rPr>
          <w:rFonts w:ascii="Times New Roman" w:cs="Times New Roman" w:eastAsia="Times New Roman" w:hAnsi="Times New Roman"/>
          <w:sz w:val="18"/>
          <w:szCs w:val="18"/>
          <w:b w:val="1"/>
          <w:bCs w:val="1"/>
          <w:color w:val="auto"/>
        </w:rPr>
        <w:t>Note 5 to our Financial Statements</w:t>
      </w:r>
      <w:r>
        <w:rPr>
          <w:rFonts w:ascii="Times New Roman" w:cs="Times New Roman" w:eastAsia="Times New Roman" w:hAnsi="Times New Roman"/>
          <w:sz w:val="18"/>
          <w:szCs w:val="18"/>
          <w:color w:val="auto"/>
        </w:rPr>
        <w:t>,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85" w:lineRule="exact"/>
        <w:rPr>
          <w:sz w:val="20"/>
          <w:szCs w:val="20"/>
          <w:color w:val="auto"/>
        </w:rPr>
      </w:pPr>
    </w:p>
    <w:p>
      <w:pPr>
        <w:ind w:left="660" w:hanging="328"/>
        <w:spacing w:after="0" w:line="28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amends certain narrow aspects of the guidance issued in ASU No. 2016-02; and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allows for a transition approach to initially apply ASU No.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adopted Accounting Standards Codification (“ASC”) Topic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million,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w:t>
      </w:r>
      <w:r>
        <w:rPr>
          <w:rFonts w:ascii="Times New Roman" w:cs="Times New Roman" w:eastAsia="Times New Roman" w:hAnsi="Times New Roman"/>
          <w:sz w:val="18"/>
          <w:szCs w:val="18"/>
          <w:b w:val="1"/>
          <w:bCs w:val="1"/>
          <w:color w:val="auto"/>
        </w:rPr>
        <w:t>Note 15 to our Financial Statements</w:t>
      </w:r>
      <w:r>
        <w:rPr>
          <w:rFonts w:ascii="Times New Roman" w:cs="Times New Roman" w:eastAsia="Times New Roman" w:hAnsi="Times New Roman"/>
          <w:sz w:val="18"/>
          <w:szCs w:val="18"/>
          <w:color w:val="auto"/>
        </w:rPr>
        <w:t xml:space="preserve"> for further discussions regarding the adoption of ASC Topic 842.</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which adds and modifies certain disclosure requirements for fair value measurements. Under the new guidance, entities will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The adoption of this standard did not have an impact on the Company’s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The standard simplifies the accounting for income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The adoption of this standard did not have a material impact on the Company’s Financial Statements.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Ended December 31, 2021 and Fiscal Year Ended December 31, 2020.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our net loss was $20.8 million compared to a net loss of $21.5 million for the year ended December 31, 2020. The Company recognized $1.4 million and $1.9 million in tax benefits from the sale of its New Jersey net operating losses under the NOL Program in each of the fourth quarters of 2021 and 2020, respectively. With $56.9 million in cash and cash equivalents, short-term investments, interest receivable, net proceeds on the sale of net operating losses and restricted cash, the Company believes it has sufficient capital resources to fund its operations through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Development and Licensing Revenue</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The $5.0 million received as a non-refundable payment from Hisun in the first quarter 2013 has been recorded to deferred revenue and will be amortized over the ten-year term of the agreement; therefore, we recognized revenue of $500,000 in each of the years 2021 and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decreased $0.7 million from $11.3 million in 2020 to $10.6 million in 2021. Costs associated the OVATION 2 Study were consistent at $1.3 million in 2021 and 2020. Costs associated with the OPTIMA Study decreased to $1.0 million in 2021 compared to $2.2 million in 2020. In July 2020, the Company unblinded the OPTIMA Study at the recommendation of the DMC to halt the study due to futility. Other clinical and regulatory costs were $2.6 million in 2021 compared to $2.5 million in 2020. R&amp;D costs associated with the development of GEN-1 to support the OVATION 2 Study as well as development of the PLACCINE DNA vaccine technology platform increased to $4.3 million in 2021 compared to $3.1 million in the same period of 2020. CMC costs decreased to $1.5 million in 2021 compared to $2.1 million in the same period of 2020 due to the discontinuation of the ThermoDox® clinical development program in primary liver cancer.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$10.9 million in 2021 compared to $7.6 million in 2020. This increase is primarily attributable to higher non-cash stock compensation expense of approximately $1.3 million, an increase in professional fees of $1.5 million (largely legal fees to defend various suits filed after the announcement in July 2020 of the OPTIMA Phase III clinical results) and an increase in premiums for directors’ and officers’ insurance of $0.3 million in 2021 when compared to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 milestone liability is fair valued at the end of each quarter and any change in the value is recognized in our Financial Statements.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On March 28, 2019, the Company and EGWU, Inc, entered into an amendment to the Asset Purchase Agreement discussed in </w:t>
      </w:r>
      <w:r>
        <w:rPr>
          <w:rFonts w:ascii="Times New Roman" w:cs="Times New Roman" w:eastAsia="Times New Roman" w:hAnsi="Times New Roman"/>
          <w:sz w:val="18"/>
          <w:szCs w:val="18"/>
          <w:b w:val="1"/>
          <w:bCs w:val="1"/>
          <w:color w:val="auto"/>
        </w:rPr>
        <w:t>Note 12 to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Pursuant to the Amended Asset Purchase Agreement, payment of the earnout milestone liability related to the Ovarian Cancer Indication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 million has been modified. The Company has the option to make the payment as follows:</w:t>
      </w:r>
    </w:p>
    <w:p>
      <w:pPr>
        <w:spacing w:after="0" w:line="17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2021, the Company fair valued the earn-out milestone liability at $5.4 million and recognized a non-cash gain of $1.6 million during 2021 as a result of the change in the fair value of the earn-out milestone liability of $7.0 million at December 31, 2020. In assessing the fair value of the earnout milestone liability at December 31, 2021, the Company considered each of the settlement provisions per the Amended Asset Purchase Agreement and equally weighted the probability of a cash or cash and common stock payment.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2020, the Company fair valued the earn-out milestone liability at $7.0 million and recognized a non-cash charge of $1.3 million during 2020 as a result of the change in the fair value of earn-out milestone liability of $5.7 million at December 31, 2019. In assessing the fair value of the earnout milestone liability at December 31, 2020, the Company considered each of the settlement provisions per the Amended Asset Purchase Agreement and equally weighted the probability of a cash or cash and common stock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Goodwill and IPR&amp;D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IPR&amp;D and Goodwill are reviewed for impairment at least annually as of our third quarter ended September 30 by assessing if any events or changes in circumstances have occurred which indicate that the carrying value of the assets might not be recoverable.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2021, the Company’s fair value exceeded its carrying value and as such no impairment was recognized for Goodwill through the third quarter of 2021. Due to the continuing deterioration of public capital markets in the biotech industry in 2021 and 2022 and its impact on market capitalization rates in this sector, Goodwill was reviewed for impairment as of December 31, 2021. Based on this assessment, Company concluded that Goodwill was impaired during the fourth quarter of 2021. As of December 31, 2021, the Company wrote off the $2.0 million carrying value of this asset, thereby recognizing a non-cash charge of $2.0 million in the fourth quarter of 2021. During 2020, the Company concluded Goodwill was not impaired during that period.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2021, the Company assessed whether there were indicators of impairment for the Company’s IPR&amp;D and determined that no IPR&amp;D asset was impaired during that period. Due to the continuing deterioration of public capital markets in the biotech industry in 2021 and 2022 and its impact on market capitalization rates in this sector, IPR&amp;D was reviewed for impairment. Having conducted a quantitative analysis of the company’s IPR&amp;D assets, the Company concluded no IPR&amp;D asset was impaired during that period. As more fully discussed in Note 5 to the Financial Statements, due to the continuing slowdown in investment by public capital markets in the biotech industry and its impact on market capitalization rates in this sector, the Company conducted a valuation analysis of its IPR&amp;D for the ovarian cancer indication as of December 31, 2021. Based on this valuation analysis, the Company has concluded that it is not more likely than not that the asset is impaired as of December 31, 2021. As such, no impairment charges for IPR&amp;D related to the ovarian cancer indication were recorded during 2021 or 2020.</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was insignificant in both 2021 and 2020. In connection with the Horizon Credit Agreement, the Company incurred $0.6 million and $1.3 million in interest expense in 2021 and 2020,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discussed in Note 8 to the Financial Statements, in June 2021, the Company entered into the SVB Loan Facility with SVB. The Company immediately used $6 million from this facility to retire all outstanding indebtedness with Horizon. The remaining $4 million will be available to be drawn down up to 12 months after closing. In connection with these loan facilities, the Company incurred $0.6 million in interest expense in 2021 compared to $1.3 million during 2020. In connection with the termination of the Horizon Credit Agreement in the second quarter of 2021, the Company paid early termination and end of term charges to Horizon and recognized $0.2 million as a loss on debt extinguishment.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Annually, the State of New Jersey enables approved technology and biotechnology businesses with New Jersey net operating tax losses the opportunity to sell these losses through the NOL Program, thereby providing cash to companies to help fund their research and development and business operations. During 2021, the New Jersey State Legislature increased the maximum lifetime benefit per company from $15 million to $20 million, which will allow the Company to participate in this innovative funding program in future years. After the cumulative net operating loss sales through 2021, the Company has approximately $3.4 million remaining under the NOL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agreement to sell the approved portion of the New Jersey NOLs applied for in 2021 for $1.4 million. At December 31, 2021, the Company evaluated the valuation reserve for its tax net operating losses associated with its New Jersey NOLs and reduced the valuation reserve and recognized $1.4 million as a deferred tax asset and an income tax benefit. The Company completed the sale of these net operating losses in February of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agreement to sell the approved portion of the New Jersey NOLs applied for in 2020 for approximately $1.9 million. At December 31, 2020, the Company evaluated the valuation reserve for its tax net operating losses associated with its New Jersey NOLs and reduced the valuation reserve and recognized approximately $1.9 million as a deferred income tax asset and an income tax benefit. The Company completed the sale of these net operating losses in May of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27" w:lineRule="auto"/>
        <w:rPr>
          <w:sz w:val="20"/>
          <w:szCs w:val="20"/>
          <w:color w:val="auto"/>
        </w:rPr>
      </w:pPr>
      <w:r>
        <w:rPr>
          <w:rFonts w:ascii="Times New Roman" w:cs="Times New Roman" w:eastAsia="Times New Roman" w:hAnsi="Times New Roman"/>
          <w:sz w:val="18"/>
          <w:szCs w:val="18"/>
          <w:color w:val="auto"/>
        </w:rPr>
        <w:t>development agreement with Hisun. The process of developing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$333 million at December 31, 2021.</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2021 we had total current assets of $51.9 million and current liabilities of $6.8 million, resulting in net working capital of $45.1 million. At December 31, 2021, we had cash and cash equivalents, short-term investments, interest receivable on short-term investments, net proceeds on the sale of net operating losses and money market investments ($6.0 million of which is restricted cash included in other assets) of $56.9 million. At December 31, 2020 we had total current assets of $18.8 million (including cash and cash equivalents of $17.2 million) and current liabilities of $6.8 million, resulting in net working capital of $12.0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2021 was $16.2 million. Our net loss of $20.7 million for 2021 included the following non-cash transactions: (i) $3.8 million in non-cash stock-based compensation expense, (ii) $2.0 million non-cash charge from the write-off of Goodwill, (iii) $0.2 million in non-cash interest expense and (iv) $1.6 non-cash benefit based on the change in the earn-out milestone liability. The $16.2 million net cash used in operating activities was funded from cash and cash equivalents, short term investments, and cash proceeds received in equity financings during 2021. At December 31, 2021, we had cash and cash equivalents, short-term investments, interest receivable on short term investments, receivable from the sale of New Jersey operating losses and money market investments ($6.0 million of which is restricted cash included in other assets) of $56.9 million. The Company believes it has sufficient capital resources to fund its operations through 2024. See Financing Overview as well as Notes 8, 9 and 10 to our Financial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2021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2021, our investments consisted of investments in government backed notes and obligations or in money market accounts and checking funds with variable market rates of interest. We believe our credit risk is immaterial.</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supplementary data and report of independent registered public accounting firm are filed as part of this report on pages F-1 through F-34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2021, which is the end of the period covered by this Annual Report, our disclosure controls and procedures are effective.</w:t>
      </w:r>
    </w:p>
    <w:p>
      <w:pPr>
        <w:spacing w:after="0" w:line="183"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2021. In making this assessment, management used the criteria set forth by the Committee of Sponsoring Organizations of the Treadway Commission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its evaluation, management has concluded that the Company’s internal control over financial reporting is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our company’s registered public accounting firm regarding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3"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in the fiscal year ended December 31, 2021,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or our Board, currently consists of seven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bylaws, our Board may fill any vacancy on the Board by appointment.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Company’s current directors, as well as our non-director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1"/>
                <w:szCs w:val="21"/>
                <w:color w:val="auto"/>
              </w:rPr>
            </w:pPr>
          </w:p>
        </w:tc>
        <w:tc>
          <w:tcPr>
            <w:tcW w:w="56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w:t>
            </w:r>
          </w:p>
        </w:tc>
      </w:tr>
      <w:tr>
        <w:trPr>
          <w:trHeight w:val="41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 Ph.D.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Augustine Chow, Ph.D.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Hooper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 Ph.D. MBA</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c>
          <w:tcPr>
            <w:tcW w:w="100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Borys, M.D.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c>
          <w:tcPr>
            <w:tcW w:w="1000" w:type="dxa"/>
            <w:vAlign w:val="bottom"/>
          </w:tcPr>
          <w:p>
            <w:pPr>
              <w:spacing w:after="0"/>
              <w:rPr>
                <w:sz w:val="18"/>
                <w:szCs w:val="18"/>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0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 was appointed President and Chief Executive Officer of the Company on January 3, 2007 and was elected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on January 22, 2007. In October of 2014, Mr. Tardugno was appointed by our Board of Directors as our Chairman.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and from 1977 to 1995, he held increasingly senior executive positions including Senior Vice President of Worldwide Technology Development with Bausch &amp; Lomb and Abbott Laboratories. Mr. Tardugno holds a B.S. degree from St. Bonaventure University and completed the Harvard Business School Program for Management Development.</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Donald P. Braun. </w:t>
      </w:r>
      <w:r>
        <w:rPr>
          <w:rFonts w:ascii="Times New Roman" w:cs="Times New Roman" w:eastAsia="Times New Roman" w:hAnsi="Times New Roman"/>
          <w:sz w:val="18"/>
          <w:szCs w:val="18"/>
          <w:color w:val="auto"/>
        </w:rPr>
        <w:t>Dr. Braun was appointed to our Board of Directors in December 2015. Dr. Braun has over 35 years of research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cancer immunology, cancer immunotherapy, and inflammatory diseases. He is the author of more than 120 published peer-reviewed manuscripts, 25 reviews and book chapters, and co-editor of a book on the role of prostaglandins and other COX 2 metabolites in cancer patient immunity and immunotherapy. He served from 2006 to 2014 as Vice President Clinical Research and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Dr. Braun has been appointed to and served on more than a dozen federal government and public advisory committees on oncology and immunology.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Pharmaceuticals, Sterling Winthrop, Abbott Laboratories, Boehringer Mannheim, Serono Corporation, Biomira Inc, Centocor and Merck KGA.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Augustine Chow. </w:t>
      </w:r>
      <w:r>
        <w:rPr>
          <w:rFonts w:ascii="Times New Roman" w:cs="Times New Roman" w:eastAsia="Times New Roman" w:hAnsi="Times New Roman"/>
          <w:sz w:val="18"/>
          <w:szCs w:val="18"/>
          <w:color w:val="auto"/>
        </w:rPr>
        <w:t>Dr. Chow was appointed to our Board of Directors in March 2007. Dr. Chow is the chairman of Harmony Asset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in Hong Kong, serving in such capacity since 2015. He also serves as a director of Medifocus Inc. (TSX Venture: MFS). From 1996 to 2015, Dr. Chow was the Chief Executive Officer of Harmony Asset Limited, a Hong Kong listed investment company, and from 2008 to 2016 he served as Executive Director of Kaisun Energy Group Limited. From 1990 to 1998, Dr. Chow was the Chief Executive Officer of Allied Group of Companies based in Hong Kong which include several publicly listed companies spanning across various industries. Prior to this, Dr. Chow held a senior position with Brunswick Corporation and Outboard Marine Corporation and was responsible for all business activities in Southeast Asia and China. Dr. Chow has extensive experience in managing publicly listed companies that are involved in manufacturing, marketing and financial services and specializes in mergers and acquisitions. Dr. Chow’s qualifications include a number of Bachelors, Masters and Doctoral degrees. Among them include a MSc from London Business School and a Ph.D. in Biology from City University of Hong Kong.</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Frederick J. Fritz. </w:t>
      </w:r>
      <w:r>
        <w:rPr>
          <w:rFonts w:ascii="Times New Roman" w:cs="Times New Roman" w:eastAsia="Times New Roman" w:hAnsi="Times New Roman"/>
          <w:sz w:val="18"/>
          <w:szCs w:val="18"/>
          <w:color w:val="auto"/>
        </w:rPr>
        <w:t>Mr. Fritz was appointed to our Board of Directors in July 2011. Mr. Fritz has served as CEO and Founder of NeuroDx,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Christine A. Pellizzari. </w:t>
      </w:r>
      <w:r>
        <w:rPr>
          <w:rFonts w:ascii="Times New Roman" w:cs="Times New Roman" w:eastAsia="Times New Roman" w:hAnsi="Times New Roman"/>
          <w:sz w:val="18"/>
          <w:szCs w:val="18"/>
          <w:color w:val="auto"/>
        </w:rPr>
        <w:t>Ms. Pellizzari was appointed to our Board of Directors in June 2021. Ms. Pellizzari joined Insmed in 2013 as General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Secretary and was named Chief Legal Officer in 2018. She has global responsibility for legal and government affairs including corporate governance, regulatory compliance, contracting, alliance management, clinical trial oversight, labor and employment, litigation management and intellectual property strategy and portfolio management.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publicly traded company that provided sales effectiveness, promotional and compliance solutions to the pharmaceutical industry. Ms. Pellizzari received a J.D. from the University of Colorado School of Law and a B.A. from the University of Massachusetts (Amherst). She is a member of Executive Women in Bio, Women Corporate Directors, National Association of Corporate Directors, Association of Corporate Counsel, Society for Corporate Governance and National Association of Stock Plan Professionals.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Robert W. Hooper. </w:t>
      </w:r>
      <w:r>
        <w:rPr>
          <w:rFonts w:ascii="Times New Roman" w:cs="Times New Roman" w:eastAsia="Times New Roman" w:hAnsi="Times New Roman"/>
          <w:sz w:val="18"/>
          <w:szCs w:val="18"/>
          <w:color w:val="auto"/>
        </w:rPr>
        <w:t>Mr. Hooper has served as a member of our Board of Directors since July 2010. He is currently President of Crows Nest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privately held company, which provides advisory and consulting services to the healthcare industry. From 1997 to 2001, Mr. Hooper served as President North America for IMS Health Incorporated, a healthcare information and market research company listed on The New York Stock Exchange. From 1993 to 1997, he served as President of Abbott Laboratories Canada. From 1989 to 1993, he served as Managing Director, Australia/Asia for Abbott Laboratories. Prior to that, he held increasingly senior positions at E.R. Squibb and Sterling Winthrop Labs. Mr. Hooper holds a bachelor’s degree in biology from Wilkes University.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Stacy R. Lindborg</w:t>
      </w:r>
      <w:r>
        <w:rPr>
          <w:rFonts w:ascii="Times New Roman" w:cs="Times New Roman" w:eastAsia="Times New Roman" w:hAnsi="Times New Roman"/>
          <w:sz w:val="18"/>
          <w:szCs w:val="18"/>
          <w:color w:val="auto"/>
        </w:rPr>
        <w:t>. Dr. Lindborg was appointed to our Board of Directors in June 2021. Dr. Lindborg brings to Celsion more than 25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industry experience with a particular focus on R&amp;D,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 in man studies into the clinic through approval and launch. Dr. Lindborg’s holds the position of Executive Vice President and Chief Development Officer at Brainstorm Cell Therapeutics, which she joined in 2020 to manage the clinical portfolio. From 2012 to 2020 she held positions of increasing responsibility at Biogen, where she worked in biostatistics and biometrics, and served as Vice President for Global Analytics and Data Sciences. Dr. Lindborg joined Eli Lilly and Company in 1996 moving through the organization to serve from 2010 to 2012 as Head of R&amp;D Strategy with responsibility for characterizing the productivity of the portfolio and driving key R&amp;D strategy projects including the annual R&amp;D Long-Range Plan. Dr. Lindborg is a graduate of Baylor University where she received a Ph.D. and M.A. in statistics and a B.A. in psychology with a minor in mathematics. She has authored more than 50 abstracts, 200 presentations and 45 manuscripts that have been published in peer-reviewed journals. She serves on several industry advisory boards related to statistics and biotechnology.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Tardugno’s biographical information appears above under the heading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Khursheed Anwer, Ph.D., M.B.A. </w:t>
      </w:r>
      <w:r>
        <w:rPr>
          <w:rFonts w:ascii="Times New Roman" w:cs="Times New Roman" w:eastAsia="Times New Roman" w:hAnsi="Times New Roman"/>
          <w:sz w:val="18"/>
          <w:szCs w:val="18"/>
          <w:color w:val="auto"/>
        </w:rPr>
        <w:t>Dr. Anwer joined us in June 2014 as Executive Vice President and Chief Scientific Officer, in connection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all the assets of EGWU, Inc. (formerly known as Egen, Inc.), an Alabama corporation (or “EGEN”). Before joining Celsion, Dr. Anwer served as EGEN’s President and Chief Scientific Officer, a position he held since 2009. He joined EGEN in July 2002 as Vice President of Research and Development and directed EGEN’s clinical and research and development functions. Before joining EGEN, Dr. Anwer was Director of Pre-Clinical Development at Valentis, Inc. from July 2000 to June 2002. From 1993 to 1999, he served in several positions at GeneMedicine, Inc., where he led several research projects in the area of non-viral gene therapy. He has authored more than 40 publications in the area of non-viral gene therapy, resulting from his active career in research and development. Dr. Anwer holds a Ph.D. in physiology/pharmacology from Ohio University and received post-doctoral training from the University of Texas Health Science Center at Houston. Dr. Anwer also has a Master’s in Business Administration from University of Alabama.</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Nicholas Borys, M.D. </w:t>
      </w:r>
      <w:r>
        <w:rPr>
          <w:rFonts w:ascii="Times New Roman" w:cs="Times New Roman" w:eastAsia="Times New Roman" w:hAnsi="Times New Roman"/>
          <w:sz w:val="18"/>
          <w:szCs w:val="18"/>
          <w:color w:val="auto"/>
        </w:rPr>
        <w:t>Dr. Borys joined us in October 2007 as Vice President and Chief Medical Officer of the Company and was promoted to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in June 2014 and to Executive Vice President in February 2019. In this position, Dr. Borys manages the clinical development and regulatory programs for Celsion. Dr. Borys has over 25 years of experience in all phases of pharmaceutical development with a focus on oncology. Immediately prior to joining Celsion, Dr. Borys served as Chief Medical Officer of Molecular Insight Pharmaceuticals, Inc., a molecular imaging and nuclear oncology pharmaceutical company, from 2004 until 2007. From 2002 until 2004, he served as the Vice President and Chief Medical Officer of Taiho Pharma USA, a Japanese start-up oncology therapeutics company. Prior to that he held increasingly senior positions at Cytogen Corporation, Anthra Pharmaceuticals, Inc., Amersham Healthcare, Inc. and Hoffmann La-Roche Inc. Dr. Borys obtained his premedical degree from Rutgers University and holds an M.D. degree from American University of the Caribbean.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Jeffrey W. Church. </w:t>
      </w:r>
      <w:r>
        <w:rPr>
          <w:rFonts w:ascii="Times New Roman" w:cs="Times New Roman" w:eastAsia="Times New Roman" w:hAnsi="Times New Roman"/>
          <w:sz w:val="18"/>
          <w:szCs w:val="18"/>
          <w:color w:val="auto"/>
        </w:rPr>
        <w:t>Mr. Church joined us in July 2010 as Vice President, Chief Financial Officer and Corporate Secretary. Mr. Church was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Senior Vice President, Corporate Strategy and Investor Relations in July 2011. In July 2013, Mr. Church was reappointed as Senior Vice President and Chief Financial Officer. In December 2018, Mr. Church was promoted to Executive Vice President. Immediately prior to joining us, Mr. Church served as Chief Financial Officer and Corporate Secretary of Alba Therapeutics Corporation, a privately held life science company from 2007 until 2010. From 2006 until 2007, he served as Vice President, Chief Financial Officer and Corporate Secretary for Novavax, Inc., a vaccine development company listed on The Nasdaq Global Select Market. From 1998 until 2006, he served as Vice President, CFO and Corporate Secretary for GenVec, Inc., a biotechnology company listed on The Nasdaq Capital Market. Prior to that, he held senior financial positions at BioSpherics Corporation and Meridian Medical Technologies, both publicly traded companies. He started his career with Price Waterhouse from 1979 until 1986. Mr. Church holds a B.S. degree in accounting from the University of Maryland.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Ethics and Business Conduct (the “Code of Ethics”) applicable to its directors, officers, including the Chief Executive Officer, Chief Financial Officer, Chief Accounting Officer and other officers performing similar functions, and employees. This Code of Ethics constitutes a code of ethics applicable to senior financial officers within the meaning of the Sarbanes-Oxley Act of 2002 and SEC rules. A copy of the Code of Ethics is available on the Company’s website at </w:t>
      </w:r>
      <w:r>
        <w:rPr>
          <w:rFonts w:ascii="Times New Roman" w:cs="Times New Roman" w:eastAsia="Times New Roman" w:hAnsi="Times New Roman"/>
          <w:sz w:val="18"/>
          <w:szCs w:val="18"/>
          <w:i w:val="1"/>
          <w:iCs w:val="1"/>
          <w:color w:val="auto"/>
        </w:rPr>
        <w:t>http://www.celsion.com</w:t>
      </w:r>
      <w:r>
        <w:rPr>
          <w:rFonts w:ascii="Times New Roman" w:cs="Times New Roman" w:eastAsia="Times New Roman" w:hAnsi="Times New Roman"/>
          <w:sz w:val="18"/>
          <w:szCs w:val="18"/>
          <w:color w:val="auto"/>
        </w:rPr>
        <w:t xml:space="preserve"> and any stockholder may obtain a copy by making a written request to the Company’s Corporate Secretary, 997 Lenox Drive, Suite 100, Lawrenceville, NJ 08648. In the event of any amendments to or waivers of the terms of the Code of Ethics, such matters will be posted promptly to the Company’s website in lieu of disclosure on Form 8-K in accordance with Item 5.05(c) of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it is important to select our Chairman of the Board and our Chief Executive Officer in the manner it considers in our best interests. The members of our Board of Directors possess considerable business experience and in-depth knowledge of the issues we face and are therefore in the best position to evaluate our needs and how best to organize and adopt our leadership structure to meet those needs. Accordingly, our Chairman and the Chief Executive Officer may be filled by one individual or by two different individuals, and our Chairman may be a Company insider or an independent director. Mr. Tardugno serves as Chairman of our Board of Directors, President and Chief Executive Officer. Currently all the other directors of our Board of Directors are independent under applicable SEC and NASDAQ rules. Our Board of Directors believes that the Company and its stockholders have been well served by the current leadership structure due to Mr. Tardugno’s experience and in-depth knowledge of the Company and the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oversight of the various risks we face. In this regard, the Board of Directors seeks to understand and oversee the most critical risks relating to our business and operations, allocate responsibilities for the oversight of risks among the full Board of Directors and its committees, and see that management has in place effective systems and processes for managing risks we face. Overseeing risk is an ongoing process, and risk is inherently tied to our strategy and to strategic decisions. Accordingly, our Board of Directors considers risk throughout the year and with respect to specific proposed actions. Our Board of Directors recognizes that it is neither possible nor prudent to eliminate all risk. Indeed, purposeful and appropriate risk-taking is essential for us to be competitive and to achieve its business objectives.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Board of Directors oversees risk, management is charged with identifying and managing risk. We have robust internal processes and a strong internal control environment to identify and manage risks and to communicate information about risk to the Board of Directors. Management communicates routinely with our Board of Directors, Board Committees (as defined below) and individual directors on the significant risks identified and how they are being managed. Our directors are free to, and indeed often do, communicate directly with senior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implements its risk oversight function both as a whole and through delegation to various committees (the “Board Committees”).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Board Committees meet regularly and report back to our full Board of Directors.</w:t>
      </w:r>
    </w:p>
    <w:p>
      <w:pPr>
        <w:spacing w:after="0" w:line="207" w:lineRule="exact"/>
        <w:rPr>
          <w:sz w:val="20"/>
          <w:szCs w:val="20"/>
          <w:color w:val="auto"/>
        </w:rPr>
      </w:pPr>
    </w:p>
    <w:p>
      <w:pPr>
        <w:ind w:left="660" w:right="2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oversees the management of financial, accounting, internal controls, disclosure controls and the engagement arrangement and regular oversight of the independent auditors.</w:t>
      </w:r>
    </w:p>
    <w:p>
      <w:pPr>
        <w:jc w:val="both"/>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is responsible for the design and oversight of our compensation programs. Based on a review of our company-wide compensation programs, including the compensation programs for our executive officers, our Compensation Committee has concluded that these programs do not create risks that are likely to have a material adverse effect on us.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Governance Committee periodically reviews our corporate governance practices, including the risks that those practices are intended to address. It also periodically reviews the composition of our Board of Directors to help ensure that a diversity of skills and experiences is represented by the members of our Board of Directors taking into account the stage of our growth and strategic direction.</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Science and Technology Committee assists our Board of Directors in monitoring the state of science and technology capabilities within the Company and associated risks and overseeing the development of key technologies and major science and medicine-driven innovation initiatives essential to our long-term success.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presently maintains separately designated Audit, Compensation, Nominating and Governance, and Science and Technology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Governance Practices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a commitment to strong and sustainable corporate governance. As such, we continuously review our practices to ensure effective collaboration of management and our Board of Directors. Highlights of our Board of Directors’ best practices are:</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of the seven Board directors are independent;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Board of Directors has adopted and published committee charters (charters are available at </w:t>
      </w:r>
      <w:r>
        <w:rPr>
          <w:rFonts w:ascii="Times New Roman" w:cs="Times New Roman" w:eastAsia="Times New Roman" w:hAnsi="Times New Roman"/>
          <w:sz w:val="18"/>
          <w:szCs w:val="18"/>
          <w:u w:val="single" w:color="auto"/>
          <w:color w:val="auto"/>
        </w:rPr>
        <w:t>www.celsion.com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conducts an annual review of Board Independence;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Committees conduct annual self-evaluations that are reviewed by our Nominating and Governance Committee and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receive a current state briefing before their first Board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stock ownership and stock retention guidelines for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policies and practices to specifically align executive compensation with long-term stockholder interests;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policy prohibiting hedging and pledging, short sales, purchases or sales of puts or calls, and other derivative transactions of our stock (including any transaction that provides the economic equivalent of ownership) by our executive officers and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compensation claw back policy was adopted by our Board of Directors in 2014;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reviews management talent and succession annually with our chief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automatic enhancement of executive incentive compensation upon a change-in-control.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consists of Mr. Frederick J. Fritz, (Chairman), Dr. Augustine Chow and Ms. Christine Pellizzari. Our Audit Committee operates under a written charter as amended and restated effective May 4, 2007. A copy of that charter, as may be amended from time to time, is available on our web site, located at </w:t>
      </w:r>
      <w:r>
        <w:rPr>
          <w:rFonts w:ascii="Times New Roman" w:cs="Times New Roman" w:eastAsia="Times New Roman" w:hAnsi="Times New Roman"/>
          <w:sz w:val="18"/>
          <w:szCs w:val="18"/>
          <w:i w:val="1"/>
          <w:iCs w:val="1"/>
          <w:u w:val="single" w:color="auto"/>
          <w:color w:val="auto"/>
        </w:rPr>
        <w:t>http://www.celsion.com</w:t>
      </w:r>
      <w:r>
        <w:rPr>
          <w:rFonts w:ascii="Times New Roman" w:cs="Times New Roman" w:eastAsia="Times New Roman" w:hAnsi="Times New Roman"/>
          <w:sz w:val="18"/>
          <w:szCs w:val="18"/>
          <w:color w:val="auto"/>
        </w:rPr>
        <w:t>. Additional copies of the charter are available upon written request to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2021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all members of the Audit Committee meet the independence standards established by the SEC and Nasdaq. Our Board has determined that Mr. Fritz is qualified to serve as the “audit committee financial expert” as defined by Item 407(d)(5) of Regulation S-K and that Dr. Chow and Ms. Pellizzari meet the financial literacy requirements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Compensation Committee is responsible for establishing and administering the compensation policies applicable to our directors, officers and key personnel, for determining the compensation arrangements to our Chairman, President and Chief Executive Officer and for evaluating the performance of senior management. Our Compensation Committee operates under a written charter effective as of December 24, 2003. A copy of that charter, as may be amended from time to time, is available on our web site, located at </w:t>
      </w:r>
      <w:r>
        <w:rPr>
          <w:rFonts w:ascii="Times New Roman" w:cs="Times New Roman" w:eastAsia="Times New Roman" w:hAnsi="Times New Roman"/>
          <w:sz w:val="18"/>
          <w:szCs w:val="18"/>
          <w:i w:val="1"/>
          <w:iCs w:val="1"/>
          <w:u w:val="single" w:color="auto"/>
          <w:color w:val="auto"/>
        </w:rPr>
        <w:t>www.celsion.com</w:t>
      </w:r>
      <w:r>
        <w:rPr>
          <w:rFonts w:ascii="Times New Roman" w:cs="Times New Roman" w:eastAsia="Times New Roman" w:hAnsi="Times New Roman"/>
          <w:sz w:val="18"/>
          <w:szCs w:val="18"/>
          <w:color w:val="auto"/>
        </w:rPr>
        <w:t>. Additional copies of the charter are available upon written request to us. Our Compensation Committee does not delegate the authority to approve compensation policies and actions affecting our named executive officers or directors. Our Compensation Committee applies discretion in determining compensation for our executives. Our Compensation Committee has not established any equity or other security ownership requirements or guidelines in respect of its executive officers. Our Chairman, President and Chief Executive Officer assists our Compensation Committee in evaluating the performance of other executive officers and by providing information to directors as and when requested, such as salary surveys and compensation paid by our competitors, to the extent such information is publicly available. Members of our Compensation Committee undertake to verify such information prior to referring to it in determining executive compensation. The compensation of our Chairman, President and Chief Executive Officer is determined by our Compensation Committee based on our Compensation Committee’s evaluation of his performance and with reference to such external or competitive data as they consider necessary. The compensation of the other named executive officers is determined by our Compensation Committee based on its evaluation of their individual performance and the recommendations of our Chairman, President and Chief Executive Officer.</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Hooper (Chairman), Dr. Chow and Dr. Lindborg currently comprise our Compensation Committee. Our Board has determined that all members of our Compensation Committee are independent under the applicable Nasdaq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Nominating and Governance Committee is responsible for identifying and recruiting new members of our Board of Directors when vacancies arise, identifying and recruiting nominees for election as directors, reconsideration of incumbent directors in connection with nominations for elections of directors and ensuring that our Board of Directors is properly constituted to meet its corporate governance obligations. Our Nominating and Governance Committee operates under a written charter effective as of December 24, 2003 and amended on February 27, 2006. A copy of that charter, as may be amended from time to time, is available on our web site, located at </w:t>
      </w:r>
      <w:r>
        <w:rPr>
          <w:rFonts w:ascii="Times New Roman" w:cs="Times New Roman" w:eastAsia="Times New Roman" w:hAnsi="Times New Roman"/>
          <w:sz w:val="18"/>
          <w:szCs w:val="18"/>
          <w:i w:val="1"/>
          <w:iCs w:val="1"/>
          <w:u w:val="single" w:color="auto"/>
          <w:color w:val="auto"/>
        </w:rPr>
        <w:t>www.celsion.com</w:t>
      </w:r>
      <w:r>
        <w:rPr>
          <w:rFonts w:ascii="Times New Roman" w:cs="Times New Roman" w:eastAsia="Times New Roman" w:hAnsi="Times New Roman"/>
          <w:sz w:val="18"/>
          <w:szCs w:val="18"/>
          <w:color w:val="auto"/>
        </w:rPr>
        <w:t>. The current members of our Nominating and Governance Committee are Mr. Fritz and Dr. Braun. Our Board has determined that both Mr. Fritz and Dr. Braun are deemed to be independent under applicable Nasdaq rules.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purpose of our Science and Technology Committee is to assist our Board of Directors in monitoring the state of science and technology capabilities within our Company and associated risks and overseeing the development of key technologies and major science and medicine-driven innovation initiatives essential to our long-term success. Our Science and Technology Committee’s responsibilities includes reviewing technologies and technology programs of significance to us, with special focus on major external initiatives, observing the evolution of science and medicine outside the Company, participating in the development of metrics to assess the state of our science and technology in subject areas including, but not limited to, patent estate, freedom to operate, productivity, capability and external benchmarks, providing guidance for our external science and technology alliances, and providing guidance on the direction of our science and technology activities, as appropriate. The current members of our Science and Technology Committee are Dr. Braun and Dr. Lindborg.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AND BOARD COMMITTEES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there were a total of four (4) regular meetings of our Board of Directors. All of our directors attended all of the meetings of our Board of Directors and the Board committees on which they served that were held during the period for which they were a director or committee member,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our Audit Committee met four (4) times, our Compensation Committee met one (1) time and our Nominating and Governance Committee met several times in connection with the recruitment of two new Board directors in June 2021. Our Science and Technology Committee did not meet during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reports furnished to us, we believe that during the year ended December 31, 2021, our executive officers, directors and greater than 10% stockholders complied with all Section 16(a) filing requirements.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describes the material elements of compensation awarded to, earned by, or paid to the following Executive Officers of the Company:</w:t>
      </w:r>
    </w:p>
    <w:p>
      <w:pPr>
        <w:spacing w:after="0" w:line="225" w:lineRule="exact"/>
        <w:rPr>
          <w:sz w:val="20"/>
          <w:szCs w:val="20"/>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H. Tardugno, our Chairman, President and Chief Executive Officer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Nicholas Borys, M.D., our Executive Vice President and Chief Medical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Khursheed Anwer, Ph.D., our Executive Vice President and Chief Science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W. Church, our Executive Vice President and Chief Financial Officer</w:t>
      </w:r>
    </w:p>
    <w:p>
      <w:pPr>
        <w:spacing w:after="0" w:line="2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These individuals are listed in the 2021 Summary Compensation Table below and are referred to in this discussion as the “Named Executive Officers.”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for services rendered in all capacities during the years ended December 31, 2021 and 2020, awarded to, paid to or earned by each named executive officers serving as of December 31, 2021. All compensation awarded to, earned by, or paid to Celsion’s named executive officers are included in the table below for the years ended December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60" w:type="dxa"/>
            <w:vAlign w:val="bottom"/>
          </w:tcPr>
          <w:p>
            <w:pPr>
              <w:spacing w:after="0"/>
              <w:rPr>
                <w:sz w:val="21"/>
                <w:szCs w:val="21"/>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1"/>
                <w:szCs w:val="2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40" w:type="dxa"/>
            <w:vAlign w:val="bottom"/>
          </w:tcPr>
          <w:p>
            <w:pPr>
              <w:spacing w:after="0"/>
              <w:rPr>
                <w:sz w:val="21"/>
                <w:szCs w:val="21"/>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1"/>
                <w:szCs w:val="21"/>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 Tardugno (4)</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$ 581,586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1,322,285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381,254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2,333,125</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President &amp; CEO</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$ 557,222</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426,600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1,429,073</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Nicholas Borys (5)</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$ 432,357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203,410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127,180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789,947</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CMO</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$ 417,097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173,800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138,395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756,042</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Khursheed Anwer (6)</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$ 362,878</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508,555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120,462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1,020,478</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CSO</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$ 335,852</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122,147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643,848</w:t>
            </w: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Church (7)</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$ 397,004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559,422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117,037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1,087,963</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CFO</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$ 382,246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173,800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126,127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696,423</w:t>
            </w: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11 to the Financial Statements.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2022, our Compensation Committee approved the amount and the payment of the incentive bonus for 2021 for each of the Named Executive Officers in the form of stock awards and Non-Equity (Cash) Incentive Plan Compensation.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 The 2021 discretionary contribution is 5.0% of eligible salary of each employee which was contributed in January 2022.</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Tardugno, “All Other Compensation” for 2021 consists of $21,500 for discretionary spending allowance, a 401(k)-plan matching contribution of $13,000 in our common stock and a $14,500 discretionary 401(k) contribution.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Borys, “All Other Compensation” for 2021 consists of a 401(k)-plan matching contribution of $12,500 in our common stock and a $14,500 discretionary 401(k) contribution.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Anwer, “All Other Compensation” for 2021 consists of $6,006 for discretionary spending allowance, a 401(k)-plan matching contribution of $8,077 in our common stock and a $14,250 discretionary 401(k) contribution.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Church, “All Other Compensation” for 2021 consists of a $14,500 discretionary 401(k) contribution.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Celsion Corporation is a fully integrated, clinical stage biotechnology company focused on advancing a portfolio of innovative cancer treatments, including immunotherapies and DNA-based therapies; and a platform for the development of nucleic acid vaccines currently focused on SARS-CoV2. The company’s product pipeline includes GEN-1, a DNA-based immunotherapy for the localized treatment of ovarian cancer. Celsion also has two platform technologies for the development of novel nucleic acid-based immunotherapies and other anti-cancer DNA or RNA therapies. Both are novel synthetic, non-viral vectors with demonstrated capability in nucleic acid cellular transfection. Celsion’s wholly owned subsidiary, Celsion GmbH, is managing ThermoDox®, a proprietary heat-activated liposomal encapsulation of doxorubicin, which is under investigator-sponsored development for several cancer indications.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drug development status, it is unlikely, in the short term, to generate revenues and income sufficient to cover product development costs. As a result, our executive compensation philosophy is to align the interests of management and stockholders by emphasizing rewards for Company performance, while remaining competitive with compensation paid by other clinical stage biotechnology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practices that we have outlined below have been implemented because we believe that they are consistent with our stockholders’ interests: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29" w:lineRule="exact"/>
        <w:rPr>
          <w:sz w:val="20"/>
          <w:szCs w:val="20"/>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executive compensation is based on actual Company performance compared to absolute and relative measures and is therefore “at risk”;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in our long-term and annual incentive programs are subject to both time and performance vesting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performance metrics between the annual and long-term incentive plans discourage excessive risk-taking by removing any incentive to focus on a single performance goal to the detriment of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between annual and long-term compensation to discourage short-term risk taking at the expense of long-term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are encouraged to acquire and maintain meaningful ownership positions in our Company’s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relevant competitive compensation information compiled from compensation surveys;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double trigger change in control arrangements.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Following is a list of compensation practices that we have not engaged in because we do not believe that they are consistent with our stockholders’ interests: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2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or backdating of stock options;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engaging in the following transactions that include shares of common stock: collars, short sales and other derivative transactions for NEOs or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perquisites for executives;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trigger or modified single trigger cash severance benefits followed by a change in control;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excise tax gross ups in employment contracts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Stockholder Say-on-Pay Votes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our stockholders with the opportunity to cast an advisory vote annually to approve our executive compensation program (referred to as a “say-on-pay proposal”). In general, the Compensation Committee did not change its approach in 2021 and believes the program in place, as in prior years, includes a number of features that further the goals of the Company’s executive compensation program. The Compensation Committee will continue to consider the outcome of the Company’s say-on-pay proposals when making future compensation decisions for the Named Executive Officers.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has adopted the following executive compensation approaches, which the Company believes help to achieve the objectives for the executive compensation program and are generally favored by stockholders: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the executives’ compensation is at-risk. For fiscal year 2021, 74% of Mr. Tardugno’s target total direct compensation was performance-based (annual cash incentive awards) and/or linked to the value of our stock price (long-term equity incentive awards). As used in this discussion, the term “total direct compensation” means: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the executive’s base salary (24%),</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(17%),</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(option and restricted stock) awards based on the grant-date fair value of such awards as determined under the accounting principles used in the Company’s Financial Statements (57%), and</w:t>
      </w:r>
    </w:p>
    <w:p>
      <w:pPr>
        <w:ind w:left="1300" w:hanging="320"/>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(2%).</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principally based on the achievement of specific performance objectives established at the beginning of the fiscal year by the Compensation Committee. Historically the Compensation Committee has awarded the annual incentive bonus for each year in the first quarter of the following year.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2021 annual equity awards were granted in the form of stock option awards. We believe the grant of stock option awards further aligns the executives’ interests with those of stockholders as the awards will not have value unless the Company’s stock price appreciates after the award is granted. The stock option awards also provide a retention incentive as they vest over a multi-year period.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also granted stock option and restricted stock awards at the time they join the Company as these provide the same incentives as annual equity awards. These stock option grants and restricted stock awards generally vest over a three or four-year period beginning on the first-year anniversary of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Mr. Tardugno’s compensation for the last two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000’s)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Change</w:t>
            </w:r>
          </w:p>
        </w:tc>
      </w:tr>
      <w:tr>
        <w:trPr>
          <w:trHeight w:val="216"/>
        </w:trPr>
        <w:tc>
          <w:tcPr>
            <w:tcW w:w="4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Incentive Awards</w:t>
            </w:r>
          </w:p>
        </w:tc>
        <w:tc>
          <w:tcPr>
            <w:tcW w:w="8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w:t>
            </w:r>
          </w:p>
        </w:tc>
        <w:tc>
          <w:tcPr>
            <w:tcW w:w="9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and Stock Awards</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1,322</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Compensation</w:t>
            </w:r>
          </w:p>
        </w:tc>
        <w:tc>
          <w:tcPr>
            <w:tcW w:w="8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attempts to design executive compensation programs to achieve three principal objectives.</w:t>
      </w:r>
    </w:p>
    <w:p>
      <w:pPr>
        <w:spacing w:after="0" w:line="225" w:lineRule="exact"/>
        <w:rPr>
          <w:sz w:val="20"/>
          <w:szCs w:val="20"/>
          <w:color w:val="auto"/>
        </w:rPr>
      </w:pPr>
    </w:p>
    <w:p>
      <w:pPr>
        <w:ind w:left="980" w:hanging="324"/>
        <w:spacing w:after="0" w:line="261"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intended to attract, motivate and retain talented executives with total compensation that is competitive within the drug development and broader pharmaceutical and biotechnology industry;</w:t>
      </w:r>
    </w:p>
    <w:p>
      <w:pPr>
        <w:ind w:left="980" w:hanging="324"/>
        <w:spacing w:after="0" w:line="250"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intended to create an alignment of interests between our executives and stockholders such that a significant portion of each executive’s compensation varies with business performance and is dependent on stock price appreciation; and</w:t>
      </w: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designed to award behavior which results in optimizing the commercial potential of our development program.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Committee’s philosophy is to pay competitive total compensation, comprised of annual salaries, annual cash incentives and long-term equity awards (primarily stock options), with a significant percentage of total compensation directly linked with the Company’s performance. The Compensation Committee considers the elements of the compensation package to be reflective of compensation packages given to executives of companies of similar size in our industry. Compensation packages generally are designed to pay competitive salaries at the median of the industry compensation surveys as described below, reward superior annual performance through incentive compensation awards and allow executives to participate in increases in stockholder value through stock option and other stock-based grants.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executives’ compensation levels, the Compensation Committee relies primarily on its experience and judgment to provide a package that it believes appropriately balances the need to attract and retain key executive talent with the creation of incentives that will (i) enhance the growth of the Company, (ii) align the interests of management and stockholders by emphasizing rewards for Company performance, while remaining competitive with compensation paid by other clinical stage biotechnology companies and (iii) provide value for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decision-making process, the Compensation Committee takes into account the role and experience of each executive and reviews industry surveys (specifically, the Radford Global Life Sciences Survey, which covers a broad cross-section of the biotechnology, pharmaceuticals and life science industries and in which the Company participates) for information on the compensation paid to executive officers by companies in our industry that are similar in size, breadth, stage of development or complexity to the Company. The Compensation Committee also reviews custom surveys comparing executive compensation with that of specific peer groups (for example, pre-commercial biopharma public companies, biopharma companies with under 50 employees, biopharma companies with a market cap above $100 million and biopharma companies with a market cap below $100 million).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Compensation Committee retained Mercer as its independent compensation advisor to compare the Company’s executive and non-employee director 2020 compensation levels, policies, practices and procedures to a set of peer companies selected by the Compensation Committee with input from Mercer. Mercer reported directly to the Compensation Committee and performed no work for management that was not under the Compensation Committee’s purview. The Compensation Committee assessed the independence of Mercer pursuant to the relevant SEC rules and the Nasdaq Listing Rules and concluded that no conflicts of interest exist. The Compensation Committee and Mercer reviewed the compensation surveys as summarized above as it relates to elements of yearly performance and compensation of all members of the executive management team. As part of their engagement, Mercer prepared and submitted to the Compensation Committee a report on the audit of the Company’s current compensation benchmarking practices and its recommendations relating to executive and non-employee director compensation. Mercer concluded that the Company uses appropriate market data sources to evaluate the competitive positioning of the top executives’ and the Board of Directors’ compensation packages and market positioning relative to those data sources is reasonable.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an appropriate level of input from our Chief Executive Officer provides a necessary and valuable perspective in helping the Compensation Committee formulate its own independent views on compensation. The Compensation Committee takes measures to ensure its independence with respect to our Chief Executive Officer’s compensation, excusing him from portions of meetings to freely discuss his and the other Named Executive Officers performance and compensation. The Compensation Committee made all final determinations on the compensation levels for all Named Executive Officers in 2021 and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each individual element of compensation and the compensation for each Named Executive Officer for 2021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Annual Salaries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participate in an ongoing industry survey as described above. The Compensation Committee compares base salary for our executives with the levels provided to similarly situated executives and generally targets base salaries at levels in the median of the survey data.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2021, the Compensation Committee reviewed each executive’s job responsibilities, individual performance, our corporate performance, competitive market data, our total compensation expense and the base salaries of Mr. Tardugno, Dr. Borys, Dr. Anwer and Mr. Church and approved the following annualized salary adjustments for each Named Executive Officer:</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Fiscal 2021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Fiscal 2020</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Change from</w:t>
            </w:r>
          </w:p>
        </w:tc>
      </w:tr>
      <w:tr>
        <w:trPr>
          <w:trHeight w:val="24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Named Executive Officer</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Salary</w:t>
            </w:r>
          </w:p>
        </w:tc>
        <w:tc>
          <w:tcPr>
            <w:tcW w:w="3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Previous Year</w:t>
            </w:r>
          </w:p>
        </w:tc>
        <w:tc>
          <w:tcPr>
            <w:tcW w:w="180" w:type="dxa"/>
            <w:vAlign w:val="bottom"/>
            <w:tcBorders>
              <w:bottom w:val="single" w:sz="8" w:color="CCEEFF"/>
            </w:tcBorders>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566,710</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434,804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424,199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370,654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336,958</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400,126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386,595</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incentive compensation plan in which all members of our senior management participate. The plan is performance-driven based on Company and individual personal operational objectives established at the beginning of the year by the Compensation Committee in consultation with our Chief Executive Officer. These operational objectives include the completion of certain development projects, capital raising, cost controls, business development and profit and loss goals, which we believe are ultimately linked to creating stockholder value. These objectives are designed to achieve timely and efficient product development including completion of clinical studies and regulatory approvals. Each member of senior management is individually evaluated based on the achievement of the Company’s overall operational objectives and each individual’s personal performance against these objectives. This component of compensation is provided, among other reasons, to create incentives for members of senior management to meet short- and medium-term performance goals of the Company, without regard to stock price. Objectives are weighted in terms of overall importance to meeting the Company’s operating plan.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annual incentive compensation a member of senior management can earn is based on his level within management, with more senior members of management eligible to earn a higher percentage of their base salary as incentive compensation than less senior members. We believe it is appropriate for executives to have a greater percentage of their compensation “at-risk” based on performance as they generally have a greater role in the achievement of objectives that we believe promote the growth of the Company and the creation of value for stockholders. The actual amount of incentive compensation paid to any member of senior management is determined on a sliding scale dependent on how successful such member of senior management was in achieving the objectives upon which his or her incentive compensation was targeted and the relative importance to the Company of the objectives achieved. The Compensation Committee retains complete discretion to adjust any incentive compensation down and retains discretion as to whether to grant any incentive compensation to any individual member of senior management at all.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incentive compensation plan for 2021, the Compensation Committee established a number of annual corporate goals identified below that include research and development, regulatory, manufacturing, organizational and financial goals which we believe are essential to building stockholder value. The relative weighting of these corporate goals is based upon our assessment of the importance of each goal in creating value for the Company and our stockholders. Each corporate goal was established so that significant levels of achievement were required to meet the goal. Following the conclusion of the annual performance period, the level of achievement for each corporate goal was assessed by the Compensation Committee. The Compensation Committee determined whether each corporate goal had been met, exceeded, or not satisfied. In addition, in assessing corporate performance, the Compensation Committee had the discretion to factor in other significant corporate events that occurred during the performance period, which could have resulted in an upward or downward adjustment in the determination of corporate performance. After considering the level of attainment of each corporate goal and other appropriate corporate performance factors, the Compensation Committee assigned the overall corporate performance rating, which could have ranged from 0% to 130%. A maximum bonus pool is established by multiplying the overall corporate performance rating by the aggregate target bonuses for all individuals in the incentive plan. Certain individual downward adjustments may be made at the discretion of the Compensation Committee. The aggregate of all individual bonuses awarded under the policy cannot exceed the maximum bonus pool available such that the cost of bonuses ultimately reflects our overall performance and is not inflated by any individual performance rating.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both"/>
        <w:spacing w:after="0" w:line="256" w:lineRule="auto"/>
        <w:rPr>
          <w:sz w:val="20"/>
          <w:szCs w:val="20"/>
          <w:color w:val="auto"/>
        </w:rPr>
      </w:pPr>
      <w:r>
        <w:rPr>
          <w:rFonts w:ascii="Times New Roman" w:cs="Times New Roman" w:eastAsia="Times New Roman" w:hAnsi="Times New Roman"/>
          <w:sz w:val="18"/>
          <w:szCs w:val="18"/>
          <w:color w:val="auto"/>
        </w:rPr>
        <w:t>After the corporate performance rating is determined by the Compensation Committee, the individual performance of each Named Executive Officer is reviewed by the Compensation Committee in consultation with Mr. Tardugno in order to determine the appropriate annual performance percentage rating to be assigned to the executive for the performance period. Each Named Executive Officer’s actual annual performance-based incentive compensation payment is based on a combination of our corporate performance rating and his or her individual performance rating. The actual annual performance bonus compensation award for each Named Executive Officer is determined in the Compensation Committee’s sole discretion, and the maximum payout for each Named Executive Officer could be up to 130% of his target annual performance-based compensation target.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Named Executive Officers were each assigned a target annual incentive for 2021 ranging from 45% to 100% of base salary. The table below shows the target annual incentive assigned to each Named Executive Officer for 2021 both as a dollar amount and as a percentage of base salary.</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0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Annual Incentive</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Annual Incentive</w:t>
            </w:r>
          </w:p>
        </w:tc>
      </w:t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Incentive for 2021 (%</w:t>
            </w:r>
          </w:p>
        </w:tc>
        <w:tc>
          <w:tcPr>
            <w:tcW w:w="10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Awarded</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Awarded for 2021 (%</w:t>
            </w:r>
          </w:p>
        </w:tc>
      </w:tr>
      <w:tr>
        <w:trPr>
          <w:trHeight w:val="245"/>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for 2021</w:t>
            </w:r>
          </w:p>
        </w:tc>
        <w:tc>
          <w:tcPr>
            <w:tcW w:w="3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Base Salary)</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2021</w:t>
            </w:r>
          </w:p>
        </w:tc>
        <w:tc>
          <w:tcPr>
            <w:tcW w:w="3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Base Salary)</w:t>
            </w:r>
          </w:p>
        </w:tc>
        <w:tc>
          <w:tcPr>
            <w:tcW w:w="180" w:type="dxa"/>
            <w:vAlign w:val="bottom"/>
            <w:tcBorders>
              <w:bottom w:val="single" w:sz="8" w:color="CCEEFF"/>
            </w:tcBorders>
          </w:tcPr>
          <w:p>
            <w:pPr>
              <w:spacing w:after="0"/>
              <w:rPr>
                <w:sz w:val="21"/>
                <w:szCs w:val="2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5"/>
              </w:rPr>
              <w:t>586,545</w:t>
            </w: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381,254</w:t>
            </w: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140" w:type="dxa"/>
            <w:vAlign w:val="bottom"/>
          </w:tcPr>
          <w:p>
            <w:pPr>
              <w:spacing w:after="0"/>
              <w:rPr>
                <w:sz w:val="18"/>
                <w:szCs w:val="18"/>
                <w:color w:val="auto"/>
              </w:rPr>
            </w:pP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434,804</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127,180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370,654</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120,462</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140" w:type="dxa"/>
            <w:vAlign w:val="bottom"/>
          </w:tcPr>
          <w:p>
            <w:pPr>
              <w:spacing w:after="0"/>
              <w:rPr>
                <w:sz w:val="20"/>
                <w:szCs w:val="20"/>
                <w:color w:val="auto"/>
              </w:rPr>
            </w:pP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400,126</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117,037</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2021 corporate objectives and relative weightings assigned to each objective include the completion of certain development projects, capital raising, cost controls, business development and profit and loss goals, which we believe are ultimately linked to creating stockholder value. These objectives are designed to achieve timely and efficient product development including completion of clinical studies and regulatory approvals and in total represent a potential payout at 130% of the executive’s bonus target if all objectives are achieved.</w:t>
      </w:r>
    </w:p>
    <w:p>
      <w:pPr>
        <w:spacing w:after="0" w:line="176" w:lineRule="exact"/>
        <w:rPr>
          <w:sz w:val="20"/>
          <w:szCs w:val="20"/>
          <w:color w:val="auto"/>
        </w:rPr>
      </w:pPr>
    </w:p>
    <w:p>
      <w:pPr>
        <w:ind w:left="980" w:hanging="324"/>
        <w:spacing w:after="0" w:line="28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Objectives </w:t>
      </w:r>
      <w:r>
        <w:rPr>
          <w:rFonts w:ascii="Times New Roman" w:cs="Times New Roman" w:eastAsia="Times New Roman" w:hAnsi="Times New Roman"/>
          <w:sz w:val="18"/>
          <w:szCs w:val="18"/>
          <w:color w:val="auto"/>
        </w:rPr>
        <w:t>to complete enrollment of the OVATION 2 Study by the second quarter of 2022 within budget,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interim data results when available and maintain key quality metrics (20%) - 11% of 20% OF OBJECTIVES MET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Objectives </w:t>
      </w:r>
      <w:r>
        <w:rPr>
          <w:rFonts w:ascii="Times New Roman" w:cs="Times New Roman" w:eastAsia="Times New Roman" w:hAnsi="Times New Roman"/>
          <w:sz w:val="18"/>
          <w:szCs w:val="18"/>
          <w:color w:val="auto"/>
        </w:rPr>
        <w:t>to file an IND for the Placcine DNA vaccine by the end of 2021 (15%) - OBJECTIVES NOT MET</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Finance/Business Development Objectives </w:t>
      </w:r>
      <w:r>
        <w:rPr>
          <w:rFonts w:ascii="Times New Roman" w:cs="Times New Roman" w:eastAsia="Times New Roman" w:hAnsi="Times New Roman"/>
          <w:sz w:val="18"/>
          <w:szCs w:val="18"/>
          <w:color w:val="auto"/>
        </w:rPr>
        <w:t>to develop and implement a strategy to gain approval from shareholders for an increase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authorized shares of the Company’s common stock (15%) – ALL OBJECTIVES MET</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Objectives </w:t>
      </w:r>
      <w:r>
        <w:rPr>
          <w:rFonts w:ascii="Times New Roman" w:cs="Times New Roman" w:eastAsia="Times New Roman" w:hAnsi="Times New Roman"/>
          <w:sz w:val="18"/>
          <w:szCs w:val="18"/>
          <w:color w:val="auto"/>
        </w:rPr>
        <w:t>to manage cash and operating expenses, ensure cash flows are within 10% of plan and maintain sufficient levels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extend operating roadway into 2024 (25%) – ALL OBJECTIVES MET</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Development Objectives </w:t>
      </w:r>
      <w:r>
        <w:rPr>
          <w:rFonts w:ascii="Times New Roman" w:cs="Times New Roman" w:eastAsia="Times New Roman" w:hAnsi="Times New Roman"/>
          <w:sz w:val="18"/>
          <w:szCs w:val="18"/>
          <w:color w:val="auto"/>
        </w:rPr>
        <w:t>to successfully rebrand the Company, recruit key competencies to support vaccine initiative,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implement a succession plan to effectively transition leadership with immono-oncology and vaccine experience, and successfully spinout ThermoDox® into a wholly owned subsidiary (20%) - 15% of 20% OF OBJECTIVES MET</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Objective </w:t>
      </w:r>
      <w:r>
        <w:rPr>
          <w:rFonts w:ascii="Times New Roman" w:cs="Times New Roman" w:eastAsia="Times New Roman" w:hAnsi="Times New Roman"/>
          <w:sz w:val="18"/>
          <w:szCs w:val="18"/>
          <w:color w:val="auto"/>
        </w:rPr>
        <w:t>to achieve 30% of common stock ownership by institutional investors by year-end 2021 (30%). OBJECTIVE NOT MET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Named Executive Officers participated in the annual incentive plan for 2021. The initial target bonus amount for each executive was established pursuant to his employment agreement and is adjusted periodically by the Board. Executives’ bonuses under the Company’s annual incentive program are based on the achievement of specific performance measures established at the beginning of the fiscal year by the Compensation Committee. Historically the Compensation Committee has awarded the annual incentive bonus for each year in the first quarter of the following year. In the first quarter of 2022, the Compensation Committee approved the amount and the payment of the incentive bonus for 2021 for each of the Named Executive Officers. Please see the “Non-Equity Incentive Plan Compensation” column in the 2021 Summary Compensation Table.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long-term equity awards to its executives and other employees that are designed to align the interests our Company employees and stockholders, encouraging participants to maintain and increase their ownership our Company common stock with the opportunity to benefit from our long-term performance. Our equity program has generally consisted of grants of stock options and occasional grants of stock awards. Because the exercise price of the options is based on the market price of our common stock on the date of grant, the Compensation Committee believes that options help to align the interests of our executives with those of its stockholders as the options will not have value unless there is appreciation in our stock price. The options also serve as a retention tool since they generally vest over a three to four-year period following the grant date. This approach is designed to focus key employees on sustainable growth of the Company and the creation of stockholder value over the long term.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grants to the Named Executive Officers are generally made during the first half of the fiscal year. Annual grants are determined by the Compensation Committee based on review of each individual’s past performance as well as their potential impact on the Company’s future performance. Grants may also be made at other times during the fiscal year in certain circumstances (such as a grant in connection with the hiring or promotion of an executive or other special circumstance as deemed appropriate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Option Grants During 2021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stock options awarded to the Named Executive Officers in 2021 and reported in the 2021 Grants of Plan-Based Awards Table below was granted under, and is subject to, the terms of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discretion to provide for outstanding awards to become vested in connection with a change in control.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option granted to the Named Executive Officers in 2021 was granted with a per-share exercise price equal to the closing price of our common stock on the grant date. Each option is scheduled to vest in three installments, with one-third vesting on the date of grant and the balance vesting in equal annual installments over each of the next two years,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2021 Grants of Plan-Based Awards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incentive awards granted to the Named Executive Officers during 2021. Each of the equity awards reported in the table below was granted under the 2018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Payouts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 Non-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Base 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Stock</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Option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Option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lying</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45"/>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1"/>
                <w:szCs w:val="21"/>
                <w:color w:val="auto"/>
              </w:rPr>
            </w:pPr>
          </w:p>
        </w:tc>
      </w:tr>
      <w:tr>
        <w:trPr>
          <w:trHeight w:val="216"/>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3/19/2021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195,662</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3/19/2021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185,327</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3/19/2021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117,037</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3/19/2021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bl>
    <w:p>
      <w:pPr>
        <w:spacing w:after="0" w:line="198"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target bonus opportunity under the Company’s annual bonus program. See “Compensation Discussion and Analysis – Incentive Compensation” above for information on the terms of these bonuses.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represented stock option awards granted under the 2018 Plan. Each option granted to each Named Executive Officer is scheduled to vest in three installments, with one-half vesting on the date of grant and the balance vesting in annual installments over each of the next two years, subject in each case to the executive’s continued employment through the applicable vesting date and has a maximum term of ten years.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stock and option awards is the aggregate grant date fair value of stock options granted to the Named Executive Officers in 2021, determined in accordance with FASB ASC Topic 718, disregarding adjustments for forfeiture assumptions. The assumptions for making the valuation determinations are set forth in Note 11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2021, none of the Named Executive Officers exercised any of their vested stock options during 2021. No officers were awarded shares of stock during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2021 Outstanding Equity Awards at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unexercised stock options held by each of the Named Executive Officers as of December 31, 2021. None of the Named Executive Officers held any other outstanding stock awards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No. of Securities</w:t>
            </w:r>
          </w:p>
        </w:tc>
        <w:tc>
          <w:tcPr>
            <w:tcW w:w="120" w:type="dxa"/>
            <w:vAlign w:val="bottom"/>
          </w:tcPr>
          <w:p>
            <w:pPr>
              <w:spacing w:after="0"/>
              <w:rPr>
                <w:sz w:val="16"/>
                <w:szCs w:val="16"/>
                <w:color w:val="auto"/>
              </w:rPr>
            </w:pPr>
          </w:p>
        </w:tc>
        <w:tc>
          <w:tcPr>
            <w:tcW w:w="14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No. of Securities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5/30/2017</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5/15/2018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56,666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2,222</w:t>
            </w:r>
          </w:p>
        </w:tc>
        <w:tc>
          <w:tcPr>
            <w:tcW w:w="1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1,111</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32.70</w:t>
            </w: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2/19/2029</w:t>
            </w:r>
          </w:p>
        </w:tc>
        <w:tc>
          <w:tcPr>
            <w:tcW w:w="0" w:type="dxa"/>
            <w:vAlign w:val="bottom"/>
          </w:tcPr>
          <w:p>
            <w:pPr>
              <w:spacing w:after="0"/>
              <w:rPr>
                <w:sz w:val="1"/>
                <w:szCs w:val="1"/>
                <w:color w:val="auto"/>
              </w:rPr>
            </w:pPr>
          </w:p>
        </w:tc>
      </w:tr>
      <w:tr>
        <w:trPr>
          <w:trHeight w:val="45"/>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1,111</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32.10</w:t>
            </w: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25.80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6,000</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54.90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6/15/2030</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3/19/2021</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14,444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28,889</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33.60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3/19/2031</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1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2/2/2016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5/15/2018</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889</w:t>
            </w:r>
          </w:p>
        </w:tc>
        <w:tc>
          <w:tcPr>
            <w:tcW w:w="1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32.70</w:t>
            </w: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2/19/2029</w:t>
            </w:r>
          </w:p>
        </w:tc>
        <w:tc>
          <w:tcPr>
            <w:tcW w:w="0" w:type="dxa"/>
            <w:vAlign w:val="bottom"/>
          </w:tcPr>
          <w:p>
            <w:pPr>
              <w:spacing w:after="0"/>
              <w:rPr>
                <w:sz w:val="1"/>
                <w:szCs w:val="1"/>
                <w:color w:val="auto"/>
              </w:rPr>
            </w:pPr>
          </w:p>
        </w:tc>
      </w:tr>
      <w:tr>
        <w:trPr>
          <w:trHeight w:val="45"/>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5/14/2019</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1,111</w:t>
            </w:r>
          </w:p>
        </w:tc>
        <w:tc>
          <w:tcPr>
            <w:tcW w:w="15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555</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32.10</w:t>
            </w: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778</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25.80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54.90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6/15/2030</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3/19/2021</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4,444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33.60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3/19/2031</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2/2/2016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5/30/2017</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5/15/2018</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1,378</w:t>
            </w:r>
          </w:p>
        </w:tc>
        <w:tc>
          <w:tcPr>
            <w:tcW w:w="1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689</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32.70</w:t>
            </w: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2/19/2029</w:t>
            </w:r>
          </w:p>
        </w:tc>
        <w:tc>
          <w:tcPr>
            <w:tcW w:w="0" w:type="dxa"/>
            <w:vAlign w:val="bottom"/>
          </w:tcPr>
          <w:p>
            <w:pPr>
              <w:spacing w:after="0"/>
              <w:rPr>
                <w:sz w:val="1"/>
                <w:szCs w:val="1"/>
                <w:color w:val="auto"/>
              </w:rPr>
            </w:pPr>
          </w:p>
        </w:tc>
      </w:tr>
      <w:tr>
        <w:trPr>
          <w:trHeight w:val="45"/>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5/14/2019</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1,378</w:t>
            </w:r>
          </w:p>
        </w:tc>
        <w:tc>
          <w:tcPr>
            <w:tcW w:w="15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689</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32.10</w:t>
            </w: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944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25.80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2,222</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54.90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6/15/2030</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3/19/2021</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5,555</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11,111</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33.60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3/19/2031</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1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2/2/2016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5/30/2017</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5/15/2018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889</w:t>
            </w:r>
          </w:p>
        </w:tc>
        <w:tc>
          <w:tcPr>
            <w:tcW w:w="1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32.70</w:t>
            </w: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2/19/2029</w:t>
            </w:r>
          </w:p>
        </w:tc>
        <w:tc>
          <w:tcPr>
            <w:tcW w:w="0" w:type="dxa"/>
            <w:vAlign w:val="bottom"/>
          </w:tcPr>
          <w:p>
            <w:pPr>
              <w:spacing w:after="0"/>
              <w:rPr>
                <w:sz w:val="1"/>
                <w:szCs w:val="1"/>
                <w:color w:val="auto"/>
              </w:rPr>
            </w:pPr>
          </w:p>
        </w:tc>
      </w:tr>
      <w:tr>
        <w:trPr>
          <w:trHeight w:val="45"/>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555</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32.10</w:t>
            </w: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778</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25.80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2,444</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54.90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6/15/2030</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3/19/2021</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6,111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12,222</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33.60</w:t>
            </w: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3/19/2031</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each on the first, second and third anniversary of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Executive officers are eligible to participate in our medical and other welfare benefit plans and for other benefits, in each case on generally the same basis as other employees. We maintain a 401(k) plan for our employees. Other than the 401(k) plan, we do not offer any of our employees a pension plan, retirement plan or other forms of compensation paid out upon retirement. The Company matches up to 50% of the first 6% of employee contributions. Mr. Tardugno and Dr Anwer receive $21,500 and $6,000, respectively, as a discretionary spending allowance.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POST-EMPLOYMENT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severance protections, particularly in the context of a change in control transaction, can play a valuable role in attracting and retaining key executive officers. Under their employment agreements, each of the Named Executive Officers would be entitled to severance benefits in the event of a termination of employment by the Company without cause. We have determined that it is appropriate to provide the executives with severance benefits under these circumstances in light of their positions with us and as part of their overall compensation package.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occurrence, or potential occurrence, of a change in control transaction will create uncertainty regarding the continued employment of our executive officers as many change in control transactions result in significant organizational changes, particularly at the senior executive level. In order to encourage the Company’s executive officers to remain employed with us during an important time when their prospects for continued employment following the transaction may be uncertain, we provide each of Mr. Tardugno, Mr. Church and Dr. Borys with enhanced severance benefits if his employment is actually or constructively terminated by the Company without cause in connection with a change in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Michael H. Tardugno</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2016, the Company and Mr. Tardugno entered into an employment agreement, effective March 30, 2016 (the “March 2016 Agreement”), which superseded the previous employment agreement with Mr. Tardugno. The amended and restated employment agreement generally maintained the same terms as set forth in his previous December 2014 agreement but removed the modified single-trigger provision included in that agreement. Under that provision, Mr. Tardugno was eligible to receive severance following a change in control if Mr. Tardugno elected to terminate his employment for any reason or no reason commencing with the sixth and ending with the twelfth month following the change in control. In accordance with commonly viewed best practices, the parties agreed to remove this provision so that it is no longer operative, effective March 30, 2016. The following narrative describes the terms of Mr. Tardugno’s employment agreement, as in effect on December 31, 2021.</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earlier termination pursuant to the terms of the March 2016 Agreement, the initial term of the agreement ended on January 31, 2018, with automatic one-year renewals thereafter, unless either party provides a notice of non-renewal. Mr. Tardugno’s March 2016 Agreement provides for an annual base salary of $547,342 subject to annual adjustment by the Board of Directors of the Company or the Compensation Committee. Mr. Tardugno is also eligible for an annual performance bonus from the Company, pursuant to the Company’s management incentive bonus program in effect from time to time. The amount of such bonus will be determined by the Board of Directors or the Compensation Committee in its sole and absolute discretion and will not exceed 100% of the then-current base salary except pursuant to a specific finding by the Board of Directors or the Compensation Committee that a higher percentage is appropriate. Under the March 2016 Agreement, the Company agreed to grant to Mr. Tardugno, at the time of its usual annual grant to employees, annual stock options to purchase shares of the Company’s common stock as the Board of Directors or the Compensation Committee shall determine.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Mr. Tardugno’s termination due to death or disability during the employment term, Mr. Tardugno’s legal representatives shall be entitled to receive his base salary through the date which is ninety (90) days after his death and a pro rata annual performance bonus based on actual performance and the time served during the performance year. Upon Mr. Tardugno’s death or termination due to disability, previously granted and vested stock options will remain fully exercisable through their respective original maximum terms (subject to earlier termination in connection with a change in control of the Company and similar events as provided in the applicable plan and/or award agreement) and all other stock options and stock awards (and similar equity rights) that have not vested prior to the date of termination will be forfeited.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(A) that we terminate the agreement other than for “cause” (as defined in the agreement) or (B) Mr. Tardugno terminates the agreement upon the occurrence of: (i) a material adverse change in his duties or authority; (ii) a situation in which he is no longer at least one of the President or the Chief Executive Officer of the Company; (iii) a bankruptcy filing or similar action by or against us; or (iv) another material breach of the agreement by us (each, a “Triggering Event”), or (C) the agreement terminates for nonrenewal, Mr. Tardugno will be entitled to receive a severance payment equal to his base annual salary at the time of termination (the “Severance Amount”), payable in accordance with our normal payroll practices, COBRA premiums for up to twelve months and may generally exercise any vested options through the remainder of their original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termination of his employment upon a Triggering Event within two years following a “change in control” (as described below), or, if within such two-year period (i) there is a material adverse change in his compensation or benefits, or (ii) any successor to the Company does not assume our obligations under the agreement, and he terminates his employment, Mr. Tardugno is entitled to a lump sum severance payment equal to the Severance Amount and any previously unvested options granted to Mr. Tardugno and covered by the employment agreement shall immediately vest and remain fully exercisable through the remainder of their original maximum terms and otherwise in accordance with their respective original terms.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18"/>
          <w:szCs w:val="18"/>
          <w:color w:val="auto"/>
        </w:rPr>
        <w:t>In the event of termination of his employment upon a Triggering Event during the period commencing six months prior to a change in control (“CIC”) (as described below) and ending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CIC (i) there is a material adverse change in his duties or responsibilities, (ii) there is a material adverse change in his compensation or benefits, or (iii) any successor to the Company does not assume our obligations under the agreement, and he terminates his employment, Mr. Tardugno is entitled to a lump sum severance payment equal to the Severance Amount and any previously unvested options granted to Mr. Tardugno and covered by the employment agreement shall immediately vest and remain fully exercisable through the remainder of their original maximum terms and otherwise in accordance with their respective original terms. A “change in control” is deemed to occur: (i) if any person becomes the direct or indirect beneficial owner of more than 50% of the combined voting power of our then-outstanding securities; (ii) there is a change in a majority of the directors in office during any twenty-four (24) month period; (iii) we engage in a recapitalization, reorganization, merger, consolidation or similar transaction after which the holders of our voting securities before the transaction do not continue to hold at least 50% of the voting securities of the Company or its successor after the transaction; or (iv) upon our complete liquidation or dissolution of the Company or the sale or other disposition of substantially all of our assets after which the holders of our voting securities before such sale or disposition do not continue to hold at least 50% of the voting securities of the Company or its successor after such sale or disposition.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Mr. Tardugno is terminated for cause or is receiving severance payments contemplated under the employment agreement, Mr. Tardugno shall, among other things, not provide any services, directly or indirectly, to any other business or commercial entity in the Company’s “Field of Interest” (as such term is defined in his employment agreement), solicit any customers or suppliers of the Company, directly or indirectly, or employ or seek to employ an employee of the Company for a period of two years following the date of termination. In addition, at no time during the term of the employment agreement or thereafter will Mr. Tardugno knowingly make any written or oral untrue statement that disparages the Company. Mr. Tardugno is also subject to confidentiality provisions in his employment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Other Named Executed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Borys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and Dr. Borys entered into an employment offer letter on August 23, 2007, pursuant to which Dr. Borys agreed to serve as our Vice President and Chief Medical Officer. Dr. Borys’ employment with us is “at-will”; however, subject to a retention agreement the Company provided to Dr. Borys on February 19, 2013, if we terminate Dr. Borys’ employment for any reason other than just cause, we will pay Dr. Borys a salary continuation and COBRA premiums for up to twelve months. The salary and COBRA premiums will cease at the end of the twelve-month period or, if he finds new employment prior to the end of the twelve-month period, the benefit will be reduced by the amount of compensation which he will receive from any new employer.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Church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Mr. Church entered into an employment offer letter on June 15, 2010. Mr. Church’s employment is “at-will”; however, if we terminate Mr. Church’s employment for any reason other than just cause, we will pay Mr. Church a salary continuation and COBRA premiums for up to twelve months. The salary and COBRA premiums will cease at the end of the twelve-month period or if he finds new employment prior to the twelve-month period, the benefit will be reduced by the amount of compensation which he will receive from any new employer.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Khursheed Anwer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Dr. Anwer entered into an employment offer letter effective as of June 20, 2014. Dr. Anwer’s employment with us is “at-will”; however, subject to the retention and severance agreement between the Company and Dr. Anwer dated as of May 28, 2014, if we terminate Dr. Anwer’s employment without cause (as such term is defined in the retention and severance agreement), he will be entitled to receive cash severance equal to 12 months of his base salary and reimbursement of his COBRA premiums for up to 12 months. Dr. Anwer’s right to receive these severance benefits is subject to his providing a release of claims in favor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2016, we entered into amended and restated change in control severance agreements (CIC Agreements) with each of the Named Executive Officers (other than Dr. Anwer who is not subject to such an agreement) to provide severance benefits to these executives should their employment terminate in certain circumstances in connection with a change in control of the Company.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amended and restated CIC Agreements, in the event that we terminate the executive’s employment without cause or in the event that the executive terminates his employment for good reason, in either case on or within two years after a change in control of the Company,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award will continue to be governed by its terms. In the case of options or similar awards, the award would generally remain exercisable for the remainder of the original term of the award (or, in the case of awards that vested after the date of the change in control,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executing a release of claims in favor of the Company upon the termination of his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Terms of Option Grants During 202</w:t>
      </w:r>
      <w:r>
        <w:rPr>
          <w:rFonts w:ascii="Times New Roman" w:cs="Times New Roman" w:eastAsia="Times New Roman" w:hAnsi="Times New Roman"/>
          <w:sz w:val="18"/>
          <w:szCs w:val="18"/>
          <w:color w:val="auto"/>
        </w:rPr>
        <w:t>1</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stock options awarded to the Named Executive Officers in 2021 and reported in the 2021 Grants of Plan-Based Awards Table below was granted under, and is subject to, the terms of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discretion to provide for outstanding awards to become vested in connection with a change in control.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option granted to the Named Executive Officers in 2021 was granted with a per-share exercise price equal to the closing price of our common stock on the grant date. Each option is scheduled to vest in three installments, with one-third vesting on the date of grant and the balance vesting in equal annual installments over each of the next two years,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under “Narrative Disclosure to Executive Compensation Tables,” the Company has entered into agreements with each of the Named Executive Officers currently employed by the Company that provide benefits that may become payable to the executives in connection with a termination of their employment. The Company has also entered into agreements with Mr. Tardugno, Mr. Church and Dr. Borys that provides benefits that may become payable to the executives in connection with a termination of employment following a change in control of the Company. If in the event the Named Executive Officer is entitled to receive severance benefits in connection with a termination of employment under both their severance agreement and their change in control agreement, the executive shall be entitled to receive the benefits from both agreements. The first table below indicates the benefits that would be payable to each executive if a termination of employment in the circumstances described above had occurred on December 31, 2021 outside of a change in control. The second table below indicates the benefits that would be payable to each executive if a change in control of the Company and such a termination of employment had occurred on that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Severance Benefits (Outside of a Change in Control)</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Continuation</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Health/Life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60" w:type="dxa"/>
            <w:vAlign w:val="bottom"/>
          </w:tcPr>
          <w:p>
            <w:pPr>
              <w:spacing w:after="0"/>
              <w:rPr>
                <w:sz w:val="21"/>
                <w:szCs w:val="21"/>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586,545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22,032</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608,577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217,402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15,870</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233,272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370,654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22,032</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392,686</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11,016</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211,079</w:t>
            </w:r>
          </w:p>
        </w:tc>
        <w:tc>
          <w:tcPr>
            <w:tcW w:w="0" w:type="dxa"/>
            <w:vAlign w:val="bottom"/>
          </w:tcPr>
          <w:p>
            <w:pPr>
              <w:spacing w:after="0"/>
              <w:rPr>
                <w:sz w:val="1"/>
                <w:szCs w:val="1"/>
                <w:color w:val="auto"/>
              </w:rPr>
            </w:pPr>
          </w:p>
        </w:tc>
      </w:tr>
      <w:tr>
        <w:trPr>
          <w:trHeight w:val="421"/>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of Control Severance Benefits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Continuation</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Health/Life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60" w:type="dxa"/>
            <w:vAlign w:val="bottom"/>
          </w:tcPr>
          <w:p>
            <w:pPr>
              <w:spacing w:after="0"/>
              <w:rPr>
                <w:sz w:val="21"/>
                <w:szCs w:val="21"/>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2,346,180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44,064</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2,390,244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Nicholas Borys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1,260,932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63,480</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1,324,412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1,160,365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44,064</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1,204,429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to the Company’s directors who are not employed by the Company or any of its subsidiaries (“Non-Employee Directors”) for the year ended December 31, 2021. Other than as set forth in the table, we did not pay any compensation, make any equity awards or non-equity awards to, or pay any other compensation to any of the non-employee members of our Board in 2021. The compensation paid to any director who was also one of our employees during fiscal year 2021 is presented in the “2021 Summary Compensation Table” and the information that follows that table. Such employee directors do not receive separate compensation for service on the Board of Directors or any of its committees.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Augustine Chow</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Hooper</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45,300</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124,997</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100,900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180,597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52,900</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132,597</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18,750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44,104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62,854</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19,950</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44,461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64,411</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Andreas Voss (2)</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33,150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112,847</w:t>
            </w:r>
          </w:p>
        </w:tc>
      </w:tr>
    </w:tbl>
    <w:p>
      <w:pPr>
        <w:spacing w:after="0" w:line="198" w:lineRule="exact"/>
        <w:rPr>
          <w:sz w:val="20"/>
          <w:szCs w:val="20"/>
          <w:color w:val="auto"/>
        </w:rPr>
      </w:pPr>
    </w:p>
    <w:p>
      <w:pPr>
        <w:jc w:val="both"/>
        <w:ind w:left="660" w:hanging="328"/>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each Director in 2021, determined in accordance with FASB ASC Topic 718. The assumptions for making the valuation determinations are set forth in Note 11 in the Financial Statements. As of December 31, 2021, Dr. Chow had 12,242 option awards outstanding; Mr. Hooper had 11,978 option awards outstanding; Mr. Fritz had 12,004 option awards outstanding; Dr. Braun and Dr. Voss each had 10,087 option awards outstanding; and Dr. Lindborg and Ms. Pellizzari each had 2,666 option awards outstanding.</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Voss resigned from the Board of Directors effective December 31,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stock option grants awarded to the Company’s Non-Employee Directors for the year ended December 31, 2021. The stock option grants to any director who was also one of our employees during fiscal year 2021 is presented in the “2021 Grants of Plan-Based Awards Table” and the information that follows that table. Employee directors do not receive separate equity awards for service on the Board of Directors or any of the Board committees.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9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Non-Employee Director Stock Option and Grant Awards Table</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Granted (#) (1)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Value ($)</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Augustine Chow</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3/19/2021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Hooper</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Andreas Voss (2)</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on the date of grant and one third of the grant vesting on each of the first and second anniversary of the date of grant, subject to the applicable director’s continued service as a member of our Board through each applicable vesting date.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Voss resigned from the Board of Directors effective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DIRECTOR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each Non-Employee Director of the Company received annual cash compensation in the amount of $29,500 payable in quarterly installments, and an additional $2,000 for attendance, in person or $1,000 if telephonically, at regular meetings of the Board of Directors and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2021, the Chairman of the Audit Committee received an additional annual cash fee of $13,000 and the Chairman of the Compensation Committee received an additional annual cash fee of $10,000.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Acting on behalf of the Board of Directors, Mr. Fritz also received fees totaling $48,000 in 2021 for his role as a Board Liaison to our Board of Directors. Mr. Fritz’s responsibilities as Board Liaison include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Acting on behalf of our Board of Directors, Dr. Voss also received fees totaling $16,000 in 2021 for his role as a strategic advisor to our Chief Executive Officer. Dr. Voss’ responsibilities as a strategic advisor include the following: (i) provide strategic and tactical advice to our Chief Executive Officer; (ii) evaluate international subsidiary options; (iii) develop strategies to secure business relationships other than in the U.S.; and (iv) having done both (ii) and (iii), develop high potential ex-US market strategies that address the objectives for broad and profitable sales of its commercial products. Through this advisory role, Dr. Voss accepted the position of Managing Director of Celsion GmbH, a wholly owned subsidiary of the Company. In this role, Dr. Voss has elected to devote his time to providing strategy, direction, and general management to Celsion GmbH and has concluded that the time necessary to do so would interfere with the demands of the Company’s Board. Dr. Voss intends to retire for these reasons and not because of any disagreement with management or the Board relating to the Company’s operations, policies or practices. Dr. Voss’s current term as a Class III director was scheduled to end at the Company’s 2022 Annual Meeting of Stockholders.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Acting on behalf of our Board of Directors, Dr. Braun also received fees totaling $15,000 in 2021 for his role as a strategic advisor to our Chief Executive Officer. Dr. Braun’s responsibilities as a strategic advisor include the following: (i) provide strategic and tactical advice to our Chief Executive Officer; (ii) evaluate international subsidiary options; (iii) develop strategies to secure business relationships other than in the U.S.; and (iv) having done both (ii) and (iii), develop high potential ex-US market strategies that address the objectives for broad and profitable sales of its commercial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Hooper and Dr. Chow each served on the Compensation Committee of our Board of Directors for 2021. Dr Lindborg will also serve on the Compensation Committee starting in July 2022. No director who served on our Compensation Committee at any time during 2021 is or was a current or former executive officer or employee of the Company or had any relationships requiring disclosure by the Company under the SEC’s rules requiring disclosure of certain relationships and related party transactions. None of the members of the Compensation Committee during fiscal year 2021 was, or has ever been, an officer or employee of the Company, and, during fiscal year 2021, no executive officer of the Company served on the board and/or compensation committee of any company that employed as an executive officer any member of the Company’s Board and/or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AND EXECUTIVE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79"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the Company regarding the beneficial ownership of the Company’s common stock as of March 30, 2022 by:</w:t>
      </w:r>
    </w:p>
    <w:p>
      <w:pPr>
        <w:spacing w:after="0" w:line="16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own beneficially more than five percent of the outstanding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the director nominees, as well as each executive officer named in the Summary Compensation Table appearing under the heading “Executive Compensation”;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beneficial ownership in accordance with the rules of the SEC. Under SEC rules, beneficial ownership for purposes of this table takes into account shares as to which the individual has voting or investment power as well as shares that may be acquired within 60 days. Shares of common stock subject to options that are currently exercisable or that become exercisable within 60 days of March 30, 2022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r>
      <w:tr>
        <w:trPr>
          <w:trHeight w:val="245"/>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1"/>
                <w:szCs w:val="21"/>
                <w:color w:val="auto"/>
              </w:rPr>
            </w:pPr>
          </w:p>
        </w:tc>
      </w:tr>
      <w:tr>
        <w:trPr>
          <w:trHeight w:val="216"/>
        </w:trPr>
        <w:tc>
          <w:tcPr>
            <w:tcW w:w="7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Augustine Chow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12,439</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Hooper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13,791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1,722</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18,871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10,368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150,359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Borys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35,675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34,666</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Church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41,943</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(10 persons)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321,557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r>
    </w:tbl>
    <w:p>
      <w:pPr>
        <w:spacing w:after="0" w:line="198" w:lineRule="exact"/>
        <w:rPr>
          <w:sz w:val="20"/>
          <w:szCs w:val="20"/>
          <w:color w:val="auto"/>
        </w:rPr>
      </w:pPr>
    </w:p>
    <w:p>
      <w:pPr>
        <w:ind w:left="460" w:right="1100" w:hanging="7"/>
        <w:spacing w:after="0" w:line="500" w:lineRule="auto"/>
        <w:tabs>
          <w:tab w:leader="none" w:pos="9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individuals named is c/o Celsion Corporation, 997 Lenox Drive, Suite 100, Lawrenceville, NJ 08648. ** Less than one percent.</w:t>
      </w:r>
    </w:p>
    <w:p>
      <w:pPr>
        <w:spacing w:after="0" w:line="2" w:lineRule="exact"/>
        <w:rPr>
          <w:sz w:val="20"/>
          <w:szCs w:val="20"/>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12,343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12,079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1,722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12,105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9,771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1,722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137,846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32,248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31,811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38,326 shares of common stock underlying options currently exercisable or exercisable within 60 days of March 30, 2022.</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2021</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1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 exercise price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 compensation</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0" w:type="dxa"/>
            <w:vAlign w:val="bottom"/>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 (a)</w:t>
            </w:r>
          </w:p>
        </w:tc>
        <w:tc>
          <w:tcPr>
            <w:tcW w:w="40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32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53"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433,676</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92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38.55</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433"/>
        </w:trPr>
        <w:tc>
          <w:tcPr>
            <w:tcW w:w="238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9,332</w:t>
            </w: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37.13</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32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-719455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-170815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80" w:space="440"/>
            <w:col w:w="7020"/>
          </w:cols>
          <w:pgMar w:left="320" w:top="657" w:right="339" w:bottom="1440" w:gutter="0" w:footer="0" w:header="0"/>
          <w:type w:val="continuous"/>
        </w:sect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the 2018 Plan. These awards have a weighted average remaining term of 7.4 years.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inducement grants provided certain employees as an inducement to accept employment with the Company. These awards have a weighted average remaining term of 7.0 years. These grants are similar to those granted under the 2018 Plan and is more fully discussed in Note 11 to the Financial Statements.</w:t>
      </w:r>
    </w:p>
    <w:p>
      <w:pPr>
        <w:spacing w:after="0" w:line="172" w:lineRule="exact"/>
        <w:rPr>
          <w:sz w:val="20"/>
          <w:szCs w:val="20"/>
          <w:color w:val="auto"/>
        </w:rPr>
      </w:pPr>
    </w:p>
    <w:p>
      <w:pPr>
        <w:ind w:right="2160"/>
        <w:spacing w:after="0" w:line="503"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 Related Party Transactions</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rules of the SEC and NASDAQ, the Company requires that at least a majority of the directors serving at any time on the Board of Directors be independent, that at least three directors satisfy the financial literacy requirements for service on the Audit Committee and that at least one member of the Audit Committee qualify as an “audit committee financial expert” under those rules.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Mr. Fritz is qualified to serve as the “audit committee financial expert” as defined by Item 407(d)(5) of Regulation S-K and that Mr. Fritz, Ms. Pellizzari and Drs. Chow and Braun meet the financial literacy requirements under applicable SEC and NASDAQ rules. The Board of Directors determined that of the six currently serving directors, five directors (Drs. Augustine Chow, Donald P. Braun, Andreas Voss and Messrs. Robert W. Hooper and Frederick J. Fritz) are independent under applicable SEC and NASDAQ rules. Mr. Fritz acts as the chairman of our Audit Committee.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as invoiced for professional audit services rendered for the audit of our annual financial statements included in the Company’s Form 10-K and review of quarterly financial statements included in the Company’s Forms 10-Q for the fiscal years ended December 31, 2021 and December 31, 2020, and fees for other services rendered during those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jc w:val="right"/>
              <w:ind w:right="313"/>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60" w:type="dxa"/>
            <w:vAlign w:val="bottom"/>
            <w:tcBorders>
              <w:bottom w:val="single" w:sz="8" w:color="CCEEFF"/>
            </w:tcBorders>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17,550</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24,334</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by Withum for the audits of our annual financial statements in our Form 10-K and for reviews of the quarterly financial statements included in the Company’s Forms 10-Q. Audit related fees pertain to the work performed during our equity offerings in 2021 and 2020. Tax fees consist of fees for preparation of the Company’s federal and state tax returns. All other fees consist of fees for attendance at the Company’s annual meetings, review of registration statements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BY EMPLOYEES OF WITHUM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part of Withum’s engagement to audit the Company’s financial statements for the years ended December 31, 2021 and 2020 was attributable to work performed by persons other than Withum’s full-time, permanent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APPROVAL OF AUDIT AND NON-AUDIT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2021 and 2020 were approved by the Audit Committee in accordance with its pre-approval policy and the approval requirements of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Celsion Corporation filed with this Annual Report, together with the reports of our independent registered public accountants and Management’s Report on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8"/>
          </w:tcPr>
          <w:p>
            <w:pPr>
              <w:spacing w:after="0" w:line="17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Reports of Independent Registered Public Accounting Firms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Consolidated Balance Sheets</w:t>
              </w:r>
            </w:hyperlink>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600" w:type="dxa"/>
            <w:vAlign w:val="bottom"/>
            <w:gridSpan w:val="8"/>
          </w:tcPr>
          <w:p>
            <w:pPr>
              <w:spacing w:after="0" w:line="17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Consolidated Statements of Operations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Consolidated Statements of Comprehensive Loss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354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Consolidated Statements of Cash Flows</w:t>
              </w:r>
            </w:hyperlink>
          </w:p>
        </w:tc>
        <w:tc>
          <w:tcPr>
            <w:tcW w:w="70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Consolidated Statements of Changes in Stockholders’ Equity</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16">
              <w:r>
                <w:rPr>
                  <w:rFonts w:ascii="Times New Roman" w:cs="Times New Roman" w:eastAsia="Times New Roman" w:hAnsi="Times New Roman"/>
                  <w:sz w:val="18"/>
                  <w:szCs w:val="18"/>
                  <w:b w:val="1"/>
                  <w:bCs w:val="1"/>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r>
      <w:tr>
        <w:trPr>
          <w:trHeight w:val="432"/>
        </w:trPr>
        <w:tc>
          <w:tcPr>
            <w:tcW w:w="4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58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report:</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1100" w:hanging="764"/>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13">
        <w:r>
          <w:rPr>
            <w:rFonts w:ascii="Times New Roman" w:cs="Times New Roman" w:eastAsia="Times New Roman" w:hAnsi="Times New Roman"/>
            <w:sz w:val="18"/>
            <w:szCs w:val="18"/>
            <w:u w:val="single" w:color="auto"/>
            <w:color w:val="0000EE"/>
          </w:rPr>
          <w:t>Asset Purchase Agreement dated as of June 6, 2014, by and between Celsion Corporation and EGEN, Inc., incorporated herein by reference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to Exhibit 2.1 to the Quarterly Report on Form 10-Q of the Company for the quarter ended June 30, 2014.</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14">
        <w:r>
          <w:rPr>
            <w:rFonts w:ascii="Times New Roman" w:cs="Times New Roman" w:eastAsia="Times New Roman" w:hAnsi="Times New Roman"/>
            <w:sz w:val="18"/>
            <w:szCs w:val="18"/>
            <w:u w:val="single" w:color="auto"/>
            <w:color w:val="0000EE"/>
          </w:rPr>
          <w:t>Certificate of Incorporation of Celsion, as amended, incorporated herein by reference to Exhibit 3.1 to the Quarterly Report on Form 10-Q</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of the Company for the quarter ended June 30, 2004.</w:t>
        </w:r>
      </w:hyperlink>
    </w:p>
    <w:p>
      <w:pPr>
        <w:spacing w:after="0" w:line="162" w:lineRule="exact"/>
        <w:rPr>
          <w:sz w:val="20"/>
          <w:szCs w:val="20"/>
          <w:color w:val="auto"/>
        </w:rPr>
      </w:pPr>
    </w:p>
    <w:p>
      <w:pPr>
        <w:jc w:val="both"/>
        <w:ind w:left="1100" w:hanging="719"/>
        <w:spacing w:after="0" w:line="266"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15">
        <w:r>
          <w:rPr>
            <w:rFonts w:ascii="Times New Roman" w:cs="Times New Roman" w:eastAsia="Times New Roman" w:hAnsi="Times New Roman"/>
            <w:sz w:val="18"/>
            <w:szCs w:val="18"/>
            <w:u w:val="single" w:color="auto"/>
            <w:color w:val="0000EE"/>
          </w:rPr>
          <w:t>Certificate of Ownership and Merger of Celsion Corporation (a Maryland Corporation) into Celsion (Delaware) Corporation (inter alia,</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changing the Company’s name to “Celsion Corporation” from “Celsion (Delaware) Corporation”), incorporated herein by reference to</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Exhibit 3.1.3 to the Annual Report of the Company for the year ended September 30, 2000.</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16">
        <w:r>
          <w:rPr>
            <w:rFonts w:ascii="Times New Roman" w:cs="Times New Roman" w:eastAsia="Times New Roman" w:hAnsi="Times New Roman"/>
            <w:sz w:val="18"/>
            <w:szCs w:val="18"/>
            <w:u w:val="single" w:color="auto"/>
            <w:color w:val="0000EE"/>
          </w:rPr>
          <w:t>Certificate of Amendment of the Certificate of Incorporation effective and filed on February 27, 2006, incorporated therein by reference to</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Exhibit 3.1 to the Current Report on Form 8-K of the Company filed on March 1, 2006.</w:t>
        </w:r>
      </w:hyperlink>
    </w:p>
    <w:p>
      <w:pPr>
        <w:spacing w:after="0" w:line="162"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117">
        <w:r>
          <w:rPr>
            <w:rFonts w:ascii="Times New Roman" w:cs="Times New Roman" w:eastAsia="Times New Roman" w:hAnsi="Times New Roman"/>
            <w:sz w:val="18"/>
            <w:szCs w:val="18"/>
            <w:u w:val="single" w:color="auto"/>
            <w:color w:val="0000EE"/>
          </w:rPr>
          <w:t>Certificate of Amendment to Certificate of Incorporation effective October 28, 2013,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Current Report on Form 8-K of the Company filed on October 29, 2013.</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of Amendment to Certificate of Incorporation effective June 15, 2016, incorporated herein by reference to Exhibit 3.1 to the</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Current Report on Form 8-K of the Company, filed on June 15, 2016.</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3.6</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Certificate of Amendment to Certificate of Incorporation, effective May 26, 2017, incorporated herein by reference to Exhibit 3.1 to the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Current Report on Form 8-K of the Company, filed on May 26,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3.7</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 and Restated By-laws of the Company dated June 16, 2020, incorporated by reference to Exhibit 3.1 to the Quarterly Report of</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the Company for the quarter ended June 30, 2020.</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Form of Common Stock Certificate, par value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0.01, incorporated herein by reference to Exhibit 4.1 to the Annual Report of the Company</w:t>
              </w:r>
            </w:hyperlink>
          </w:p>
        </w:tc>
      </w:tr>
      <w:tr>
        <w:trPr>
          <w:trHeight w:val="196"/>
        </w:trPr>
        <w:tc>
          <w:tcPr>
            <w:tcW w:w="110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 the year ended September 30, 2000.</w:t>
              </w:r>
            </w:hyperlink>
          </w:p>
        </w:tc>
        <w:tc>
          <w:tcPr>
            <w:tcW w:w="7300" w:type="dxa"/>
            <w:vAlign w:val="bottom"/>
            <w:gridSpan w:val="14"/>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4.2</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Representative’s Common Stock Purchase Warrant, incorporated herein by reference to Exhibit 4.2 to the Current Report on Form</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8-K of the Company, filed on October 31,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4.3</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Placement Agent Common Stock Purchase Warrant incorporated herein by reference to Exhibit 4.4 to the Current Report on Form</w:t>
              </w:r>
            </w:hyperlink>
          </w:p>
        </w:tc>
      </w:tr>
      <w:tr>
        <w:trPr>
          <w:trHeight w:val="196"/>
        </w:trPr>
        <w:tc>
          <w:tcPr>
            <w:tcW w:w="110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8-K of the Company, filed on July 11, 2017.</w:t>
              </w:r>
            </w:hyperlink>
          </w:p>
        </w:tc>
        <w:tc>
          <w:tcPr>
            <w:tcW w:w="694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4.4</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Series AA Warrant, incorporated herein by reference to Exhibit 4.26 to the Registration Statement to the Registration Statement on</w:t>
              </w:r>
            </w:hyperlink>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S-1 of the Company, filed on February 13, 2017.</w:t>
              </w:r>
            </w:hyperlink>
          </w:p>
        </w:tc>
        <w:tc>
          <w:tcPr>
            <w:tcW w:w="6200" w:type="dxa"/>
            <w:vAlign w:val="bottom"/>
            <w:gridSpan w:val="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Amended and Restated Warrant (issued under First Amendment of Venture Loan and Security Agreement, dated as of August 1,</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2020, by and among Celsion Corporation, Horizon Funding I, LLC, Horizon Funding Trust 2019-1, and Horizon Technology Finance</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Corporation, as Collateral Agent), incorporated herein by reference to Exhibit 4.1 to the Current Report on Form 8-K of the Company, filed</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on September 4, 2020.</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4.6</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Exchange Warrant, incorporated herein by reference to Exhibit 4.1 to the Current Report on Form 8-K of the Company, filed on</w:t>
              </w:r>
            </w:hyperlink>
          </w:p>
        </w:tc>
      </w:tr>
      <w:tr>
        <w:trPr>
          <w:trHeight w:val="196"/>
        </w:trPr>
        <w:tc>
          <w:tcPr>
            <w:tcW w:w="110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March 13, 2020.</w:t>
              </w:r>
            </w:hyperlink>
          </w:p>
        </w:tc>
        <w:tc>
          <w:tcPr>
            <w:tcW w:w="8940" w:type="dxa"/>
            <w:vAlign w:val="bottom"/>
            <w:gridSpan w:val="1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4.7</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Description of Securities of the Registrant, incorporated herein by reference to Exhibit 4.5 to the Annual Report on Form 10-K of the</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Company, filed on March 25, 2020.</w:t>
              </w:r>
            </w:hyperlink>
          </w:p>
        </w:tc>
      </w:tr>
      <w:tr>
        <w:trPr>
          <w:trHeight w:val="20"/>
        </w:trPr>
        <w:tc>
          <w:tcPr>
            <w:tcW w:w="110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Celsion Corporation 2007 Stock Incentive Plan, as amended, incorporated herein by reference to Exhibit 10.1 to the Current Report on Form</w:t>
              </w:r>
            </w:hyperlink>
          </w:p>
        </w:tc>
      </w:tr>
      <w:tr>
        <w:trPr>
          <w:trHeight w:val="196"/>
        </w:trPr>
        <w:tc>
          <w:tcPr>
            <w:tcW w:w="1100" w:type="dxa"/>
            <w:vAlign w:val="bottom"/>
          </w:tcPr>
          <w:p>
            <w:pPr>
              <w:spacing w:after="0"/>
              <w:rPr>
                <w:sz w:val="17"/>
                <w:szCs w:val="17"/>
                <w:color w:val="auto"/>
              </w:rPr>
            </w:pPr>
          </w:p>
        </w:tc>
        <w:tc>
          <w:tcPr>
            <w:tcW w:w="3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8-K of the Company, filed on May 16, 2017.</w:t>
              </w:r>
            </w:hyperlink>
          </w:p>
        </w:tc>
        <w:tc>
          <w:tcPr>
            <w:tcW w:w="6920" w:type="dxa"/>
            <w:vAlign w:val="bottom"/>
            <w:gridSpan w:val="12"/>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r>
      <w:tr>
        <w:trPr>
          <w:trHeight w:val="196"/>
        </w:trPr>
        <w:tc>
          <w:tcPr>
            <w:tcW w:w="1100" w:type="dxa"/>
            <w:vAlign w:val="bottom"/>
          </w:tcPr>
          <w:p>
            <w:pPr>
              <w:spacing w:after="0"/>
              <w:rPr>
                <w:sz w:val="17"/>
                <w:szCs w:val="17"/>
                <w:color w:val="auto"/>
              </w:rPr>
            </w:pPr>
          </w:p>
        </w:tc>
        <w:tc>
          <w:tcPr>
            <w:tcW w:w="5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Report on Form 10-Q of the Company for the quarter ended September 30, 2017.</w:t>
              </w:r>
            </w:hyperlink>
          </w:p>
        </w:tc>
        <w:tc>
          <w:tcPr>
            <w:tcW w:w="4280" w:type="dxa"/>
            <w:vAlign w:val="bottom"/>
            <w:gridSpan w:val="5"/>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Celsion Corporation 2018 Stock Incentive Plan, incorporated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Company filed May 15, 2018.</w:t>
              </w:r>
            </w:hyperlink>
          </w:p>
        </w:tc>
        <w:tc>
          <w:tcPr>
            <w:tcW w:w="7960" w:type="dxa"/>
            <w:vAlign w:val="bottom"/>
            <w:gridSpan w:val="16"/>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First Amendment to the Celsion Corporation 2018 Stock Incentive Plan, incorporated by reference to Exhibit 10.1 to the Current Report on</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8-K of the Company, filed on May 15, 2020.</w:t>
              </w:r>
            </w:hyperlink>
          </w:p>
        </w:tc>
      </w:tr>
      <w:tr>
        <w:trPr>
          <w:trHeight w:val="20"/>
        </w:trPr>
        <w:tc>
          <w:tcPr>
            <w:tcW w:w="110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Second Amendment to the Celsion Corporation 2018 Stock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3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on Form 8-K of the Company, filed on June 16, 2020.</w:t>
              </w:r>
            </w:hyperlink>
          </w:p>
        </w:tc>
        <w:tc>
          <w:tcPr>
            <w:tcW w:w="626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10.6***</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Employment Agreement, effective March 30, 2016, between Celsion Corporation and Mr. Michael H. Tardugno,</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incorporated by reference to Exhibit 10.8 to the Annual Report of the Company filed on March 30, 2016.</w:t>
              </w:r>
            </w:hyperlink>
          </w:p>
        </w:tc>
      </w:tr>
      <w:tr>
        <w:trPr>
          <w:trHeight w:val="20"/>
        </w:trPr>
        <w:tc>
          <w:tcPr>
            <w:tcW w:w="1100" w:type="dxa"/>
            <w:vAlign w:val="bottom"/>
          </w:tcPr>
          <w:p>
            <w:pPr>
              <w:spacing w:after="0" w:line="20" w:lineRule="exact"/>
              <w:rPr>
                <w:sz w:val="1"/>
                <w:szCs w:val="1"/>
                <w:color w:val="auto"/>
              </w:rPr>
            </w:pPr>
          </w:p>
        </w:tc>
        <w:tc>
          <w:tcPr>
            <w:tcW w:w="6360" w:type="dxa"/>
            <w:vAlign w:val="bottom"/>
            <w:gridSpan w:val="1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10.7***</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Offer Letter, entered into on June 15, 2010, between the Company and Jeffrey W. Church, incorporated herein by reference to</w:t>
              </w:r>
            </w:hyperlink>
          </w:p>
        </w:tc>
      </w:tr>
      <w:tr>
        <w:trPr>
          <w:trHeight w:val="196"/>
        </w:trPr>
        <w:tc>
          <w:tcPr>
            <w:tcW w:w="1100" w:type="dxa"/>
            <w:vAlign w:val="bottom"/>
          </w:tcPr>
          <w:p>
            <w:pPr>
              <w:spacing w:after="0"/>
              <w:rPr>
                <w:sz w:val="17"/>
                <w:szCs w:val="17"/>
                <w:color w:val="auto"/>
              </w:rPr>
            </w:pPr>
          </w:p>
        </w:tc>
        <w:tc>
          <w:tcPr>
            <w:tcW w:w="6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Exhibit 10.1 to the Current Report on Form 8-K of the Company filed on June 18, 2010.</w:t>
              </w:r>
            </w:hyperlink>
          </w:p>
        </w:tc>
        <w:tc>
          <w:tcPr>
            <w:tcW w:w="3780" w:type="dxa"/>
            <w:vAlign w:val="bottom"/>
            <w:gridSpan w:val="4"/>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10.8*</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Patent License Agreement between the Company and Duke University dated November 10, 1999, incorporated herein by reference to</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Exhibit 10.9 to the Annual Report of the Company for the year ended September 30, 1999.</w:t>
              </w:r>
            </w:hyperlink>
          </w:p>
        </w:tc>
        <w:tc>
          <w:tcPr>
            <w:tcW w:w="20" w:type="dxa"/>
            <w:vAlign w:val="bottom"/>
          </w:tcPr>
          <w:p>
            <w:pPr>
              <w:spacing w:after="0"/>
              <w:rPr>
                <w:sz w:val="17"/>
                <w:szCs w:val="17"/>
                <w:color w:val="auto"/>
              </w:rPr>
            </w:pPr>
          </w:p>
        </w:tc>
      </w:tr>
      <w:tr>
        <w:trPr>
          <w:trHeight w:val="459"/>
        </w:trPr>
        <w:tc>
          <w:tcPr>
            <w:tcW w:w="1100" w:type="dxa"/>
            <w:vAlign w:val="bottom"/>
            <w:tcBorders>
              <w:bottom w:val="single" w:sz="8" w:color="auto"/>
            </w:tcBorders>
          </w:tcPr>
          <w:p>
            <w:pPr>
              <w:spacing w:after="0"/>
              <w:rPr>
                <w:sz w:val="24"/>
                <w:szCs w:val="24"/>
                <w:color w:val="auto"/>
              </w:rPr>
            </w:pPr>
          </w:p>
        </w:tc>
        <w:tc>
          <w:tcPr>
            <w:tcW w:w="5000" w:type="dxa"/>
            <w:vAlign w:val="bottom"/>
            <w:tcBorders>
              <w:top w:val="single" w:sz="8" w:color="0000EE"/>
              <w:bottom w:val="single" w:sz="8" w:color="auto"/>
            </w:tcBorders>
            <w:gridSpan w:val="13"/>
          </w:tcPr>
          <w:p>
            <w:pPr>
              <w:ind w:left="4440"/>
              <w:spacing w:after="0"/>
              <w:rPr>
                <w:sz w:val="20"/>
                <w:szCs w:val="20"/>
                <w:color w:val="auto"/>
              </w:rPr>
            </w:pPr>
            <w:r>
              <w:rPr>
                <w:rFonts w:ascii="Times New Roman" w:cs="Times New Roman" w:eastAsia="Times New Roman" w:hAnsi="Times New Roman"/>
                <w:sz w:val="18"/>
                <w:szCs w:val="18"/>
                <w:color w:val="auto"/>
              </w:rPr>
              <w:t>97</w:t>
            </w:r>
          </w:p>
        </w:tc>
        <w:tc>
          <w:tcPr>
            <w:tcW w:w="8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10.9*</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License Agreement dated July 18, 2003, between the Company and Duke University, incorporated herein by reference to Exhibit 10.1 to the</w:t>
              </w:r>
            </w:hyperlink>
          </w:p>
        </w:tc>
      </w:tr>
      <w:tr>
        <w:trPr>
          <w:trHeight w:val="196"/>
        </w:trPr>
        <w:tc>
          <w:tcPr>
            <w:tcW w:w="1100" w:type="dxa"/>
            <w:vAlign w:val="bottom"/>
          </w:tcPr>
          <w:p>
            <w:pPr>
              <w:spacing w:after="0"/>
              <w:rPr>
                <w:sz w:val="17"/>
                <w:szCs w:val="17"/>
                <w:color w:val="auto"/>
              </w:rPr>
            </w:pPr>
          </w:p>
        </w:tc>
        <w:tc>
          <w:tcPr>
            <w:tcW w:w="6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Registration Statement on Form S-3 (File No. 333-108318) filed on August 28, 2003.</w:t>
              </w:r>
            </w:hyperlink>
          </w:p>
        </w:tc>
        <w:tc>
          <w:tcPr>
            <w:tcW w:w="3980" w:type="dxa"/>
            <w:vAlign w:val="bottom"/>
            <w:gridSpan w:val="5"/>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Development, Product Supply and Commercialization Agreement, effective December 5, 2008, by and between the Company and Yakult</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Honsha Co., Ltd., incorporated herein by reference to Exhibit 10.15 to the Annual Report of the Company for the year ended December 31,</w:t>
              </w:r>
            </w:hyperlink>
          </w:p>
        </w:tc>
      </w:tr>
      <w:tr>
        <w:trPr>
          <w:trHeight w:val="196"/>
        </w:trPr>
        <w:tc>
          <w:tcPr>
            <w:tcW w:w="1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38">
              <w:r>
                <w:rPr>
                  <w:rFonts w:ascii="Times New Roman" w:cs="Times New Roman" w:eastAsia="Times New Roman" w:hAnsi="Times New Roman"/>
                  <w:sz w:val="18"/>
                  <w:szCs w:val="18"/>
                  <w:color w:val="0000EE"/>
                  <w:w w:val="93"/>
                </w:rPr>
                <w:t>2008.</w:t>
              </w:r>
            </w:hyperlink>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10.11*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2nd Amendment to The Development, Product Supply and Commercialization Agreement, effective January 7, 2011, by and between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Company and Yakult Honsha Co., Ltd.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Company filed on January 18, 2011.</w:t>
              </w:r>
            </w:hyperlink>
          </w:p>
        </w:tc>
        <w:tc>
          <w:tcPr>
            <w:tcW w:w="7520" w:type="dxa"/>
            <w:vAlign w:val="bottom"/>
            <w:gridSpan w:val="8"/>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10.12</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Lease Agreement, executed July 21, 2011, by and between Celsion Corporation and Brandywine Operating Partnership, L.P., incorporated</w:t>
              </w:r>
            </w:hyperlink>
          </w:p>
        </w:tc>
      </w:tr>
      <w:tr>
        <w:trPr>
          <w:trHeight w:val="196"/>
        </w:trPr>
        <w:tc>
          <w:tcPr>
            <w:tcW w:w="1100" w:type="dxa"/>
            <w:vAlign w:val="bottom"/>
          </w:tcPr>
          <w:p>
            <w:pPr>
              <w:spacing w:after="0"/>
              <w:rPr>
                <w:sz w:val="17"/>
                <w:szCs w:val="17"/>
                <w:color w:val="auto"/>
              </w:rPr>
            </w:pPr>
          </w:p>
        </w:tc>
        <w:tc>
          <w:tcPr>
            <w:tcW w:w="7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herein by reference to Exhibit 10.1 to the Current Report on Form 8-K of the Company filed on July 25, 2011.</w:t>
              </w:r>
            </w:hyperlink>
          </w:p>
        </w:tc>
        <w:tc>
          <w:tcPr>
            <w:tcW w:w="2200" w:type="dxa"/>
            <w:vAlign w:val="bottom"/>
            <w:gridSpan w:val="3"/>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First Amendment to Lease Agreement, executed April 20, 2017, by and between Celsion Corporation and Lenox Drive Office Park, LLC,</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herein by reference to Exhibit 10.1 to the Current Report on Form 10-Q of the Company filed on November 14, 2017.</w:t>
              </w:r>
            </w:hyperlink>
          </w:p>
        </w:tc>
      </w:tr>
      <w:tr>
        <w:trPr>
          <w:trHeight w:val="20"/>
        </w:trPr>
        <w:tc>
          <w:tcPr>
            <w:tcW w:w="1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Technology Development Agreement effective as of May 7, 2012, by and between Celsion Corporation and Zhejiang Hisun Pharmaceutical</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 Ltd., incorporated herein by reference to Exhibit 10.2 to the Quarterly Report on Form 10-Q of the Company for the quarter ended June</w:t>
              </w:r>
            </w:hyperlink>
          </w:p>
        </w:tc>
      </w:tr>
      <w:tr>
        <w:trPr>
          <w:trHeight w:val="196"/>
        </w:trPr>
        <w:tc>
          <w:tcPr>
            <w:tcW w:w="11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30, 2012.</w:t>
              </w:r>
            </w:hyperlink>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Technology Development Contract dated as of January 18, 2013, by and between Celsion Corporation and Zhejiang Hisun Pharmaceutical</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Co. Ltd.,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March 31, 2013.</w:t>
              </w:r>
            </w:hyperlink>
          </w:p>
        </w:tc>
        <w:tc>
          <w:tcPr>
            <w:tcW w:w="89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Employment Offer Letter effective as of June 2, 2014, between the Company and Khursheed Anwer incorporated herein by reference to</w:t>
              </w:r>
            </w:hyperlink>
          </w:p>
        </w:tc>
      </w:tr>
      <w:tr>
        <w:trPr>
          <w:trHeight w:val="196"/>
        </w:trPr>
        <w:tc>
          <w:tcPr>
            <w:tcW w:w="110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Exhibit 10.27 to the Annual Report of the Company for the year ended December 31, 2014.</w:t>
              </w:r>
            </w:hyperlink>
          </w:p>
        </w:tc>
        <w:tc>
          <w:tcPr>
            <w:tcW w:w="3540" w:type="dxa"/>
            <w:vAlign w:val="bottom"/>
            <w:gridSpan w:val="4"/>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Amended and Restated Change in Control Agreement dated as of September 6, 2016, by and between the Company and Michael 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Tardugno,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September 30, 2016.</w:t>
              </w:r>
            </w:hyperlink>
          </w:p>
        </w:tc>
        <w:tc>
          <w:tcPr>
            <w:tcW w:w="8640" w:type="dxa"/>
            <w:vAlign w:val="bottom"/>
            <w:gridSpan w:val="9"/>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Amended and Restated Change in Control Agreement dated as of September 6, 2016, by and between the Company and Nicholas Borys,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M.D., incorporated herein by reference to Exhibit 10.2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September 30, 2016.</w:t>
              </w:r>
            </w:hyperlink>
          </w:p>
        </w:tc>
        <w:tc>
          <w:tcPr>
            <w:tcW w:w="8640" w:type="dxa"/>
            <w:vAlign w:val="bottom"/>
            <w:gridSpan w:val="9"/>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Amended and Restated Change in Control Agreement dated as of September 6, 2016, by and between the Company and Jeffrey W. Church,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incorporated herein by reference to Exhibit 10.3 to the Quarterly Report on Form 10-Q of the Company for the quarter ended September 30,</w:t>
              </w:r>
            </w:hyperlink>
          </w:p>
        </w:tc>
      </w:tr>
      <w:tr>
        <w:trPr>
          <w:trHeight w:val="196"/>
        </w:trPr>
        <w:tc>
          <w:tcPr>
            <w:tcW w:w="1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7">
              <w:r>
                <w:rPr>
                  <w:rFonts w:ascii="Times New Roman" w:cs="Times New Roman" w:eastAsia="Times New Roman" w:hAnsi="Times New Roman"/>
                  <w:sz w:val="18"/>
                  <w:szCs w:val="18"/>
                  <w:color w:val="0000EE"/>
                  <w:w w:val="93"/>
                </w:rPr>
                <w:t>2016.</w:t>
              </w:r>
            </w:hyperlink>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Amended and Restated Change in Control Agreement dated as of September 6, 2016, by and between the Company and Timothy J.</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Tumminello, incorporated herein by reference to Exhibit 10.4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September 30, 2016.</w:t>
              </w:r>
            </w:hyperlink>
          </w:p>
        </w:tc>
        <w:tc>
          <w:tcPr>
            <w:tcW w:w="8640" w:type="dxa"/>
            <w:vAlign w:val="bottom"/>
            <w:gridSpan w:val="9"/>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Securities Purchase Agreement incorporated herein by reference to Exhibit 10.33 to the Registration Statement on Form S-1 of the</w:t>
              </w:r>
            </w:hyperlink>
          </w:p>
        </w:tc>
      </w:tr>
      <w:tr>
        <w:trPr>
          <w:trHeight w:val="196"/>
        </w:trPr>
        <w:tc>
          <w:tcPr>
            <w:tcW w:w="110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Company filed on February 13, 2017.</w:t>
              </w:r>
            </w:hyperlink>
          </w:p>
        </w:tc>
        <w:tc>
          <w:tcPr>
            <w:tcW w:w="7420" w:type="dxa"/>
            <w:vAlign w:val="bottom"/>
            <w:gridSpan w:val="7"/>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10.22</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Lease Agreement dated January 15, 2018, by and between Celsion Corporation and HudsonAlpha Institute of Biotechnology for office and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lab space located in Huntsville, Alabama incorporated herein by reference to Exhibit 10.1 to the Quarterly Report on Form 10-Q of the</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Company for the quarter ended March 31, 2018.</w:t>
              </w:r>
            </w:hyperlink>
          </w:p>
        </w:tc>
      </w:tr>
      <w:tr>
        <w:trPr>
          <w:trHeight w:val="20"/>
        </w:trPr>
        <w:tc>
          <w:tcPr>
            <w:tcW w:w="110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6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Venture Loan and Security Agreement dated June 27, 2018, by and between Celsion Corporation and Horizon Technology Finance</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Corporation incorporated herein by reference to Exhibit 10.0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June 30, 2018.</w:t>
              </w:r>
            </w:hyperlink>
          </w:p>
        </w:tc>
        <w:tc>
          <w:tcPr>
            <w:tcW w:w="90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9"/>
          </w:tcPr>
          <w:p>
            <w:pPr>
              <w:ind w:left="4440"/>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02" w:name="page103"/>
    <w:bookmarkEnd w:id="102"/>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10.24</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First Amendment of Venture Loan and Security Agreement, dated as of August 1, 2020, by and among Celsion Corporation, Horizon</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Funding I, LLC, Horizon Funding Trust 2019-1, and Horizon Technology Finance Corporation, as Collateral Agent, incorporated herein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reference to Exhibit 10.1 to the Current Report on Form 8-K of the Company filed with the SEC on September 4,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10.25</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Common Stock Purchase Agreement, dated August 31, 2018 between Celsion Corporation and Aspire Capital Fund, LLC incorporated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reference to Exhibit 10.1 to the Current Report on Form 8-K of the Company filed on September 4, 2018.</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10.26</w:t>
            </w: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vMerge w:val="continue"/>
          </w:tcPr>
          <w:p>
            <w:pPr>
              <w:spacing w:after="0"/>
              <w:rPr>
                <w:sz w:val="24"/>
                <w:szCs w:val="24"/>
                <w:color w:val="auto"/>
              </w:rPr>
            </w:pPr>
          </w:p>
        </w:tc>
        <w:tc>
          <w:tcPr>
            <w:tcW w:w="1440" w:type="dxa"/>
            <w:vAlign w:val="bottom"/>
            <w:gridSpan w:val="3"/>
            <w:vMerge w:val="restart"/>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Capital on Demand</w:t>
              </w:r>
            </w:hyperlink>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88"/>
              </w:rPr>
              <w:t>TM</w:t>
            </w:r>
          </w:p>
        </w:tc>
        <w:tc>
          <w:tcPr>
            <w:tcW w:w="8480" w:type="dxa"/>
            <w:vAlign w:val="bottom"/>
            <w:gridSpan w:val="12"/>
            <w:vMerge w:val="restart"/>
          </w:tcPr>
          <w:p>
            <w:pPr>
              <w:ind w:left="80"/>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Sales Agreement, dated December 4, 2018, between Celsion Corporation and JonesTrading Institutional Services</w:t>
              </w:r>
            </w:hyperlink>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144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480" w:type="dxa"/>
            <w:vAlign w:val="bottom"/>
            <w:tcBorders>
              <w:bottom w:val="single" w:sz="8" w:color="0000EE"/>
            </w:tcBorders>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9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LLC incorporated by reference to Exhibit 10.1 to the Current Report on Form 8-K of the Company filed on December 4, 2018.</w:t>
              </w:r>
            </w:hyperlink>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10.27</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Common Stock Purchase Agreement, dated October 28, 2019 between Celsion Corporation and Capital Fund, LLC incorporated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10.1 to the Current Report on Form 8-K of the Company filed on October 28, 2019.</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10.28</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Placement Agent Agreement, dated January 22, 2021, between Celsion Corporation and A.G.P./Alliance Global Partners, incorporated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reference to Exhibit 1.1 to the Current Report on Form 8-K of the Company, filed on January 25,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10.29</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Securities Purchase Agreement between Celsion Corporation and the investors therein, dated January 22, 2021, incorporated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reference to Exhibit 10.1 to the Current Report on Form 8-K of the Company, filed on January 5,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10.30</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Securities Purchase Agreement between Celsion Corporation and the investors therein, dated February 27, 2020, incorporated by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7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reference to Exhibit 10.1 to the Current Report on Form 8-K of the Company, filed on March 3, 2020.</w:t>
              </w:r>
            </w:hyperlink>
          </w:p>
        </w:tc>
        <w:tc>
          <w:tcPr>
            <w:tcW w:w="28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Settlement Agreement and Release, by and between the plaintiff to the shareholder action captioned O’Connor v. Braun, et al., N.J. Super.,</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Dkt. No. MERC-00068-19, William J. O’Connor, derivatively on behalf of Celsion Corporation and individually on behalf of himself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all other similarly situated stockholders of Celsion Corporation and defendants, incorporated herein by reference to Exhibit 10.2 to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Current Report on Form 8-K of the Company, filed on June 16,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Exercise Agreement, incorporated by reference to Exhibit 10.1 to the Current Report on Form 8-K of the Company, filed on March</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13, 2020.</w:t>
              </w:r>
            </w:hyperlink>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17"/>
          </w:tcPr>
          <w:p>
            <w:pPr>
              <w:spacing w:after="0"/>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Subsidiaries of Celsion Corporation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17"/>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Consent of WithumSmith+Brown, PC, independent registered public accounting firm for the Company.</w:t>
              </w:r>
            </w:hyperlink>
          </w:p>
        </w:tc>
        <w:tc>
          <w:tcPr>
            <w:tcW w:w="0" w:type="dxa"/>
            <w:vAlign w:val="bottom"/>
          </w:tcPr>
          <w:p>
            <w:pPr>
              <w:spacing w:after="0"/>
              <w:rPr>
                <w:sz w:val="1"/>
                <w:szCs w:val="1"/>
                <w:color w:val="auto"/>
              </w:rPr>
            </w:pPr>
          </w:p>
        </w:tc>
      </w:tr>
      <w:tr>
        <w:trPr>
          <w:trHeight w:val="41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31.1+</w:t>
            </w:r>
          </w:p>
        </w:tc>
        <w:tc>
          <w:tcPr>
            <w:tcW w:w="750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Certification of Chief Executive Officer pursuant to Section 302 of the Sarbanes-Oxley Act of 2002.</w:t>
              </w:r>
            </w:hyperlink>
          </w:p>
        </w:tc>
        <w:tc>
          <w:tcPr>
            <w:tcW w:w="2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9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of 2002.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of 2002.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104</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14"/>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for the fiscal year ended December 31, 2019, formatted in XBRL (Extensible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Business Reporting Language): (i) the audited Consolidated Balance Sheets, (ii) the audited Consolidated Statements of Operations, (iii)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audited Consolidated Statements of Comprehensive Loss, (iv) the audited Consolidated Statements of Cash Flows, (v) the audited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and (vi) Notes to Financial Statements.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00" w:hanging="629"/>
        <w:spacing w:after="0" w:line="261" w:lineRule="auto"/>
        <w:tabs>
          <w:tab w:leader="none" w:pos="11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00" w:hanging="657"/>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00" w:hanging="648"/>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00" w:hanging="696"/>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9" w:lineRule="exact"/>
        <w:rPr>
          <w:sz w:val="20"/>
          <w:szCs w:val="20"/>
          <w:color w:val="auto"/>
        </w:rPr>
      </w:pPr>
    </w:p>
    <w:p>
      <w:pPr>
        <w:ind w:left="1100" w:hanging="741"/>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648" w:right="339" w:bottom="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CELSION CORPORATION</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H. TARDUGNO</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406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 President and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184"/>
        </w:trPr>
        <w:tc>
          <w:tcPr>
            <w:tcW w:w="40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(Michael H. Tardugno)</w:t>
            </w:r>
          </w:p>
        </w:tc>
        <w:tc>
          <w:tcPr>
            <w:tcW w:w="4500" w:type="dxa"/>
            <w:vAlign w:val="bottom"/>
            <w:gridSpan w:val="3"/>
          </w:tcPr>
          <w:p>
            <w:pPr>
              <w:ind w:left="220"/>
              <w:spacing w:after="0" w:line="184" w:lineRule="exact"/>
              <w:rPr>
                <w:sz w:val="20"/>
                <w:szCs w:val="20"/>
                <w:color w:val="auto"/>
              </w:rPr>
            </w:pPr>
            <w:r>
              <w:rPr>
                <w:rFonts w:ascii="Times New Roman" w:cs="Times New Roman" w:eastAsia="Times New Roman" w:hAnsi="Times New Roman"/>
                <w:sz w:val="18"/>
                <w:szCs w:val="18"/>
                <w:color w:val="auto"/>
              </w:rPr>
              <w:t>Chief Executive Officer</w:t>
            </w:r>
          </w:p>
        </w:tc>
        <w:tc>
          <w:tcPr>
            <w:tcW w:w="2680" w:type="dxa"/>
            <w:vAlign w:val="bottom"/>
          </w:tcPr>
          <w:p>
            <w:pPr>
              <w:spacing w:after="0"/>
              <w:rPr>
                <w:sz w:val="16"/>
                <w:szCs w:val="16"/>
                <w:color w:val="auto"/>
              </w:rPr>
            </w:pPr>
          </w:p>
        </w:tc>
      </w:tr>
      <w:tr>
        <w:trPr>
          <w:trHeight w:val="234"/>
        </w:trPr>
        <w:tc>
          <w:tcPr>
            <w:tcW w:w="4060" w:type="dxa"/>
            <w:vAlign w:val="bottom"/>
          </w:tcPr>
          <w:p>
            <w:pPr>
              <w:spacing w:after="0"/>
              <w:rPr>
                <w:sz w:val="20"/>
                <w:szCs w:val="20"/>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20"/>
                <w:szCs w:val="20"/>
                <w:color w:val="auto"/>
              </w:rPr>
            </w:pPr>
          </w:p>
        </w:tc>
      </w:tr>
      <w:tr>
        <w:trPr>
          <w:trHeight w:val="43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CONSTANTINE J. KARDARAS</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(Constantine J. Kardaras)</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TIMOTHY J. TUMMINELLO</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Controller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(Timothy J. Tumminello)</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AUGUSTINE CHOW</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(Augustine Chow,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FREDERICK J. FRITZ</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W. HOOPER</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W. Hooper)</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DONALD BRAUN</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PELLIZZARI</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Christine A. Pellizzari)</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 Stacy R Lindborg)</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9"/>
        </w:trPr>
        <w:tc>
          <w:tcPr>
            <w:tcW w:w="40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Celsion Corporation (the “Company”) as of December 31, 2021 and 2020, the related consolidated statements of operations, comprehensive loss,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 of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Matter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5, the Company’s Goodwill is tested for impairment at least annually on September 30 (or under certain circumstances, more frequently) using either a qualitative or quantitative approach. Under the quantitative approach, the Company compares the fair value of its singular reporting unit to its carrying amount, including goodwill. The Company uses the market capitalization to estimate the fair value of the reporting unit, which is based on the Company’s year-end stock price and shares of stock that are freely tradeable. As further discussed in Note 5, during the year ended December 31, 2021, the Company recorded a $2 million goodwill impairment charge.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Auditing the Company’s quantitative goodwill impairment tests involved subjective auditor judgment related to the determination of the reporting unit and due to the significant estimation required in management’s determination of the fair value of the reporting unit.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Matter Was Addressed in the Audit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management’s process for developing the fair value estimate and evaluation of significant inputs. This included testing the completeness, accuracy, and relevance of underlying data used.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 of In-process research and development (IPR&amp;D)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Matter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 has $13.3 million In-process research and development asset (“IPR&amp;D”) as of December 31, 2021. The Company conducts impairment testing of indefinite-lived intangible assets on September 30 of each year. Management tests indefinite-lived intangible assets for impairment between annual tests if an event occurs or circumstances change that would indicate the carrying amount may be impaired. An impairment loss is recognized when the asset’s carrying value exceeds its fair value. Due to the continuing slowdown in investment by public capital markets in the biotech industry and its impact on market capitalization rates in this sector during the fourth quarter of 2021, the Company also conducted a valuation analysis of its IPR&amp;D for the ovarian cancer indication as of December 31, 2021. Based on the assessment performed as of December 31, 2021, management determined that the fair value of the IPR&amp;D asset exceeded its carrying value and was not impaired. The estimated fair value of IPR&amp;D was determined using the multi-period excess earnings approach. Estimating the fair value of the IPR&amp;D asset requires various assumptions, including revenue and expense estimates, required costs to complete commercialization, timing and probability of commercialization, and the discount rate.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IPR&amp;D involved subjective auditor judgment, subjectivity, and effort in performing procedures relating to management’s significant assumptions. In addition, the audit effort involved the use of professionals with specialized skill and knowledge in performing these procedures and evaluating the audit evidence obtained.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Matter Was Addressed in the Audit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management’s process for developing the fair value estimate. This included testing the completeness, accuracy, and relevance of underlying data used, and evaluating management’s assumption related to revenue and expense estimates, required costs to complete commercialization, timing and probability of commercialization, and the discount rate. Evaluating management’s assumptions included assessing the reasonableness of key assumptions by considering the historical results of peer companies, consistency with third-party industry data, and whether the assumptions were consistent with evidence obtained in other areas of the audit. Professionals with specialized skill and knowledge were used to assist in evaluating the appropriateness of the multi-period excess earnings approach and the reasonableness of certain significant assumptions, including the discount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 of earn-out milestone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Matter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12 to the consolidated financial statements, the Company has $5.4 million Earn-out milestone liability as of December 31, 2021 representing the fair value of additional amounts that management believes may be paid related to the acquisition of EGEN, Inc. The determination of the recorded amount of the contingent consideration liabilities requires the Company to make significant estimates and assumptions.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identified the measurement of the Earn-out milestone liability as a critical audit matter because auditing the Company’s valuation of the liability involved complex and challenging auditor judgment as the inputs to such valuation, such as the estimated probability of achieving the milestone, determining the settlement amount, and the assumed timing of milestone, are largely unobservable.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Matter Was Addressed in the Audit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test the estimated fair value of Earn-out milestone liability, our audit procedures included, among others, inspecting the terms of the executed agreement, testing the key inputs and significant assumptions discussed above. We evaluated the key assumptions and judgments considering observable industry and economic trends and standards, external data sources and regulatory factors. Our procedures included evaluating the data sources used by management in determining its assumptions and, where necessary, included an evaluation of available information that either corroborated or contradicted management’s conclusions. We involved our valuation specialists to assess the Company’s evaluation.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19,586,272</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17,164,177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29,803,095</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108,844</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6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2,447,413</w:t>
            </w:r>
          </w:p>
        </w:tc>
        <w:tc>
          <w:tcPr>
            <w:tcW w:w="5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1,660,695</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51,945,624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18,824,872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6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477,011</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294,551</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1,383,446</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1,845,823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13,366,234</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1,976,101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690,995</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1,047,336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113,660</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6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183,489</w:t>
            </w:r>
          </w:p>
        </w:tc>
        <w:tc>
          <w:tcPr>
            <w:tcW w:w="5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58,761</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21,624,164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18,407,915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74,046,799</w:t>
            </w:r>
          </w:p>
        </w:tc>
        <w:tc>
          <w:tcPr>
            <w:tcW w:w="3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37,527,338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color w:val="auto"/>
                <w:w w:val="95"/>
              </w:rPr>
              <w:t>F-3</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2,547,251</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2,244,847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3,173,537</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2,458,532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1,116,663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548,870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433,413</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6,769,658</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6,753,455</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5,396,000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7,018,000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5,854,461</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3,934,497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230,749</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710,305</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18,250,868</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18,916,257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 outstanding</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 and 2020)</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5,770,538 and 2,713,424 shares</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issued at December 31, 2021 and 2020, respectively, and 5,770,516 and 2,713,402 shares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 and 2020, respectively)</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57,705</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388,600,979</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330,669,476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(7,974)</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(332,769,591)</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(312,000,341)</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55,881,119</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18,696,269</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(22 shares at December 31, 2021 and 2020)</w:t>
            </w:r>
          </w:p>
        </w:tc>
        <w:tc>
          <w:tcPr>
            <w:tcW w:w="6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(85,188)</w:t>
            </w:r>
          </w:p>
        </w:tc>
        <w:tc>
          <w:tcPr>
            <w:tcW w:w="5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55,795,931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18,611,081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74,046,799</w:t>
            </w:r>
          </w:p>
        </w:tc>
        <w:tc>
          <w:tcPr>
            <w:tcW w:w="3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37,527,338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color w:val="auto"/>
                <w:w w:val="95"/>
              </w:rPr>
              <w:t>F-4</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37"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3488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6" w:lineRule="exact"/>
        <w:rPr>
          <w:sz w:val="20"/>
          <w:szCs w:val="20"/>
          <w:color w:val="auto"/>
        </w:rPr>
      </w:pPr>
    </w:p>
    <w:p>
      <w:pPr>
        <w:jc w:val="both"/>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3488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development and licensing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1080" w:val="left"/>
          <w:tab w:leader="none" w:pos="2000" w:val="left"/>
          <w:tab w:leader="none" w:pos="3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500,000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171450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-119380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880"/>
        <w:spacing w:after="0"/>
        <w:tabs>
          <w:tab w:leader="none" w:pos="2860" w:val="left"/>
        </w:tabs>
        <w:rPr>
          <w:sz w:val="20"/>
          <w:szCs w:val="20"/>
          <w:color w:val="auto"/>
        </w:rPr>
      </w:pPr>
      <w:r>
        <w:rPr>
          <w:rFonts w:ascii="Times New Roman" w:cs="Times New Roman" w:eastAsia="Times New Roman" w:hAnsi="Times New Roman"/>
          <w:sz w:val="18"/>
          <w:szCs w:val="18"/>
          <w:color w:val="auto"/>
        </w:rPr>
        <w:t>10,619,287</w:t>
      </w:r>
      <w:r>
        <w:rPr>
          <w:sz w:val="20"/>
          <w:szCs w:val="20"/>
          <w:color w:val="auto"/>
        </w:rPr>
        <w:tab/>
      </w:r>
      <w:r>
        <w:rPr>
          <w:rFonts w:ascii="Times New Roman" w:cs="Times New Roman" w:eastAsia="Times New Roman" w:hAnsi="Times New Roman"/>
          <w:sz w:val="18"/>
          <w:szCs w:val="18"/>
          <w:color w:val="auto"/>
        </w:rPr>
        <w:t>11,344,819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17145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880"/>
        <w:spacing w:after="0"/>
        <w:tabs>
          <w:tab w:leader="none" w:pos="2960" w:val="left"/>
        </w:tabs>
        <w:rPr>
          <w:sz w:val="20"/>
          <w:szCs w:val="20"/>
          <w:color w:val="auto"/>
        </w:rPr>
      </w:pPr>
      <w:r>
        <w:rPr>
          <w:rFonts w:ascii="Times New Roman" w:cs="Times New Roman" w:eastAsia="Times New Roman" w:hAnsi="Times New Roman"/>
          <w:sz w:val="18"/>
          <w:szCs w:val="18"/>
          <w:color w:val="auto"/>
        </w:rPr>
        <w:t>10,887,903</w:t>
      </w:r>
      <w:r>
        <w:rPr>
          <w:sz w:val="20"/>
          <w:szCs w:val="20"/>
          <w:color w:val="auto"/>
        </w:rPr>
        <w:tab/>
      </w:r>
      <w:r>
        <w:rPr>
          <w:rFonts w:ascii="Times New Roman" w:cs="Times New Roman" w:eastAsia="Times New Roman" w:hAnsi="Times New Roman"/>
          <w:sz w:val="18"/>
          <w:szCs w:val="18"/>
          <w:color w:val="auto"/>
        </w:rPr>
        <w:t>7,641,593</w:t>
      </w:r>
    </w:p>
    <w:p>
      <w:pPr>
        <w:spacing w:after="0" w:line="18" w:lineRule="exact"/>
        <w:rPr>
          <w:sz w:val="20"/>
          <w:szCs w:val="20"/>
          <w:color w:val="auto"/>
        </w:rPr>
      </w:pPr>
    </w:p>
    <w:p>
      <w:pPr>
        <w:jc w:val="both"/>
        <w:ind w:left="880"/>
        <w:spacing w:after="0"/>
        <w:tabs>
          <w:tab w:leader="none" w:pos="2860" w:val="left"/>
        </w:tabs>
        <w:rPr>
          <w:sz w:val="20"/>
          <w:szCs w:val="20"/>
          <w:color w:val="auto"/>
        </w:rPr>
      </w:pPr>
      <w:r>
        <w:rPr>
          <w:rFonts w:ascii="Times New Roman" w:cs="Times New Roman" w:eastAsia="Times New Roman" w:hAnsi="Times New Roman"/>
          <w:sz w:val="18"/>
          <w:szCs w:val="18"/>
          <w:color w:val="auto"/>
        </w:rPr>
        <w:t>21,507,190</w:t>
      </w:r>
      <w:r>
        <w:rPr>
          <w:sz w:val="20"/>
          <w:szCs w:val="20"/>
          <w:color w:val="auto"/>
        </w:rPr>
        <w:tab/>
      </w:r>
      <w:r>
        <w:rPr>
          <w:rFonts w:ascii="Times New Roman" w:cs="Times New Roman" w:eastAsia="Times New Roman" w:hAnsi="Times New Roman"/>
          <w:sz w:val="18"/>
          <w:szCs w:val="18"/>
          <w:color w:val="auto"/>
        </w:rPr>
        <w:t>18,986,412</w:t>
      </w:r>
    </w:p>
    <w:p>
      <w:pPr>
        <w:spacing w:after="0" w:line="27" w:lineRule="exact"/>
        <w:rPr>
          <w:sz w:val="20"/>
          <w:szCs w:val="20"/>
          <w:color w:val="auto"/>
        </w:rPr>
      </w:pPr>
    </w:p>
    <w:p>
      <w:pPr>
        <w:sectPr>
          <w:pgSz w:w="11900" w:h="16838" w:orient="portrait"/>
          <w:cols w:equalWidth="0" w:num="2">
            <w:col w:w="6720" w:space="720"/>
            <w:col w:w="38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4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(21,007,190)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(18,486,412)</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change in earn-out milestone liability</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1,622,000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(1,300,291)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in-process research and development</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(1,976,101)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(2,370,257)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(234,419)</w:t>
            </w: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10,996</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119,907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(569,881)</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(1,292,338)</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1,899</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(1,145,506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(4,842,972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(22,152,696)</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(23,329,384)</w:t>
            </w:r>
          </w:p>
        </w:tc>
      </w:tr>
      <w:tr>
        <w:trPr>
          <w:trHeight w:val="216"/>
        </w:trPr>
        <w:tc>
          <w:tcPr>
            <w:tcW w:w="5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1,383,446</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1,845,823</w:t>
            </w:r>
          </w:p>
        </w:tc>
      </w:tr>
      <w:tr>
        <w:trPr>
          <w:trHeight w:val="216"/>
        </w:trPr>
        <w:tc>
          <w:tcPr>
            <w:tcW w:w="5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(20,769,250)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(21,483,561)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(3.83)</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basic and diluted</w:t>
            </w: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5,426,953</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2,130,750</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12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8"/>
                <w:szCs w:val="18"/>
                <w:color w:val="auto"/>
              </w:rPr>
              <w:t>F-5</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646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0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0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(20,769,250)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(21,483,561)</w:t>
            </w:r>
          </w:p>
        </w:tc>
      </w:tr>
      <w:tr>
        <w:trPr>
          <w:trHeight w:val="216"/>
        </w:trPr>
        <w:tc>
          <w:tcPr>
            <w:tcW w:w="30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4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loss (gain) on investment securities recognized in investment income, net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(53,354)</w:t>
            </w:r>
          </w:p>
        </w:tc>
      </w:tr>
      <w:tr>
        <w:trPr>
          <w:trHeight w:val="23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 securities</w:t>
            </w:r>
          </w:p>
        </w:tc>
        <w:tc>
          <w:tcPr>
            <w:tcW w:w="4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10,576</w:t>
            </w:r>
          </w:p>
        </w:tc>
      </w:tr>
      <w:tr>
        <w:trPr>
          <w:trHeight w:val="210"/>
        </w:trPr>
        <w:tc>
          <w:tcPr>
            <w:tcW w:w="74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 (gain) income, net</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0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5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(20,761,276)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(21,526,339)</w:t>
            </w:r>
          </w:p>
        </w:tc>
      </w:tr>
      <w:tr>
        <w:trPr>
          <w:trHeight w:val="20"/>
        </w:trPr>
        <w:tc>
          <w:tcPr>
            <w:tcW w:w="3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000" w:type="dxa"/>
            <w:vAlign w:val="bottom"/>
          </w:tcPr>
          <w:p>
            <w:pPr>
              <w:spacing w:after="0"/>
              <w:rPr>
                <w:sz w:val="24"/>
                <w:szCs w:val="24"/>
                <w:color w:val="auto"/>
              </w:rPr>
            </w:pPr>
          </w:p>
        </w:tc>
        <w:tc>
          <w:tcPr>
            <w:tcW w:w="5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0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F-6</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CELSION CORPORATION</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7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(20,769,250)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(21,483,561)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702,918</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741,524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(1,622,000)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in exchange for services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3,759,737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income tax asset</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462,377</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(26,499)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in-process research and development</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1,976,101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2,370,257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 payable</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237,258</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447,483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(108,844)</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(786,718)</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(308,025)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(124,728)</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274,513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302,404</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(618,102)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247,142</w:t>
            </w:r>
          </w:p>
        </w:tc>
        <w:tc>
          <w:tcPr>
            <w:tcW w:w="3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265,885)</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(16,223,603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(15,618,676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in debt securities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(53,811,069)</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(9,956,892)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maturity of investment in debt securities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24,000,000</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17,900,000</w:t>
            </w: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(311,613)</w:t>
            </w:r>
          </w:p>
        </w:tc>
        <w:tc>
          <w:tcPr>
            <w:tcW w:w="3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(19,092)</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(30,122,682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7,924,016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equity, net of issuance costs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52,688,946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22,811,669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1,508,666</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4,725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5,756,630</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notes payable including end-of-term fees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(5,190,587)</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Paycheck Protection Program (“PPP”) loans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on PPP loans</w:t>
            </w:r>
          </w:p>
        </w:tc>
        <w:tc>
          <w:tcPr>
            <w:tcW w:w="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(1,324,750)</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54,768,380</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17,983,564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cash equivalents and restricted cash</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8,422,095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10,288,904</w:t>
            </w: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17,164,177</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6,875,273</w:t>
            </w:r>
          </w:p>
        </w:tc>
        <w:tc>
          <w:tcPr>
            <w:tcW w:w="80" w:type="dxa"/>
            <w:vAlign w:val="bottom"/>
            <w:shd w:val="clear" w:color="auto" w:fill="CCEEFF"/>
          </w:tcPr>
          <w:p>
            <w:pPr>
              <w:spacing w:after="0"/>
              <w:rPr>
                <w:sz w:val="20"/>
                <w:szCs w:val="20"/>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25,586,272</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17,164,177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(continued)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received from:</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(357,277)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(844,278)</w:t>
            </w: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lease payments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568,269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525,809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settle accrued bonuses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498,632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issued in connection with the debt facility, net of cancelled warrants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losses (gains), net, on investment in debt securities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color w:val="auto"/>
                <w:w w:val="95"/>
              </w:rPr>
              <w:t>F-8</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18"/>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40" w:type="dxa"/>
            <w:vAlign w:val="bottom"/>
          </w:tcPr>
          <w:p>
            <w:pPr>
              <w:spacing w:after="0"/>
              <w:rPr>
                <w:sz w:val="24"/>
                <w:szCs w:val="24"/>
                <w:color w:val="auto"/>
              </w:rPr>
            </w:pPr>
          </w:p>
        </w:tc>
        <w:tc>
          <w:tcPr>
            <w:tcW w:w="18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8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7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21"/>
                <w:szCs w:val="21"/>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1,550,388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$ 15,504</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$ 305,102,721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42,778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 (290,516,780)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14,559,035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(21,483,561)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(21,483,561)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1,111,615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11,116</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22,800,553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22,811,669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 and vesting of</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371,799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13,151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to settle</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bonuses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28,657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498,346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warrants issued in</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for services</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44,798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1,851,391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losses, net, on investment</w:t>
            </w: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(42,778)</w:t>
            </w:r>
          </w:p>
        </w:tc>
        <w:tc>
          <w:tcPr>
            <w:tcW w:w="13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(42,778)</w:t>
            </w:r>
          </w:p>
        </w:tc>
        <w:tc>
          <w:tcPr>
            <w:tcW w:w="0" w:type="dxa"/>
            <w:vAlign w:val="bottom"/>
          </w:tcPr>
          <w:p>
            <w:pPr>
              <w:spacing w:after="0"/>
              <w:rPr>
                <w:sz w:val="1"/>
                <w:szCs w:val="1"/>
                <w:color w:val="auto"/>
              </w:rPr>
            </w:pPr>
          </w:p>
        </w:tc>
      </w:tr>
      <w:tr>
        <w:trPr>
          <w:trHeight w:val="22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500" w:type="dxa"/>
            <w:vAlign w:val="bottom"/>
            <w:gridSpan w:val="3"/>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40" w:type="dxa"/>
            <w:vAlign w:val="bottom"/>
            <w:vMerge w:val="continue"/>
          </w:tcPr>
          <w:p>
            <w:pPr>
              <w:spacing w:after="0"/>
              <w:rPr>
                <w:sz w:val="14"/>
                <w:szCs w:val="14"/>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2,713,402</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$ 27,134</w:t>
            </w:r>
          </w:p>
        </w:tc>
        <w:tc>
          <w:tcPr>
            <w:tcW w:w="15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330,669,476</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 (312,000,341)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18,611,081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10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19"/>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9"/>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80" w:type="dxa"/>
            <w:vAlign w:val="bottom"/>
          </w:tcPr>
          <w:p>
            <w:pPr>
              <w:spacing w:after="0"/>
              <w:rPr>
                <w:sz w:val="24"/>
                <w:szCs w:val="24"/>
                <w:color w:val="auto"/>
              </w:rPr>
            </w:pPr>
          </w:p>
        </w:tc>
        <w:tc>
          <w:tcPr>
            <w:tcW w:w="180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80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301"/>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6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21"/>
                <w:szCs w:val="21"/>
                <w:color w:val="auto"/>
              </w:rPr>
            </w:pPr>
          </w:p>
        </w:tc>
        <w:tc>
          <w:tcPr>
            <w:tcW w:w="92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2,713,402</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$ 27,134</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$ 330,669,476</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3"/>
              </w:rPr>
              <w:t>$ (85,188)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 (312,000,341)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18,611,081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(20,769,250)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(20,769,250)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2,975,503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29,755</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52,659,191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52,688,946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warrant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81,111</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1,507,855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1,508,666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 and</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net, on investment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(7,974)</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3,759,737</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3,759,737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60" w:type="dxa"/>
            <w:vAlign w:val="bottom"/>
            <w:gridSpan w:val="2"/>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1500" w:type="dxa"/>
            <w:vAlign w:val="bottom"/>
            <w:gridSpan w:val="3"/>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5,770,516</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$ 57,705</w:t>
            </w: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388,600,979</w:t>
            </w:r>
          </w:p>
        </w:tc>
        <w:tc>
          <w:tcPr>
            <w:tcW w:w="26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2"/>
              </w:rPr>
              <w:t>$ (85,188</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(7,974</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 (332,769,591</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55,795,931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of Celsion have been prepared in accordance with generally accepted accounting principles (“GAAP”) in the U.S. and include the accounts of the Company, CLSN Laboratories, Inc. and Celsion GmbH. All significant intercompany balances and transactions have been eliminated in consolidation. The preparation of the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and conditions arising subsequent to the most recent balance sheet date through the date of the issuance of the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earn-out milestone liabilities, estimates for contingent liabilities, if any, and accounting for valuation of in-process research and development assets and goodwill evaluation. Management believes its estimates to be reasonable under the circumstances. Actual results could differ significantly from those estimates. Significant estimates in these financials are the valuation of options granted and valuation methods used to determine the recoverability of 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sole revenue stream is related to the Hisun agreement described in Note 18. There were no accounts receivable as of December 31, 2020. Contract liabilities from the Hisun agreement amounted to $0.5 million and $1.0 million as of December 31, 2021 and 2020, respectively. Contract liabilities values represent the value of cash received before the services were provided.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investments purchased with an original maturity of three months or less. A portion of these funds are not covered by FDIC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a condition of the $10 million loan facility with Silicon Valley Bank (“SVB”) entered into on June 18, 2021 as further discussed in Note 8, the Company is required at all times to maintain on deposit with SVB as cash collateral in a segregated money market bank account in the name of the Company, unrestricted and unencumbered cash in an amount of at least 100% of the aggregate outstanding amount of the SVB loan facility. SVB may restrict withdrawals or transfers by or on behalf of the Company that would violate this requirement. The required reserve totaled $6.0 million as of December 31, 2021. This amount is presented in part as restricted cash in other non-current assets on the accompanying condensed consolidated balance sheets.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investment securities approximate their respective fair values. Management believes that the carrying amounts of the Company’s investment securities, including cash and cash equivalents, accounts payable and accrued expenses, approximate fair value due to the short-term nature of those instruments. Short-term investments are recorded at their estimated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debt securities with readily determinable fair values as investments available-for-sale in accordance with Accounting Standards Codification (“ASC”) 320, Investments - Debt and Equity Securities.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$130,000 for each of the years ended December 31, 2021 and 2020,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2021 or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real property security deposits and other deposits which are contractually required and of a long-term nature.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or Disposal of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 See Note 5 for information on impairment losses of its 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process research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establishes standards for the reporting and display of comprehensive income (loss) and its components in the Company’s consolidated financial statements. The objective of ASC </w:t>
      </w:r>
      <w:r>
        <w:rPr>
          <w:rFonts w:ascii="Times New Roman" w:cs="Times New Roman" w:eastAsia="Times New Roman" w:hAnsi="Times New Roman"/>
          <w:sz w:val="18"/>
          <w:szCs w:val="18"/>
          <w:i w:val="1"/>
          <w:iCs w:val="1"/>
          <w:color w:val="auto"/>
        </w:rPr>
        <w:t>220</w:t>
      </w:r>
      <w:r>
        <w:rPr>
          <w:rFonts w:ascii="Times New Roman" w:cs="Times New Roman" w:eastAsia="Times New Roman" w:hAnsi="Times New Roman"/>
          <w:sz w:val="18"/>
          <w:szCs w:val="18"/>
          <w:color w:val="auto"/>
        </w:rPr>
        <w:t xml:space="preserve"> is to report a measure of comprehensive income (loss) of all changes in equity of an enterprise that result from transactions and other economic events in a period other than transactions with owners. Comprehensive gains (losses) result from changes in unrealized gains and losses from investment in debt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2021 and 2020, the total number of shares of common stock issuable upon exercise of warrants and equity awards is 618,800 and 565,399, respectively. For the year ended December 31, 2021 and 2020,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more fully discussed in Note 9, on November 8, 2021, the Company received approval from the New Jersey Economic Development Authority to sell $1.5 million of its New Jersey net operating losses (“New Jersey NOLs”), recognizing a tax benefit for the year ended December 31, 2021 for the net proceeds (approximately $1.4 million) by reducing the net operating loss valuation allowance. As more fully discussed in Note 9, on December 1, 2021, the Company was notified by the New Jersey Economic Development Authority that its application was approved and the Company entered into an agreement to sell this NOL. On February 25, 2022, the Company received approximately $1.4 million upon completion of the sale of the 2020 New Jersey NOLs. The During 2020, the Company received approval to sell $2.0 million of its New Jersey NOLs, receiving net proceeds of approximately $1.9 million. As part of the Technology Business Tax Certificate Program sponsored by The New Jersey Economic Development Authority, emerging biotechnology companies with unused New Jersey NOLs and unused research and development credits are allowed to sell these benefits to other New Jersey-based companies. During 2021, the New Jersey State Legislature increased the maximum lifetime benefit per company from $15 million to $20 million, which will allow the Company to participate in this innovative funding program in future years for up to an additional $3.4 million in New Jersey NOLs under this maximum lifetime benefit. (see Note 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recognizes the effect of forfeitures in compensation cost when they occur.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 Topic 842 (ASC Topic 842)</w:t>
      </w:r>
      <w:r>
        <w:rPr>
          <w:rFonts w:ascii="Times New Roman" w:cs="Times New Roman" w:eastAsia="Times New Roman" w:hAnsi="Times New Roman"/>
          <w:sz w:val="18"/>
          <w:szCs w:val="18"/>
          <w:color w:val="auto"/>
        </w:rPr>
        <w:t>, which requires that lessees recognize assets and liabilities for leases with lease terms greater than twelve months in the balance sheet.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We adopted ASC Topic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ASC Topic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modifies the measurement of expected credit losses on certain financial instruments. The Company adopted ASU 2016-13 in its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2021 utilizing the modified retrospective transition method. Based on the composition of the Company’s investment portfolio and current market conditions, the adoption of ASU 2016-13 did not have a material impact on its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which adds and modifies certain disclosure requirements for fair value measurements. Under the new guidance, entities will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The adoption of this standard did not have a significant impact on the Company’s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The Company adopted this standard during the first quarter of 2021. The adoption of ASU 2019-12 did not have a material impact on its Financial Statements.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upcoming elimination of the London Inter-bank Offered Rate, (“LIBOR”) and other reference interest rates, the FASB issued ASU 2020-04, </w:t>
      </w:r>
      <w:r>
        <w:rPr>
          <w:rFonts w:ascii="Times New Roman" w:cs="Times New Roman" w:eastAsia="Times New Roman" w:hAnsi="Times New Roman"/>
          <w:sz w:val="18"/>
          <w:szCs w:val="18"/>
          <w:i w:val="1"/>
          <w:iCs w:val="1"/>
          <w:color w:val="auto"/>
        </w:rPr>
        <w:t>Reference Rate Reform (Topic 848) Facilitation of the Effects of Reference Reform on Financial Reporting</w:t>
      </w:r>
      <w:r>
        <w:rPr>
          <w:rFonts w:ascii="Times New Roman" w:cs="Times New Roman" w:eastAsia="Times New Roman" w:hAnsi="Times New Roman"/>
          <w:sz w:val="18"/>
          <w:szCs w:val="18"/>
          <w:color w:val="auto"/>
        </w:rPr>
        <w:t>.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is currently evaluating the effects of adopting this accounting standards update.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the FASB issued ASU No.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(a consensus of the FASB Emerging Issues Task Force)”.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intended to clarify and reduce diversity in an issuer’s accounting for modifications or exchanges of freestanding equity-classified written call options (for example, warrants)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is currently evaluating the impact of adopting ASU 2021-04 on its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2.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December 31, 2021, the Company has incurred approximately $333 million of cumulative net losses. As of December 31, 2021, the Company had $56.9 million in cash and cash equivalents, short-term investments, interest receivable, net proceeds on the sale of net operating losses and restricted cash. The Company has substantial future capital requirements to continue its research and development activities and advance its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has spread to over 200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2021 or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$3.4 million in net operating losses under this maximum lifetime benefit.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8 to the Financial Statements, in June 2021, the Company entered into a $10 million loan facility with SVB. The Company immediately used $6 million from this facility to retire all outstanding indebtedness with Horizon. The remaining $4 million under the Silicon Valley Bank loan facility (“SVB Loan Facility”) will be available to be drawn down up to 12 months after closing.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 See Note 19 for a discussion of the Company’s issuance and redemption of Series A Preferred Stock and Series B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DEBT SECURITIES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$29,803,095 as of December 31, 2021 consisted of U.S. Treasury securities and corporate debt securities. These investments are valued at estimated fair value, with unrealized gains and losses reported as a separate component of stockholders’ equity in accumulated other comprehensive loss. The Company only had investments in cash and cash equivalents as of December 31, 2020.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Pr>
          <w:p>
            <w:pPr>
              <w:spacing w:after="0"/>
              <w:rPr>
                <w:sz w:val="21"/>
                <w:szCs w:val="21"/>
                <w:color w:val="auto"/>
              </w:rPr>
            </w:pPr>
          </w:p>
        </w:tc>
        <w:tc>
          <w:tcPr>
            <w:tcW w:w="26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5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14,786,982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14,778,705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15,024,087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15,024,390</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w w:val="96"/>
              </w:rPr>
              <w:t>29,811,069</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w w:val="96"/>
              </w:rPr>
              <w:t>29,803,095</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Pr>
          <w:p>
            <w:pPr>
              <w:spacing w:after="0"/>
              <w:rPr>
                <w:sz w:val="21"/>
                <w:szCs w:val="21"/>
                <w:color w:val="auto"/>
              </w:rPr>
            </w:pPr>
          </w:p>
        </w:tc>
        <w:tc>
          <w:tcPr>
            <w:tcW w:w="26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5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19,798,177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19,799,835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10,012,892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10,003,260</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w w:val="96"/>
              </w:rPr>
              <w:t>29,811,069</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w w:val="96"/>
              </w:rPr>
              <w:t>29,803,095</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2021 and 2020. The Company has reviewed individual securities to determine whether a decline in fair value below the amortizable cost basis is other than temporary.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6"/>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1"/>
                <w:szCs w:val="21"/>
                <w:color w:val="auto"/>
              </w:rPr>
            </w:pPr>
          </w:p>
        </w:tc>
        <w:tc>
          <w:tcPr>
            <w:tcW w:w="25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lef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losses are less than 12 months at date of measurement)</w:t>
            </w:r>
          </w:p>
        </w:tc>
        <w:tc>
          <w:tcPr>
            <w:tcW w:w="14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56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Gains (Losses)</w:t>
            </w:r>
          </w:p>
        </w:tc>
      </w:tr>
      <w:tr>
        <w:trPr>
          <w:trHeight w:val="216"/>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8,999,580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losses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20,803,515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(11,473)</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which includes net realized losses on sales of available for sale securities and investment income interest and dividends,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gains</w:t>
            </w:r>
          </w:p>
        </w:tc>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53,354</w:t>
            </w:r>
          </w:p>
        </w:tc>
      </w:tr>
      <w:tr>
        <w:trPr>
          <w:trHeight w:val="21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7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right"/>
              <w:ind w:right="2936"/>
              <w:spacing w:after="0"/>
              <w:rPr>
                <w:sz w:val="20"/>
                <w:szCs w:val="20"/>
                <w:color w:val="auto"/>
              </w:rPr>
            </w:pPr>
            <w:r>
              <w:rPr>
                <w:rFonts w:ascii="Times New Roman" w:cs="Times New Roman" w:eastAsia="Times New Roman" w:hAnsi="Times New Roman"/>
                <w:sz w:val="18"/>
                <w:szCs w:val="18"/>
                <w:color w:val="auto"/>
              </w:rPr>
              <w:t>F-17</w:t>
            </w: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4. FAIR VALUES OF FINANCIAL INSTRUMENTS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2021 and 2020. There were no transfers of assets or liabilities between Level 1 and Level 2 and no transfers in or out of Level 3 during the years ended December 31, 2021 and 2020.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74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80" w:type="dxa"/>
            <w:vAlign w:val="bottom"/>
          </w:tcPr>
          <w:p>
            <w:pPr>
              <w:spacing w:after="0"/>
              <w:rPr>
                <w:sz w:val="21"/>
                <w:szCs w:val="21"/>
                <w:color w:val="auto"/>
              </w:rPr>
            </w:pP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29,803,095</w:t>
            </w:r>
          </w:p>
        </w:tc>
        <w:tc>
          <w:tcPr>
            <w:tcW w:w="176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13,366,234</w:t>
            </w:r>
          </w:p>
        </w:tc>
        <w:tc>
          <w:tcPr>
            <w:tcW w:w="176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13,366,234</w:t>
            </w:r>
          </w:p>
        </w:tc>
        <w:tc>
          <w:tcPr>
            <w:tcW w:w="176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 (Note 12)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5,396,000</w:t>
            </w:r>
          </w:p>
        </w:tc>
        <w:tc>
          <w:tcPr>
            <w:tcW w:w="176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 (Note 12)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7,018,000</w:t>
            </w:r>
          </w:p>
        </w:tc>
        <w:tc>
          <w:tcPr>
            <w:tcW w:w="176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7,017,000</w:t>
            </w:r>
          </w:p>
        </w:tc>
      </w:tr>
      <w:tr>
        <w:trPr>
          <w:trHeight w:val="439"/>
        </w:trPr>
        <w:tc>
          <w:tcPr>
            <w:tcW w:w="4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F-18</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ovarian cancer indication, with original value of $13.3 million, has not been impaired since its acquisition. At September 30, 2021 and 2020, the Company evaluated its IPR&amp;D of the ovarian cancer indication and concluded that it is not more likely than not that the asset is impaired. Due to the continuing slowdown in investment by public capital markets in the biotech industry and its impact on market capitalization rates in this sector, the Company conducted a valuation analysis of its IPR&amp;D for the ovarian cancer indication as of December 31, 2021. As part of the valuation analysis, the fair value of the intangible assets was estimated by discounting forecasted risk adjusted cash flows at a rate that approximated the cost of capital of a market participant. Management’s forecast of future cash flows was based on the income approach. Significant estimates, all of which are considered Level 3 inputs, were used in the fair value methodology, including the Company’s forecast regarding its future operations and likeliness of obtaining approval to sell its products, as well as other market conditions. Changes in these estimates could change the forecasted cash flows attributed to the IPR&amp;D which could have a significant impact on the fair value of these assets. Based on this valuation analysis, the Company has concluded that it is not more likely than not that the asset is impaired as of December 31, 2021. As such, no impairment charges for IPR&amp;D related to the ovarian cancer indication were recorded during 2021 or 2020.</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would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$113,660 and $227,316 in 2021 and 2020, respectively. The carrying value of the Covenant Not to Compete was $113,660, net of $1,477,554 accumulated amortization, as of December 31, 2020 and is fully amortized by the end of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the Company’s third quarter ended September 30 or sooner if the Company believes indicators of impairment exist. As of September 30, 2021 and 2020, the Company’s fair value exceeded its carrying value and as such no impairment was recognized for Goodwill through the third quarter of 2021. Due to the continuing slowdown in investment in 2021 by public capital markets in the biotech industry and its impact on market capitalization rates in this sector, Goodwill was reviewed for impairment as of December 31, 2021. Based on this assessment, Company concluded that Goodwill was impaired. As of December 31, 2021, the Company wrote off the $2.0 million carrying value of this asset, thereby recognizing a non-cash charge of $2.0 million in the fourth quarter of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Following is a summary of the net fair value of the assets acquired in the EGEN Acquisition for the two years ended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Covenant Not to</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IPR&amp;D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Compete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15,736,491</w:t>
            </w:r>
          </w:p>
        </w:tc>
        <w:tc>
          <w:tcPr>
            <w:tcW w:w="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340,976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(227,316)</w:t>
            </w:r>
          </w:p>
        </w:tc>
        <w:tc>
          <w:tcPr>
            <w:tcW w:w="0" w:type="dxa"/>
            <w:vAlign w:val="bottom"/>
          </w:tcPr>
          <w:p>
            <w:pPr>
              <w:spacing w:after="0"/>
              <w:rPr>
                <w:sz w:val="1"/>
                <w:szCs w:val="1"/>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2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(2,370,257)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 net</w:t>
            </w:r>
          </w:p>
        </w:tc>
        <w:tc>
          <w:tcPr>
            <w:tcW w:w="280" w:type="dxa"/>
            <w:vAlign w:val="bottom"/>
            <w:tcBorders>
              <w:top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13,366,234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auto"/>
              </w:rPr>
              <w:t>1,976,101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(113,660)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28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(1,976,101)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13,366,234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December 31, 2021 and 2020 consist of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(5-7 year life)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(3-5 year life)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383,477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(5-7 year life)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343,203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343,202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3,832,749</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3,521,136</w:t>
            </w: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(3,355,738)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(3,226,585)</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477,011</w:t>
            </w: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OTHER ACCRUED LIABILITIES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December 31, 2021 and 2020 include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11"/>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4"/>
              </w:rPr>
              <w:t>1,401,356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1,636,727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1,736,271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87,250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66,850</w:t>
            </w:r>
          </w:p>
        </w:tc>
        <w:tc>
          <w:tcPr>
            <w:tcW w:w="0" w:type="dxa"/>
            <w:vAlign w:val="bottom"/>
          </w:tcPr>
          <w:p>
            <w:pPr>
              <w:spacing w:after="0"/>
              <w:rPr>
                <w:sz w:val="1"/>
                <w:szCs w:val="1"/>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4"/>
          </w:tcPr>
          <w:p>
            <w:pPr>
              <w:ind w:left="520"/>
              <w:spacing w:after="0" w:line="203" w:lineRule="exact"/>
              <w:rPr>
                <w:sz w:val="20"/>
                <w:szCs w:val="20"/>
                <w:color w:val="auto"/>
              </w:rPr>
            </w:pPr>
            <w:r>
              <w:rPr>
                <w:rFonts w:ascii="Times New Roman" w:cs="Times New Roman" w:eastAsia="Times New Roman" w:hAnsi="Times New Roman"/>
                <w:sz w:val="18"/>
                <w:szCs w:val="18"/>
                <w:color w:val="auto"/>
                <w:w w:val="94"/>
              </w:rPr>
              <w:t>3,173,537</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2,458,532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8.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Celsion immediately drew down $6 million from the SVB Loan Facility and used the funds to retire all outstanding indebtedness with Horizon as further discussed below. Concurrently with this transaction, the Company used $6.0 million of other available funds to establish a restricted cash account which serves as security for the SVB Loan Facility. The remaining $4 million will be available to be drawn down up to 12 months after closing.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is in the form of money market secured indebtedness bearing interest at a calculated WSJ Prime-based variable rate (currently 3.25%).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year ending December 31, 2021, the Company incurred interest expense of $106,709 and amortized $97,831 as interest expense for debt discounts and end-of-term fee in connection with the SVB Loan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schedule of future principal payments, net of unamortized debt discounts and amortized end-of-term fee, due on the SVB Loan Facility: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53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future principal payments</w:t>
            </w:r>
          </w:p>
        </w:tc>
        <w:tc>
          <w:tcPr>
            <w:tcW w:w="2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premium, net</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(145,539)</w:t>
            </w:r>
          </w:p>
        </w:tc>
      </w:tr>
      <w:tr>
        <w:trPr>
          <w:trHeight w:val="21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Celsion repaid $5 million of the $10 million loan and $0.2 million in related end of term charges, and the remaining $5 million in obligations were restructured as set forth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Amendment, the remaining $5 million in obligations of Celsion under the Horizon Credit Agreement was secured by a first-priority security interest in substantially all assets of Celsion other than intellectual property assets. The obligations bore interest at a rate calculated based an amount by which the one-month LIBOR exceeds 2% plus 7.625%. In no event shall the interest rate be less than 9.625%. Payments pursuant to the Amendment were interest only for the first 12 months after August 1, 2020, followed by a 21-month amortization period of principal and interest through the scheduled maturity date on April 1, 2023. In addition, the remaining $5 million in obligations was subject to an end of term fee equal, in the aggregate, to $275,000, which amount was payable upon the maturity of the obligations or upon the date of final payment or default, as applicable. In connection with the Amendment, Celsion agreed to a liquidity covenant which provided that, at all times, Celsion maintain unrestricted cash and/or cash equivalents on deposit in accounts over which the applicable lenders maintained an account control agreement in an amount not less than $2.5 million. In addition, pursuant to the Amendment, Celsion agreed to provide evidence to Horizon on or before March 31, 2021, that it received aggregate cash proceeds of not less than $5 million from the sale of equity, debt, its New Jersey NOLs, or a combination thereof, subsequent to the date of the Amendment. The Company met this requirement during the fourth quarter of 2020.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 the Company was required to pay an end of term charge equal to 4.0% of the original loan amount at time of maturity. Therefore, those amounts totaling $400,000 were being amortized as interest expense using the effective interest method over the life of the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both"/>
        <w:spacing w:after="0" w:line="254" w:lineRule="auto"/>
        <w:rPr>
          <w:sz w:val="20"/>
          <w:szCs w:val="20"/>
          <w:color w:val="auto"/>
        </w:rPr>
      </w:pPr>
      <w:r>
        <w:rPr>
          <w:rFonts w:ascii="Times New Roman" w:cs="Times New Roman" w:eastAsia="Times New Roman" w:hAnsi="Times New Roman"/>
          <w:sz w:val="18"/>
          <w:szCs w:val="18"/>
          <w:color w:val="auto"/>
        </w:rPr>
        <w:t>As a fee in connection with the Horizon Credit Agreement, Celsion issued Horizon warrants exercisable for a total of 12,674 shares of Celsion’s common stock (the “Existing Warrants”) at a per share exercise price of $39.45. The Existing Warrants were immediately exercisable for cash or by net exercise from the date of grant and will expire after ten years from the date of grant. The Company valued the Existing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6,337 shares of Celsion’s common stock, have been canceled, and, in connection with the Amendment, Celsion issued Horizon new warrants exercisable at a per share exercise price equal to $15.15 for a total of 16,501 shares of Celsion’s common stock (the “New Warrants” and, together with the Existing Warrants, the “Warrants”). The remaining 6,337 Existing Warrants issued in connection with the Horizon Credit Agreement remain outstanding at a per share exercise price of $39.45.</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Warrants were immediately exercisable for cash or by net exercise from the date of grant and will expire after ten years from the date of grant.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Amendment was evaluated in accordance with FASB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ending December 31, 2021, the Company incurred $225,920 in interest expense and amortized $139,428 as interest expense for debt discounts and end of term charges in connection with the Horizon Credit Agreement. During 2020, the Company incurred $808,899 in interest expense and amortized $483,439 as interest expense for debt discounts and end of term charges in connection with the Horizon Credit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as a condition of entering into the SVB Loan Facility, the Company paid the outstanding principal balance, an early termination fee and the end of term charges in full satisfaction of the Horizon Credit Agreement, as amended. Following is a schedule of the amounts paid to Horizon on June 18, 2021.</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June 18, 2021</w:t>
            </w: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3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0"/>
                <w:szCs w:val="20"/>
                <w:color w:val="auto"/>
              </w:rPr>
            </w:pPr>
          </w:p>
        </w:tc>
      </w:tr>
      <w:tr>
        <w:trPr>
          <w:trHeight w:val="203"/>
        </w:trPr>
        <w:tc>
          <w:tcPr>
            <w:tcW w:w="8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5,425,000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ending December 31, 2021, the Company recorded a loss of $234,419 on the termination of the Horizon Credit Agreement, as amended, which represented the early termination fee and the end of term fees, net of previously amortized interest expense totaling $190,581 on the date of its payoff.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income tax provision (benefit) for the years ended December 31, 2021 and 2020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72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(1,383,446)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(1,845,823)</w:t>
            </w:r>
          </w:p>
        </w:tc>
      </w:tr>
      <w:tr>
        <w:trPr>
          <w:trHeight w:val="21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(1,383,446</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tax rate to the effective rate for the years ended December 31, 2021 and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deferred rate change, net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380" w:type="dxa"/>
            <w:vAlign w:val="bottom"/>
            <w:tcBorders>
              <w:top w:val="single" w:sz="8" w:color="CCEEFF"/>
            </w:tcBorders>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 as of December 31, 2021 and 2020 are as follows:</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64,915,000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tax assets, net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5,213,000</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5,182,000</w:t>
            </w:r>
          </w:p>
        </w:tc>
        <w:tc>
          <w:tcPr>
            <w:tcW w:w="0" w:type="dxa"/>
            <w:vAlign w:val="bottom"/>
          </w:tcPr>
          <w:p>
            <w:pPr>
              <w:spacing w:after="0"/>
              <w:rPr>
                <w:sz w:val="1"/>
                <w:szCs w:val="1"/>
                <w:color w:val="auto"/>
              </w:rPr>
            </w:pPr>
          </w:p>
        </w:tc>
      </w:tr>
      <w:tr>
        <w:trPr>
          <w:trHeight w:val="216"/>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70,128,000</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(68,744,554)</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(63,782,177)</w:t>
            </w:r>
          </w:p>
        </w:tc>
        <w:tc>
          <w:tcPr>
            <w:tcW w:w="0" w:type="dxa"/>
            <w:vAlign w:val="bottom"/>
          </w:tcPr>
          <w:p>
            <w:pPr>
              <w:spacing w:after="0"/>
              <w:rPr>
                <w:sz w:val="1"/>
                <w:szCs w:val="1"/>
                <w:color w:val="auto"/>
              </w:rPr>
            </w:pPr>
          </w:p>
        </w:tc>
      </w:tr>
      <w:tr>
        <w:trPr>
          <w:trHeight w:val="216"/>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As of December 31, 2020, the Company has established a valuation reserve for its deferred income tax assets other than those related to its New Jersey NOLs. At December 31, 2020, after its evaluation of its New Jersey NOLs as discussed more fully below, the Company reduced the valuation reserve and recognized $1.8 million as a deferred income tax asset. Such tax assets are available to be recognized and benefit future periods. As of December 31, 2020, the Company had federal net operating loss carryforwards of approximately $274 million, net of net operating losses utilized in prior years of which $225 million, if unused, will expire starting in 2022 through 2037. The Federal net operating loss generated for the years ended December 31, 2018, 2019 and 2020 of approximately $45 million can be carried forward indefinitely. However, the deduction for net operating losses incurred in tax years beginning after January 1, 2018 is limited to 80% of annual taxable income. On March 27, 2020, the Coronavirus Aid, Relief, and Economic Security Act (“CARES Act”) was enacted in response to the COVID-19 pandemic. The CARES Act provides for economic and cash liquidity stimulus through various means including payroll tax credits, payroll tax deferral, short-term changes in tax deductibility of interest expenses among other things. The Act also permits NOL carryovers and carrybacks to offset 100% of taxable income for taxable years beginning before 2021. Previously, NOLs generated after December 31, 2017 were limited to 80% of taxable income in future years. In addition, the CARES Act allows NOLs incurred in 2018 through 2021 to be carried back to each of the five preceding tax years. The Company evaluated the various aspects of the Act and determined that there was no material effect on the Financial Statements. As of December 31, 2021, the Company had state net operating loss carryforwards of approximately $58 million, net of net operating losses utilized in prior years, and, if unused, will expire starting in 2029 through 2040.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both"/>
        <w:spacing w:after="0" w:line="252" w:lineRule="auto"/>
        <w:rPr>
          <w:sz w:val="20"/>
          <w:szCs w:val="20"/>
          <w:color w:val="auto"/>
        </w:rPr>
      </w:pPr>
      <w:r>
        <w:rPr>
          <w:rFonts w:ascii="Times New Roman" w:cs="Times New Roman" w:eastAsia="Times New Roman" w:hAnsi="Times New Roman"/>
          <w:sz w:val="18"/>
          <w:szCs w:val="18"/>
          <w:color w:val="auto"/>
        </w:rPr>
        <w:t>During 2021, 2020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October 2017, August 2018, February 2020 and January 2021. As a result, the utilization of the Company’s federal tax net operating loss carry forwards generated prior to the ownership changes are limited. As of December 31, 2021, the Company has net operating loss carry forwards for U.S. federal and state tax purposes of approximately $274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approximately $0.8 million per year for approximately $5 million of additional net operating losses occurring from June 2017 to the ownership change that occurred in October 2017, approximately $1.5 million per year for approximately $30 million of additional net operating losses occurring from October 2017 to the ownership change that occurred in August 2018, approximately $0.8 million per year for approximately $15 million of additional net operating losses occurring from August 2018 to the ownership change that occurred in February 2020 and approximately $2.0 million per year for approximately $40 million of additional net operating losses occurring from February 2020 to the ownership change that occurred in January 2021. The utilization of these net operating loss carry forwards may be further limited if the Company experiences future ownership changes as defined in Section 382 of the Internal Revenue Code.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New Jersey Net Operating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New Jersey NOLs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$3.4 million in net operating losses under this maximum lifetime benefit.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during January 2021, has been fully utilized.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31,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 The primary reasons for the reverse stock split and the amendment are: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our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 On December 2, 2021,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31, 2022, to regain compliance with this requirement, which occurs when the closing bid price of the Company’s Common Stock is at least $1.00 per share for a minimum of ten consecutive business days during the 180-day compliance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5,770,516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were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29"/>
          <w:szCs w:val="29"/>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the Company sold and issued an aggregate of 0.3 million shares under the Capital on Demand Agreement, receiving approximately $6.2 million in gross proceeds. During 2021, the Company has sold 0.5 million shares under the Capital on Demand Agreement, receiving approximately $6.9 million in gross proceeds under the Capital on Demand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2020 Registered Direct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27, 2020, the Company entered into a Securities Purchase Agreement (the “February 2020 Purchase Agreement”) with several institutional investors, pursuant to which the Company issued and sold, in a registered direct offering (the “February 2020 Offering”), an aggregate of 304,761 shares of its common stock at an offering price of $15.75 per share for gross proceeds of approximately $4.8 million before the deduction of the Placement Agent fees and offering expenses. The February 2020 Purchase Agreement contained customary representations, warranties and agreements by the Company and customary conditions to closing. In a concurrent private placement, the Company issued to the investors that participated in the February 2020 Offering, for no additional consideration, warrants to purchase up to 198,095 shares of common stock (the “Original Warrants”). The Original Warrants were initially exercisable six months following their date of issue and were set to expire on the five-year anniversary of such initial exercise date. The Original Warrants had an exercise price of $17.25 per share subject to adjustment as provided therein. On March 12, 2020, the Company entered into private exchange agreements (the “Exchange Agreements”) with holders of the Original Warrants. Pursuant to the Exchange Agreements, in return for a higher exercise price of $18.60 per share of Common Stock, the Company issued new warrants to the investors to purchase up to 213,333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the Company has issued 81,111 million shares pursuant to investors exercising Exchange Warrants, receiving approximately $1.5 million.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Underwritten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22, 2020, the Company entered into an underwriting agreement (the “Underwriting Agreement”) with Oppenheimer &amp; Co. Inc. (the “Underwriter”), relating to the issuance and sale (the “Underwritten Offering”) of 177,777 shares of the Company’s common stock. Pursuant to the terms of the Underwriting Agreement, the Underwriter agreed to purchase the shares at a price of $52.3125 per share. The Underwriter offered the shares at a public offering price of $56.25 per share, reflecting an underwriting discount equal to $3.9375, or 7.0% of the public offering price. The net proceeds to the Company from the Underwritten Offering, after deducting the underwriting discount and estimated offering expenses payable by the Company, were approximately $9.1 million.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Pursuant to the Underwriting Agreement, until December 31, 2020, the Underwriter had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had the sole right to determine whether or not any other broker dealer shall have the right to participate in any such offering and the economic terms of any such participation. Pursuant to the Underwriting Agreement, subject to certain exceptions, the Company and certain of the Company’s executive officers and directors agreed that, without the prior written consent of the Underwriter and subject to certain negotiated exceptions, they will not, for a period of 60 days, in either case, following the date of the final prospectus supplement, sell or otherwise dispose of any of the Company’s securities held by them.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LPC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During 2020, the Company sold and issued an aggregate of 218,854 shares, including 29,188 commitment shares provided to Lincoln Park, under the LPC Purchase Agreement, receiving approximately $2.2 million in gross proceeds. On January 21, 2021, the Company terminated the LPC Purchase Agreement. The Company did not sell any shares under the LPC Purchase Agreement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issued and sold,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issued and sold, in a registered direct offering (the “March 2021 Offering”), an aggregate of 769,230 shares of the Company’s common stock, at an offering price of $19.50 per share for gross proceeds of approximately $15 million before the deduction of the placement agents fee and offering expenses. The closing of the offering occurred on April 5,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2021 Offering, the Company entered into a placement agent agreement (the “March 2021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March 2021 Purchase Agreement and March 2021 Placement Agent Agreement, the Company and its subsidiaries were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2019 Aspire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Company, entered into the 2019 Aspire Purchase Agreement with Aspire Capital. Pursuant to the 2019 Aspire Purchase Agreement, Aspire Capital was committed to purchase up to an aggregate of $10.0 million of shares of the Company’s common stock over the 24-month term of the 2019 Aspire Purchase Agreement. On March 5, 2020, the Company delivered notice to Aspire Capital terminating the 2019 Aspire Purchase Agreement effective as of March 6, 2020. During the first quarter of 2020, the Company sold 66,666 million shares of common stock under the 2019 Aspire Purchase Agreement and received $1.6 million in gross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(the “Charter”), to effect a reverse stock split of the outstanding shares of common stock (“Common Stock”) by a ratio to be determined by the Board of Directors of the Company (the “Reverse Stock Split”), ranging from 7-to-1 to, 10-to-1, 12-to-1 or 15-to-1. The investors have agreed in the Purchase Agreement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 The Amendment required the approval of the majority of the votes associated with the Company’s outstanding stock entitled to vote on the proposal.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has no voting rights, other than the right to vote as a class on certain specified matters, except that (i) each share of Series A Preferred Stock has the right to vote, on an as converted basis, on the Reverse Stock Split (together with the Company’s Common Stock and the Series B Preferred Stock as a single class), and (ii) each share of Series B Preferred Stock has the right to cast 3,000 votes per share of Series B Preferred Stock on the Reverse Stock Split.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 of Preferred Stock will be entitled to dividends, on an as-if converted basis, equal to dividends actually paid, if any, on shares of Common Stock. The Preferred Stock is convertible into shares of Common Stock at a rate of $13.65 per share for the Series A Preferred Stock and $15.00 per share for the Series B Preferred Stock, subject to adjustment. The Preferred Stock can be converted at the option of the holder at any time after the Company has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can cause the holder of the Preferred Stock to convert their shares of Preferred Stock, subject to such beneficial ownership limitations.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the Preferred Stock has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Series B Preferred Stock. As a result, all shares of the Preferred Stock have been retired and are no longer outstanding and Celsion’s only class of outstanding stock is its common. Each share of common stock entitles the holder to one vote.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pursuant to which the Company agreed to pay AGP an aggregate cash fee equal to $1,000,000 and reimburse AGP for certain of their expenses in an amount not to exceed $110,000.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and AGP, including for liabilities under the Securities Act, other obligations of the parties and termination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Celsion Corporation 2018 Stock Incentive Plan (the “2018 Plan”). The 2018 Plan, as adopted, permits the granting of 180,000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2018, and again on February 19, 2019, the Compensation Committee of the Board of Directors approved the grant of (i) inducement stock options (the “Inducement Option Grants”) to purchase a total of 10,933 and 9,332 shares of Celsion common stock, respectively and (ii) inducement restricted stock awards (the “Inducement Stock Grants”) totaling 1,266 and 8,666 shares of Celsion common stock to five new employees collectively. Each award has a grant date of the date of grant. Each Inducement Option Grant has an exercise price per share equal to $41.55 and $32.70 which represents the closing price of Celsion’s common stock as reported by Nasdaq on September 28, 2018 and February 19, 2019, respectively.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there were a total of 946,561 shares of Celsion common stock reserved for issuance under the 2018 Plan, which were comprised of 433,676 shares of Celsion common stock subject to equity awards previously granted under the 2018 Plan and 2007 Plan and 512,884 shares of Celsion common stock available for future issuance under the 2018 Plan. As of December 31, 2021, there were a total of 9,332 shares of Celsion common stock subject to outstanding inducement awards.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$3.8 million and $1.9 million during 2021 and 2020, respectively. Of these amounts, $1.4 million and $0.8 million was charged to research and development expenses during 2021 and 2020, respectively, and $2.4 million and $1.1 million was charged to general and administrative expenses during 2021 and 2020, respectively. In connection with the Company’s annual 2019 bonus program, the Company issued 429,855 shares of common stock from the 2018 Stock Incentive Plan in March 2020 in lieu of paying cash for 50% of the annual bonus awards. These amounts were fully accrued for in the Financial Statements for the year ended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awards as of December 31, 2021 and changes during the two-year period ended December 31, 2021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9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44,683</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51.15</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(9,390)</w:t>
            </w:r>
          </w:p>
        </w:tc>
        <w:tc>
          <w:tcPr>
            <w:tcW w:w="1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39.60</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(15,788)</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32.07</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308,313</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41.55</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148,016</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32.09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(14,404)</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38.23</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38.70</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292,332</w:t>
            </w:r>
          </w:p>
        </w:tc>
        <w:tc>
          <w:tcPr>
            <w:tcW w:w="1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40.58</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awards as of December 31, 2021 and changes during the two-year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January 1, 2020</w:t>
            </w:r>
          </w:p>
        </w:tc>
        <w:tc>
          <w:tcPr>
            <w:tcW w:w="2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28,773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4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(28,940)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2020</w:t>
            </w:r>
          </w:p>
        </w:tc>
        <w:tc>
          <w:tcPr>
            <w:tcW w:w="2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3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33.30</w:t>
            </w:r>
          </w:p>
        </w:tc>
      </w:tr>
      <w:tr>
        <w:trPr>
          <w:trHeight w:val="203"/>
        </w:trPr>
        <w:tc>
          <w:tcPr>
            <w:tcW w:w="4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Non-vested stock awards outstanding at December 31, 2021</w:t>
            </w:r>
          </w:p>
        </w:tc>
        <w:tc>
          <w:tcPr>
            <w:tcW w:w="2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1,583</w:t>
            </w: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top w:val="single" w:sz="8" w:color="CCEEFF"/>
            </w:tcBorders>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4"/>
          </w:tcPr>
          <w:p>
            <w:pPr>
              <w:jc w:val="right"/>
              <w:ind w:right="3660"/>
              <w:spacing w:after="0"/>
              <w:rPr>
                <w:sz w:val="20"/>
                <w:szCs w:val="20"/>
                <w:color w:val="auto"/>
              </w:rPr>
            </w:pPr>
            <w:r>
              <w:rPr>
                <w:rFonts w:ascii="Times New Roman" w:cs="Times New Roman" w:eastAsia="Times New Roman" w:hAnsi="Times New Roman"/>
                <w:sz w:val="18"/>
                <w:szCs w:val="18"/>
                <w:color w:val="auto"/>
              </w:rPr>
              <w:t>F-29</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2021 by price range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6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10"/>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4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$30.00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39,316</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17,648</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 to $75.00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397,903</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37.59</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270,478</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37.80</w:t>
            </w:r>
          </w:p>
        </w:tc>
      </w:tr>
      <w:tr>
        <w:trPr>
          <w:trHeight w:val="23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$75.00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4,206</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282.27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4,206</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284.10</w:t>
            </w:r>
          </w:p>
        </w:tc>
      </w:tr>
      <w:tr>
        <w:trPr>
          <w:trHeight w:val="210"/>
        </w:trPr>
        <w:tc>
          <w:tcPr>
            <w:tcW w:w="4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441,425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292,332</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392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18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1.54 % to 1.74%</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0.65% to 1.33%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106.8% to 113.2%</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 to 109.1%</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 to 10.0</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As of December 31, 2021, there was $1.7 million of total unrecognized compensation cost related to non-vested stock-based compensation arrangements. That cost is expected to be recognized over a weighted-average period of 1.0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EARN-OUT MILESTONE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EGWU, Inc. 13,333 warrants to purchase common stock at a strike price of $0.15 per warrant share as consideration for entering into this amended agreement. The warrant shares have no expiration and were fair valued at $30.00 using the closing price of a share of Celsion stock on the date of issuance offset by the exercise price and recorded as a non-cash expense in the income statement and were classified as equity on the balance sheet. In October of 2020, EGWU, Inc. elected to receive 13,151 shares through a non-cash conversion and exercised all 13,333 warrant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2021, the Company fair valued the earn-out milestone liability at $5.4 million and recognized a non-cash gain of $1.6 million during 2021 as a result of the change in the fair value of the earn-out milestone liability of $7.0 million at December 31, 2020. In assessing the fair value of the earnout milestone liability at December 31, 2021, the Company considered each of the settlement provisions per the Amended Asset Purchase Agreement and equally weighted the probability of a cash or cash and common stock payment.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2020, the Company fair valued the earn-out milestone liability at $7.0 million and recognized a non-cash charge of $1.3 million during 2020 as a result of the change in the fair value of earn-out milestone liability of $5.7 million at December 31, 2019. In assessing the fair value of the earnout milestone liability at December 31, 2020, the Company considered each of the settlement provisions per the Amended Asset Purchase Agreement and equally weighted the probability of a cash or cash and common stock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earn-out milestone liability for 2020 and 2021:</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5,717,709</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loss from the adjustment for the change in fair value included in 2020 net loss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1,300,291</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gain from the adjustment for the change in fair value included in 2021 net loss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(1,622,000)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WARRANTS</w:t>
            </w: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two years ended December 31, 2021:</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744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0" w:type="dxa"/>
            <w:vAlign w:val="bottom"/>
          </w:tcPr>
          <w:p>
            <w:pPr>
              <w:spacing w:after="0"/>
              <w:rPr>
                <w:sz w:val="21"/>
                <w:szCs w:val="21"/>
                <w:color w:val="auto"/>
              </w:rPr>
            </w:pPr>
          </w:p>
        </w:tc>
        <w:tc>
          <w:tcPr>
            <w:tcW w:w="1760" w:type="dxa"/>
            <w:vAlign w:val="bottom"/>
            <w:gridSpan w:val="2"/>
          </w:tcPr>
          <w:p>
            <w:pPr>
              <w:jc w:val="center"/>
              <w:ind w:right="516"/>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during 2020</w:t>
            </w:r>
          </w:p>
        </w:tc>
        <w:tc>
          <w:tcPr>
            <w:tcW w:w="260" w:type="dxa"/>
            <w:vAlign w:val="bottom"/>
          </w:tcPr>
          <w:p>
            <w:pPr>
              <w:spacing w:after="0"/>
              <w:rPr>
                <w:sz w:val="18"/>
                <w:szCs w:val="18"/>
                <w:color w:val="auto"/>
              </w:rPr>
            </w:pPr>
          </w:p>
        </w:tc>
        <w:tc>
          <w:tcPr>
            <w:tcW w:w="17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234,834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during 2020 (see Note 12)</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(13,333)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cancelled during 2020</w:t>
            </w:r>
          </w:p>
        </w:tc>
        <w:tc>
          <w:tcPr>
            <w:tcW w:w="260" w:type="dxa"/>
            <w:vAlign w:val="bottom"/>
          </w:tcPr>
          <w:p>
            <w:pPr>
              <w:spacing w:after="0"/>
              <w:rPr>
                <w:sz w:val="19"/>
                <w:szCs w:val="19"/>
                <w:color w:val="auto"/>
              </w:rPr>
            </w:pPr>
          </w:p>
        </w:tc>
        <w:tc>
          <w:tcPr>
            <w:tcW w:w="1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2020</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exercised during 2021 (see Note 10)</w:t>
            </w:r>
          </w:p>
        </w:tc>
        <w:tc>
          <w:tcPr>
            <w:tcW w:w="260" w:type="dxa"/>
            <w:vAlign w:val="bottom"/>
          </w:tcPr>
          <w:p>
            <w:pPr>
              <w:spacing w:after="0"/>
              <w:rPr>
                <w:sz w:val="19"/>
                <w:szCs w:val="19"/>
                <w:color w:val="auto"/>
              </w:rPr>
            </w:pPr>
          </w:p>
        </w:tc>
        <w:tc>
          <w:tcPr>
            <w:tcW w:w="1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(81,111)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175,792</w:t>
            </w:r>
          </w:p>
        </w:tc>
        <w:tc>
          <w:tcPr>
            <w:tcW w:w="320" w:type="dxa"/>
            <w:vAlign w:val="bottom"/>
            <w:tcBorders>
              <w:top w:val="single" w:sz="8" w:color="CCEEFF"/>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December 31, 2021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(years)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Warrants to exercise 7,273 shares of common stock at an exercise price of $48.30 per share expired on February 21, 2022.</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February 2020 Registered Direct financing (Note 10), the Company issued warrants to purchase 213,333 shares of common stock in February 2020 of which 81,111 of these were exercised during 2021. In connection with the Horizon Credit Agreement Amendment, the Company cancelled warrants to purchase 6,337 shares of common stock and issued warrants to purchase 16,501 shares of common stock in August 2020. Pursuant to a consulting agreement dated September 21, 2020, the Company issued warrants to purchase 5,000 shares of common stock vesting immediately and having a 4-year term. The shares underlying these warrants are unregistered and have a strike price of $11.85 per share. The Company fair valued these warrants $9.00 per share, recognizing $45,000 as professional fee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CELSION EMPLOYEE BENEFIT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Celsion maintains a defined-contribution plan under Section 401(k) of the Internal Revenue Code. The plan covers substantially all employees over the age of 21. Participating employees may defer a portion of their pretax earnings, up to the IRS annual contribution limit. The Company makes a matching contribution up to a maximum of 3% of an employee’s annual salary. The Company’s total matching contributions for the years ended December 31, 2021 and 2020 was $107,000 and $111,000, respectively. The Company also provided a discretionary contribution totaling $172,000 and $178,000 in 2021 and 2020, respectively. The discretionary contribution represented 5% both years of each eligible participant’s annual salary in 2021 and 2020, respectively. Each year’s discretionary contribution was paid out in January of the following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This Lease was set to expire on April 30, 2017. In April 2017, the Company and the landlord amended the Lease effective May 1, 2017.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Times New Roman" w:cs="Times New Roman" w:eastAsia="Times New Roman" w:hAnsi="Times New Roman"/>
          <w:sz w:val="29"/>
          <w:szCs w:val="29"/>
          <w:color w:val="auto"/>
          <w:vertAlign w:val="superscript"/>
        </w:rPr>
        <w:t>st</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Lease Amendment. Effective January 9, 2019, the Company amended the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extended the lease term by one year to September 1, 2023. The Company had a one-time option to cancel the lease after 40 months as part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which was extended with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 The option to cancel the lease expired on August 31,</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2020. The monthly rent under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 ranges from approximately $25,035 in the first year to approximately $27,088 in the final year of the lease.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mentioned in Note 4, the Company adopted ASC Topic 842 on January 1, 2019 using the modified retrospective transition method for all lease arrangements at the beginning of the period of adoption. Results for reporting periods beginning January 1, 2019 are presented under ASC Topic 842, while prior period amounts were not adjusted and continue to be reported in accordance with our historic accounting under Topic 840, Leases. The standard had a material impact on the Company’s Consolidated Condensed Balance Sheet but had no impact on the Company’s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The Company elected the package of practical expedients for leases that commenced before the effective date of ASC Topic 842 whereby the Company elected to not reassess the following: (i) whether any expired or existing contracts contain leases; (ii) the lease classification for any expired or existing leases; and (iii) initial direct costs for any existing leases. In addition, the Company has lease agreements with lease and non-lease components, and the Company has elected the practical expedient for all underlying asset classes and account for them as a single lease component. The Company has no finance leases. The Company determines if an arrangement is a lease at inception. The Company has operating leases for office space and research and development facilities. Neither of the Company’s leases include options to renew, however, one contains an option for early termination. The Company has considered the option of early termination in measurement of right-of-use assets and lease liabilities and has determined it is not reasonably certain to be</w:t>
      </w:r>
    </w:p>
    <w:p>
      <w:pPr>
        <w:spacing w:after="0" w:line="1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terminated. In connection with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 Following is a table of the lease payments and maturity of the Company’s operating lease liabilities as of December 31, 2021:</w:t>
      </w:r>
    </w:p>
    <w:p>
      <w:pPr>
        <w:spacing w:after="0" w:line="2"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9"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b w:val="1"/>
          <w:bCs w:val="1"/>
          <w:color w:val="auto"/>
        </w:rPr>
        <w:t>year ending</w:t>
      </w:r>
    </w:p>
    <w:p>
      <w:pPr>
        <w:spacing w:after="0" w:line="9"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601,495</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238,609</w:t>
            </w:r>
          </w:p>
        </w:tc>
        <w:tc>
          <w:tcPr>
            <w:tcW w:w="140" w:type="dxa"/>
            <w:vAlign w:val="bottom"/>
          </w:tcPr>
          <w:p>
            <w:pPr>
              <w:spacing w:after="0"/>
              <w:rPr>
                <w:sz w:val="18"/>
                <w:szCs w:val="18"/>
                <w:color w:val="auto"/>
              </w:rPr>
            </w:pPr>
          </w:p>
        </w:tc>
      </w:tr>
      <w:tr>
        <w:trPr>
          <w:trHeight w:val="23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5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r>
      <w:tr>
        <w:trPr>
          <w:trHeight w:val="203"/>
        </w:trPr>
        <w:tc>
          <w:tcPr>
            <w:tcW w:w="9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5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840,104</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3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(60,485)</w:t>
            </w:r>
          </w:p>
        </w:tc>
      </w:tr>
      <w:tr>
        <w:trPr>
          <w:trHeight w:val="210"/>
        </w:trPr>
        <w:tc>
          <w:tcPr>
            <w:tcW w:w="9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52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779,619</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9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5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 years</w:t>
            </w:r>
          </w:p>
        </w:tc>
      </w:tr>
      <w:tr>
        <w:trPr>
          <w:trHeight w:val="216"/>
        </w:trPr>
        <w:tc>
          <w:tcPr>
            <w:tcW w:w="9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9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2021, operating lease expense was $560,513 and cash paid for operating leases included in operating cash flows was $568,269. For 2020, operating lease expense was $522,380 and cash paid for operating leases included in operating cash flows was $525,809.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 For the years ended December 31, 2021 and 2020, the Company has not incurred any expense under this agreement and will not incur any future liabilities until commercial sales commence.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jc w:val="both"/>
        <w:spacing w:after="0" w:line="256" w:lineRule="auto"/>
        <w:rPr>
          <w:sz w:val="20"/>
          <w:szCs w:val="20"/>
          <w:color w:val="auto"/>
        </w:rPr>
      </w:pPr>
      <w:r>
        <w:rPr>
          <w:rFonts w:ascii="Times New Roman" w:cs="Times New Roman" w:eastAsia="Times New Roman" w:hAnsi="Times New Roman"/>
          <w:sz w:val="18"/>
          <w:szCs w:val="18"/>
          <w:color w:val="auto"/>
        </w:rPr>
        <w:t>Under the November 1999 license agreement with Duke, the Company has rights to the thermally sensitive liposome technology, including Duke’s U.S. patents covering the technology as well as all foreign counterparts and related pending applications. Foreign counterpart applications have been issued in the EU, Hong Kong, Australia and Canada and have been allowed in Japan. The EU patent has been validated in Austria, Belgium, France, Germany, Great Britain, Italy, Luxembourg, Monaco, Spain and Switzerland. In addition, the Duke license agreement provides the Company with rights to multiple issued U.S. patents related to the formulation, method of making and use of heat sensitive liposomes. The Company’s rights under the license agreement with Duke extend for the life of the last-to-expire of the licensed patents.</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addition to the rights available to the Company under completed or pending license agreements, the Company is actively pursuing patent protection for technologies developed by the Company. Among these patents is a family of a pending US, and international issued patents, which seek to protect the Company’s proprietary method of storing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is critical for worldwide distribution channels.</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jc w:val="both"/>
        <w:spacing w:after="0" w:line="185" w:lineRule="auto"/>
        <w:rPr>
          <w:sz w:val="20"/>
          <w:szCs w:val="20"/>
          <w:color w:val="auto"/>
        </w:rPr>
      </w:pPr>
      <w:r>
        <w:rPr>
          <w:rFonts w:ascii="Times New Roman" w:cs="Times New Roman" w:eastAsia="Times New Roman" w:hAnsi="Times New Roman"/>
          <w:sz w:val="18"/>
          <w:szCs w:val="18"/>
          <w:color w:val="auto"/>
        </w:rPr>
        <w:t>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certain performance requirements under the agreement. The agreement</w:t>
      </w:r>
    </w:p>
    <w:p>
      <w:pPr>
        <w:jc w:val="both"/>
        <w:spacing w:after="0" w:line="233" w:lineRule="auto"/>
        <w:rPr>
          <w:sz w:val="20"/>
          <w:szCs w:val="20"/>
          <w:color w:val="auto"/>
        </w:rPr>
      </w:pPr>
      <w:r>
        <w:rPr>
          <w:rFonts w:ascii="Times New Roman" w:cs="Times New Roman" w:eastAsia="Times New Roman" w:hAnsi="Times New Roman"/>
          <w:sz w:val="18"/>
          <w:szCs w:val="18"/>
          <w:color w:val="auto"/>
        </w:rPr>
        <w:t>will initially be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Celsion around the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HCC clinical indication and other activities</w:t>
      </w:r>
    </w:p>
    <w:p>
      <w:pPr>
        <w:jc w:val="both"/>
        <w:spacing w:after="0" w:line="244" w:lineRule="auto"/>
        <w:rPr>
          <w:sz w:val="20"/>
          <w:szCs w:val="20"/>
          <w:color w:val="auto"/>
        </w:rPr>
      </w:pPr>
      <w:r>
        <w:rPr>
          <w:rFonts w:ascii="Times New Roman" w:cs="Times New Roman" w:eastAsia="Times New Roman" w:hAnsi="Times New Roman"/>
          <w:sz w:val="17"/>
          <w:szCs w:val="17"/>
          <w:color w:val="auto"/>
        </w:rPr>
        <w:t>to further the development of ThermoDox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based on findings of the ongoing post-study analysis of the HEAT Study data.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events subsequent to the date of the balance sheet through the date of the Financial Statements.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2022, the Company invested $250,000 in a company which uses next generation gene modulation tools providing services to the Huntsville operations. The funds are in the form of a senior convertible note that bears fixed interest and is classified as a short-term investment on the balance sheet.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Offering of $14.25 million, or approximately $28.50 million in the aggregate for the Offerings, before the deduction of the Placement Agent’s (as defined below) fee and offering expenses. The shares of Series A Preferred Stock will have a stated value of $300 per share and will be convertible, at a conversion price of $13.65 per share, into 1,098,901 shares of common stock (subject in certain circumstances to adjustments). The shares of Series B Preferred Stock will have a stated value of $300 per share and will be convertible, at a conversion price of $15.00 per share, into 1,000,000 shares of common stock (subject in certain circumstances to adjustments). The Series A Preferred Stock and the Series B Preferred Stock are being offered by the Company pursuant to a registration statement on Form S-3 (File No. 333-254515) (the “Registration Statement”) filed under the Securities Act of 1933, as amended (the “Securities Act”). The Purchase Agreement contains customary representations, warranties and agreements by the Company and customary conditions to closing. The closing of the Offerings occurred on January 13,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outstanding Series B Preferred Stock. As a result, all shares of the Preferred Stock have been retired and are no longer outstanding and Celsion’s only class of outstanding stock is its common stock. Each share of common stock entitles the holder to one vote.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 See Note 10 to the Financial Statements. The reverse stock split was previously approved by the Company’s stockholders at the 2022 Special Meeting held on February 24, 2022, and the Company subsequently filed a Certificate of Amendment to its Certificate of Incorporation to effect the stock consolidation.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Celsion Corporation</w:t>
            </w:r>
          </w:p>
        </w:tc>
        <w:tc>
          <w:tcPr>
            <w:tcW w:w="5500" w:type="dxa"/>
            <w:vAlign w:val="bottom"/>
          </w:tcPr>
          <w:p>
            <w:pPr>
              <w:spacing w:after="0"/>
              <w:rPr>
                <w:sz w:val="20"/>
                <w:szCs w:val="20"/>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CLSN Laboratories, Inc.</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Celsion GmbH</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Celsion Corporation on Form S-1 (333-221543, 333-219414, 333-217156, 333-214353 and 333-234603), Form S-3 (Nos. 333-174960, 333-183286, 333-198786, 333-193936, 333-205608, 333-206789 and 333-227236) and on Form S-8 (Nos. 33 139784, 333-145680, 333-183288, 333-207864) of our report dated March 31, 2022, relating to the consolidated financial statements,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these Registration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EXECUTIVE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Celsion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2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FINANCIAL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Celsion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2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Celsion Corporation (the “Company”) for the year ended December 31, 2021, as filed with the Securities and Exchange Commission on or about March 31, 2022 (the “Report”), I, Michael H. Tardugno,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Celsion Corporation (the “Company”) for the year ended December 31, 2021, as filed with the Securities and Exchange Commission on or about March Date: March 31, 2022 (the “Report”), I, Jeffrey W. Church, Executive Vice President and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lowerRoman"/>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upperLetter"/>
      <w:start w:val="61"/>
    </w:lvl>
  </w:abstractNum>
  <w:abstractNum w:abstractNumId="12">
    <w:nsid w:val="57E4CCAF"/>
    <w:multiLevelType w:val="hybridMultilevel"/>
    <w:lvl w:ilvl="0">
      <w:lvlJc w:val="left"/>
      <w:lvlText w:val="●"/>
      <w:numFmt w:val="bullet"/>
      <w:start w:val="1"/>
    </w:lvl>
    <w:lvl w:ilvl="1">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lvl w:ilvl="1">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lvl w:ilvl="1">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lowerRoman"/>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lvl w:ilvl="1">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upperLetter"/>
      <w:start w:val="61"/>
    </w:lvl>
  </w:abstractNum>
  <w:abstractNum w:abstractNumId="39">
    <w:nsid w:val="47398C89"/>
    <w:multiLevelType w:val="hybridMultilevel"/>
    <w:lvl w:ilvl="0">
      <w:lvlJc w:val="left"/>
      <w:lvlText w:val="●"/>
      <w:numFmt w:val="bullet"/>
      <w:start w:val="1"/>
    </w:lvl>
    <w:lvl w:ilvl="1">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2"/>
    </w:lvl>
  </w:abstractNum>
  <w:abstractNum w:abstractNumId="48">
    <w:nsid w:val="77AE35EB"/>
    <w:multiLevelType w:val="hybridMultilevel"/>
    <w:lvl w:ilvl="0">
      <w:lvlJc w:val="left"/>
      <w:lvlText w:val="(%1)"/>
      <w:numFmt w:val="lowerLetter"/>
      <w:start w:val="3"/>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lvl w:ilvl="1">
      <w:lvlJc w:val="left"/>
      <w:lvlText w:val="%2."/>
      <w:numFmt w:val="decimal"/>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lvl w:ilvl="1">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8"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113" Type="http://schemas.openxmlformats.org/officeDocument/2006/relationships/hyperlink" Target="https://www.sec.gov/Archives/edgar/data/749647/000143774914014489/ex2-1.htm" TargetMode="External"/><Relationship Id="rId114" Type="http://schemas.openxmlformats.org/officeDocument/2006/relationships/hyperlink" Target="https://www.sec.gov/Archives/edgar/data/749647/000119312504133283/dex31.htm" TargetMode="External"/><Relationship Id="rId115" Type="http://schemas.openxmlformats.org/officeDocument/2006/relationships/hyperlink" Target="https://www.sec.gov/Archives/edgar/data/749647/000093173100000574/0000931731-00-000574-0004.txt" TargetMode="External"/><Relationship Id="rId116" Type="http://schemas.openxmlformats.org/officeDocument/2006/relationships/hyperlink" Target="https://www.sec.gov/Archives/edgar/data/749647/000119312506042024/dex31.htm" TargetMode="External"/><Relationship Id="rId117" Type="http://schemas.openxmlformats.org/officeDocument/2006/relationships/hyperlink" Target="https://www.sec.gov/Archives/edgar/data/749647/000143774913013524/ex3-1.htm" TargetMode="External"/><Relationship Id="rId119" Type="http://schemas.openxmlformats.org/officeDocument/2006/relationships/hyperlink" Target="https://www.sec.gov/Archives/edgar/data/749647/000143774916033902/ex3-1.htm" TargetMode="External"/><Relationship Id="rId120" Type="http://schemas.openxmlformats.org/officeDocument/2006/relationships/hyperlink" Target="https://www.sec.gov/Archives/edgar/data/749647/000143774917010183/ex3-1.htm" TargetMode="External"/><Relationship Id="rId121" Type="http://schemas.openxmlformats.org/officeDocument/2006/relationships/hyperlink" Target="https://www.sec.gov/Archives/edgar/data/749647/000149315220015690/ex3-1.htm" TargetMode="External"/><Relationship Id="rId122" Type="http://schemas.openxmlformats.org/officeDocument/2006/relationships/hyperlink" Target="https://www.sec.gov/Archives/edgar/data/749647/000093173100000574/0000931731-00-000574-0006.txt" TargetMode="External"/><Relationship Id="rId123" Type="http://schemas.openxmlformats.org/officeDocument/2006/relationships/hyperlink" Target="https://www.sec.gov/Archives/edgar/data/749647/000143774917017965/ex_98287.htm" TargetMode="External"/><Relationship Id="rId124" Type="http://schemas.openxmlformats.org/officeDocument/2006/relationships/hyperlink" Target="https://www.sec.gov/Archives/edgar/data/749647/000143774917012481/ex4-4.htm" TargetMode="External"/><Relationship Id="rId125" Type="http://schemas.openxmlformats.org/officeDocument/2006/relationships/hyperlink" Target="https://www.sec.gov/Archives/edgar/data/749647/000143774917002221/ex4-26.htm" TargetMode="External"/><Relationship Id="rId126" Type="http://schemas.openxmlformats.org/officeDocument/2006/relationships/hyperlink" Target="https://www.sec.gov/Archives/edgar/data/749647/000149315220017312/ex4-1.htm" TargetMode="External"/><Relationship Id="rId127" Type="http://schemas.openxmlformats.org/officeDocument/2006/relationships/hyperlink" Target="https://www.sec.gov/Archives/edgar/data/749647/000149315220003910/ex4-1.htm" TargetMode="External"/><Relationship Id="rId128" Type="http://schemas.openxmlformats.org/officeDocument/2006/relationships/hyperlink" Target="https://www.sec.gov/Archives/edgar/data/749647/000149315220004717/ex4-5.htm" TargetMode="External"/><Relationship Id="rId129" Type="http://schemas.openxmlformats.org/officeDocument/2006/relationships/hyperlink" Target="https://www.sec.gov/Archives/edgar/data/749647/000143774917009400/ex10-1.htm" TargetMode="External"/><Relationship Id="rId130" Type="http://schemas.openxmlformats.org/officeDocument/2006/relationships/hyperlink" Target="https://www.sec.gov/Archives/edgar/data/749647/000143774917019215/ex_99691.htm" TargetMode="External"/><Relationship Id="rId131" Type="http://schemas.openxmlformats.org/officeDocument/2006/relationships/hyperlink" Target="https://www.sec.gov/Archives/edgar/data/749647/000143774918010040/ex_114605.htm" TargetMode="External"/><Relationship Id="rId132" Type="http://schemas.openxmlformats.org/officeDocument/2006/relationships/hyperlink" Target="https://www.sec.gov/Archives/edgar/data/749647/000149315219007203/ex10-1.htm" TargetMode="External"/><Relationship Id="rId133" Type="http://schemas.openxmlformats.org/officeDocument/2006/relationships/hyperlink" Target="https://www.sec.gov/Archives/edgar/data/749647/000149315220011263/ex10-1.htm" TargetMode="External"/><Relationship Id="rId134" Type="http://schemas.openxmlformats.org/officeDocument/2006/relationships/hyperlink" Target="https://www.sec.gov/Archives/edgar/data/749647/000143774916028601/ex10-8.htm" TargetMode="External"/><Relationship Id="rId135" Type="http://schemas.openxmlformats.org/officeDocument/2006/relationships/hyperlink" Target="https://www.sec.gov/Archives/edgar/data/749647/000074964710000024/offerletter.htm" TargetMode="External"/><Relationship Id="rId136" Type="http://schemas.openxmlformats.org/officeDocument/2006/relationships/hyperlink" Target="https://www.sec.gov/Archives/edgar/data/749647/000093173199000517/0000931731-99-000517.txt" TargetMode="External"/><Relationship Id="rId137" Type="http://schemas.openxmlformats.org/officeDocument/2006/relationships/hyperlink" Target="https://www.sec.gov/Archives/edgar/data/749647/000100515003001416/ex10-1.txt" TargetMode="External"/><Relationship Id="rId138" Type="http://schemas.openxmlformats.org/officeDocument/2006/relationships/hyperlink" Target="https://www.sec.gov/Archives/edgar/data/749647/000104746909003319/a2191931zex-10_15.htm" TargetMode="External"/><Relationship Id="rId139" Type="http://schemas.openxmlformats.org/officeDocument/2006/relationships/hyperlink" Target="https://www.sec.gov/Archives/edgar/data/749647/000074964711000009/amend2yakult.htm" TargetMode="External"/><Relationship Id="rId140" Type="http://schemas.openxmlformats.org/officeDocument/2006/relationships/hyperlink" Target="https://www.sec.gov/Archives/edgar/data/749647/000074964711000106/exhibit99_1.htm" TargetMode="External"/><Relationship Id="rId141" Type="http://schemas.openxmlformats.org/officeDocument/2006/relationships/hyperlink" Target="https://www.sec.gov/Archives/edgar/data/749647/000143774917019215/ex_99690.htm" TargetMode="External"/><Relationship Id="rId142" Type="http://schemas.openxmlformats.org/officeDocument/2006/relationships/hyperlink" Target="https://www.sec.gov/Archives/edgar/data/749647/000143774912008356/ex10-2.htm" TargetMode="External"/><Relationship Id="rId143" Type="http://schemas.openxmlformats.org/officeDocument/2006/relationships/hyperlink" Target="https://www.sec.gov/Archives/edgar/data/749647/000143774913005568/ex10-1.htm" TargetMode="External"/><Relationship Id="rId144" Type="http://schemas.openxmlformats.org/officeDocument/2006/relationships/hyperlink" Target="https://www.sec.gov/Archives/edgar/data/749647/000143774915004805/ex10-27.htm" TargetMode="External"/><Relationship Id="rId145" Type="http://schemas.openxmlformats.org/officeDocument/2006/relationships/hyperlink" Target="https://www.sec.gov/Archives/edgar/data/749647/000143774916041670/ex10-1.htm" TargetMode="External"/><Relationship Id="rId146" Type="http://schemas.openxmlformats.org/officeDocument/2006/relationships/hyperlink" Target="https://www.sec.gov/Archives/edgar/data/749647/000143774916041670/ex10-2.htm" TargetMode="External"/><Relationship Id="rId147" Type="http://schemas.openxmlformats.org/officeDocument/2006/relationships/hyperlink" Target="https://www.sec.gov/Archives/edgar/data/749647/000143774916041670/ex10-3.htm" TargetMode="External"/><Relationship Id="rId148" Type="http://schemas.openxmlformats.org/officeDocument/2006/relationships/hyperlink" Target="https://www.sec.gov/Archives/edgar/data/749647/000143774916041670/ex10-4.htm" TargetMode="External"/><Relationship Id="rId149" Type="http://schemas.openxmlformats.org/officeDocument/2006/relationships/hyperlink" Target="https://www.sec.gov/Archives/edgar/data/749647/000143774917002221/ex10-33.htm" TargetMode="External"/><Relationship Id="rId150" Type="http://schemas.openxmlformats.org/officeDocument/2006/relationships/hyperlink" Target="https://www.sec.gov/Archives/edgar/data/749647/000143774918009535/ex_113795.htm" TargetMode="External"/><Relationship Id="rId151" Type="http://schemas.openxmlformats.org/officeDocument/2006/relationships/hyperlink" Target="https://www.sec.gov/Archives/edgar/data/749647/000149315218011631/ex10-0.htm" TargetMode="External"/><Relationship Id="rId152" Type="http://schemas.openxmlformats.org/officeDocument/2006/relationships/hyperlink" Target="https://www.sec.gov/Archives/edgar/data/749647/000149315220017312/ex10-1.htm" TargetMode="External"/><Relationship Id="rId153" Type="http://schemas.openxmlformats.org/officeDocument/2006/relationships/hyperlink" Target="https://www.sec.gov/Archives/edgar/data/749647/000143774918016495/ex_123283.htm" TargetMode="External"/><Relationship Id="rId154" Type="http://schemas.openxmlformats.org/officeDocument/2006/relationships/hyperlink" Target="https://www.sec.gov/Archives/edgar/data/749647/000149315218017054/ex10-1.htm" TargetMode="External"/><Relationship Id="rId155" Type="http://schemas.openxmlformats.org/officeDocument/2006/relationships/hyperlink" Target="https://www.sec.gov/Archives/edgar/data/749647/000149315219016060/ex10-1.htm" TargetMode="External"/><Relationship Id="rId156" Type="http://schemas.openxmlformats.org/officeDocument/2006/relationships/hyperlink" Target="https://www.sec.gov/Archives/edgar/data/749647/000149315221001760/ex1-1.htm" TargetMode="External"/><Relationship Id="rId157" Type="http://schemas.openxmlformats.org/officeDocument/2006/relationships/hyperlink" Target="https://www.sec.gov/Archives/edgar/data/749647/000149315221001760/ex10-1.htm" TargetMode="External"/><Relationship Id="rId158" Type="http://schemas.openxmlformats.org/officeDocument/2006/relationships/hyperlink" Target="https://www.sec.gov/Archives/edgar/data/749647/000149315220003271/ex10-1.htm" TargetMode="External"/><Relationship Id="rId159" Type="http://schemas.openxmlformats.org/officeDocument/2006/relationships/hyperlink" Target="https://www.sec.gov/Archives/edgar/data/749647/000149315220011263/ex10-2.htm" TargetMode="External"/><Relationship Id="rId160" Type="http://schemas.openxmlformats.org/officeDocument/2006/relationships/hyperlink" Target="https://www.sec.gov/Archives/edgar/data/749647/00014931522000391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2022-03-31T08:11:48Z</dcterms:created>
  <dcterms:modified xsi:type="dcterms:W3CDTF">2022-03-31T08:11:48Z</dcterms:modified>
</cp:coreProperties>
</file>