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207645</wp:posOffset>
            </wp:positionH>
            <wp:positionV relativeFrom="page">
              <wp:posOffset>292100</wp:posOffset>
            </wp:positionV>
            <wp:extent cx="713422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4254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351790</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3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5"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6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the Securities Exchange Act of 1934 (Amendment No. )</w:t>
      </w:r>
    </w:p>
    <w:p>
      <w:pPr>
        <w:spacing w:after="0" w:line="160" w:lineRule="exact"/>
        <w:rPr>
          <w:sz w:val="24"/>
          <w:szCs w:val="24"/>
          <w:color w:val="auto"/>
        </w:rPr>
      </w:pPr>
    </w:p>
    <w:p>
      <w:pPr>
        <w:spacing w:after="0" w:line="207" w:lineRule="exact"/>
        <w:tabs>
          <w:tab w:leader="none" w:pos="336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0" w:lineRule="exact"/>
        <w:rPr>
          <w:sz w:val="24"/>
          <w:szCs w:val="24"/>
          <w:color w:val="auto"/>
        </w:rPr>
      </w:pPr>
    </w:p>
    <w:p>
      <w:pPr>
        <w:ind w:left="640" w:hanging="633"/>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15" w:lineRule="exact"/>
        <w:rPr>
          <w:rFonts w:ascii="MS PGothic" w:cs="MS PGothic" w:eastAsia="MS PGothic" w:hAnsi="MS PGothic"/>
          <w:sz w:val="18"/>
          <w:szCs w:val="18"/>
          <w:color w:val="auto"/>
        </w:rPr>
      </w:pPr>
    </w:p>
    <w:p>
      <w:pPr>
        <w:ind w:left="640" w:hanging="633"/>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4" w:lineRule="exact"/>
        <w:rPr>
          <w:sz w:val="24"/>
          <w:szCs w:val="24"/>
          <w:color w:val="auto"/>
        </w:rPr>
      </w:pPr>
    </w:p>
    <w:p>
      <w:pPr>
        <w:ind w:left="640" w:hanging="633"/>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0" w:lineRule="exact"/>
        <w:rPr>
          <w:sz w:val="24"/>
          <w:szCs w:val="24"/>
          <w:color w:val="auto"/>
        </w:rPr>
      </w:pPr>
    </w:p>
    <w:p>
      <w:pPr>
        <w:ind w:left="640" w:hanging="633"/>
        <w:spacing w:after="0"/>
        <w:tabs>
          <w:tab w:leader="none" w:pos="6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19" w:lineRule="exact"/>
        <w:rPr>
          <w:rFonts w:ascii="MS PGothic" w:cs="MS PGothic" w:eastAsia="MS PGothic" w:hAnsi="MS PGothic"/>
          <w:sz w:val="18"/>
          <w:szCs w:val="18"/>
          <w:color w:val="auto"/>
        </w:rPr>
      </w:pPr>
    </w:p>
    <w:p>
      <w:pPr>
        <w:ind w:left="640" w:hanging="633"/>
        <w:spacing w:after="0"/>
        <w:tabs>
          <w:tab w:leader="none" w:pos="6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IMUNON, INC.</w:t>
      </w:r>
    </w:p>
    <w:p>
      <w:pPr>
        <w:spacing w:after="0" w:line="4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19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9"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0" w:lineRule="exact"/>
        <w:rPr>
          <w:sz w:val="24"/>
          <w:szCs w:val="24"/>
          <w:color w:val="auto"/>
        </w:rPr>
      </w:pPr>
    </w:p>
    <w:p>
      <w:pPr>
        <w:ind w:left="640" w:hanging="633"/>
        <w:spacing w:after="0"/>
        <w:tabs>
          <w:tab w:leader="none" w:pos="6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0" w:lineRule="exact"/>
        <w:rPr>
          <w:sz w:val="24"/>
          <w:szCs w:val="24"/>
          <w:color w:val="auto"/>
        </w:rPr>
      </w:pPr>
    </w:p>
    <w:p>
      <w:pPr>
        <w:ind w:left="640" w:hanging="633"/>
        <w:spacing w:after="0"/>
        <w:tabs>
          <w:tab w:leader="none" w:pos="6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19" w:lineRule="exact"/>
        <w:rPr>
          <w:rFonts w:ascii="MS PGothic" w:cs="MS PGothic" w:eastAsia="MS PGothic" w:hAnsi="MS PGothic"/>
          <w:sz w:val="18"/>
          <w:szCs w:val="18"/>
          <w:color w:val="auto"/>
        </w:rPr>
      </w:pPr>
    </w:p>
    <w:p>
      <w:pPr>
        <w:ind w:left="640" w:hanging="633"/>
        <w:spacing w:after="0"/>
        <w:tabs>
          <w:tab w:leader="none" w:pos="6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151130</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168275</wp:posOffset>
            </wp:positionV>
            <wp:extent cx="71342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490220</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39"/>
          </w:cols>
          <w:pgMar w:left="320" w:top="733"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2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997 LENOX DRIVE, SUITE 100</w:t>
      </w:r>
    </w:p>
    <w:p>
      <w:pPr>
        <w:spacing w:after="0" w:line="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LAWRENCEVILLE, NJ 08648</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VIRTUALLY ON FRIDAY, JULY 11, 2025</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 10:00 A.M., EASTERN TIME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Notice is hereby given that the annual meeting (the “Annual Meeting”) of the stockholders of IMUNON, INC., a Delaware corporation (the “Company”), will be held at 10:00 a.m., local time, on Friday, July 11, 2025. You will be able to attend the Annual Meeting, vote, and submit your questions during the meeting via live webcast through the link </w:t>
      </w:r>
      <w:r>
        <w:rPr>
          <w:rFonts w:ascii="Times New Roman" w:cs="Times New Roman" w:eastAsia="Times New Roman" w:hAnsi="Times New Roman"/>
          <w:sz w:val="18"/>
          <w:szCs w:val="18"/>
          <w:b w:val="1"/>
          <w:bCs w:val="1"/>
          <w:i w:val="1"/>
          <w:iCs w:val="1"/>
          <w:u w:val="single" w:color="auto"/>
          <w:color w:val="auto"/>
        </w:rPr>
        <w:t>www.virtualshareholdermeeting.com/IMNN2025</w:t>
      </w:r>
      <w:r>
        <w:rPr>
          <w:rFonts w:ascii="Times New Roman" w:cs="Times New Roman" w:eastAsia="Times New Roman" w:hAnsi="Times New Roman"/>
          <w:sz w:val="18"/>
          <w:szCs w:val="18"/>
          <w:color w:val="auto"/>
        </w:rPr>
        <w:t xml:space="preserve"> and entering your 16-digit control number included on your proxy card or in the instructions that accompanied your proxy materials. We have adopted a virtual meeting format to expand access to the meeting, improve communications and impose lower costs on our stockholders, the Company and the environment. We believe virtual meetings enable increased stockholder participation from locations around the world. The Annual Meeting shall be held for the following purposes, all as more fully described in the accompanying Proxy Statement:</w:t>
      </w:r>
    </w:p>
    <w:p>
      <w:pPr>
        <w:spacing w:after="0" w:line="187" w:lineRule="exact"/>
        <w:rPr>
          <w:sz w:val="20"/>
          <w:szCs w:val="20"/>
          <w:color w:val="auto"/>
        </w:rPr>
      </w:pPr>
    </w:p>
    <w:p>
      <w:pPr>
        <w:ind w:left="960" w:hanging="313"/>
        <w:spacing w:after="0" w:line="258"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two Class III Directors to serve until the Annual Meeting of Stockholders in 2028 or until their successors are duly elected and qualified;</w:t>
      </w:r>
    </w:p>
    <w:p>
      <w:pPr>
        <w:ind w:left="960" w:hanging="313"/>
        <w:spacing w:after="0" w:line="247"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WithumSmith+Brown PC as the Company’s independent registered public accounting firm for the fiscal year ending December 31, 2025;</w:t>
      </w:r>
    </w:p>
    <w:p>
      <w:pPr>
        <w:ind w:left="960" w:hanging="313"/>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by a non-binding advisory vote, the 2024 executive compensation for the Company’s Named Executive Officers;</w:t>
      </w:r>
    </w:p>
    <w:p>
      <w:pPr>
        <w:spacing w:after="0" w:line="6" w:lineRule="exact"/>
        <w:rPr>
          <w:rFonts w:ascii="Times New Roman" w:cs="Times New Roman" w:eastAsia="Times New Roman" w:hAnsi="Times New Roman"/>
          <w:sz w:val="18"/>
          <w:szCs w:val="18"/>
          <w:color w:val="auto"/>
        </w:rPr>
      </w:pPr>
    </w:p>
    <w:p>
      <w:pPr>
        <w:jc w:val="both"/>
        <w:ind w:left="960" w:hanging="313"/>
        <w:spacing w:after="0" w:line="247"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for purposes of complying with Nasdaq Listing Rule 5635(d), the issuance of shares of our common stock underlying certain warrants issued by us pursuant to that certain Securities Purchase Agreement, dated as of May 23, 2025, by and among us and certain institutional and accredited investors, and the Engagement Letter, between the Company and H.C. Wainwright &amp; Co., LLC, dated as of May 22, 2025 (the “Issuance Proposal”);</w:t>
      </w:r>
    </w:p>
    <w:p>
      <w:pPr>
        <w:spacing w:after="0" w:line="1" w:lineRule="exact"/>
        <w:rPr>
          <w:rFonts w:ascii="Times New Roman" w:cs="Times New Roman" w:eastAsia="Times New Roman" w:hAnsi="Times New Roman"/>
          <w:sz w:val="18"/>
          <w:szCs w:val="18"/>
          <w:color w:val="auto"/>
        </w:rPr>
      </w:pPr>
    </w:p>
    <w:p>
      <w:pPr>
        <w:jc w:val="both"/>
        <w:ind w:left="960" w:hanging="313"/>
        <w:spacing w:after="0" w:line="247"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Company’s Amended and Restated Certificate of Incorporation to increase the number of our authorized shares of common stock from 112,500,000 shares to 350,000,000 shares and to make a corresponding change to the number of authorized shares of capital stock (the “Authorized Share Increase”);</w:t>
      </w:r>
    </w:p>
    <w:p>
      <w:pPr>
        <w:spacing w:after="0" w:line="1" w:lineRule="exact"/>
        <w:rPr>
          <w:rFonts w:ascii="Times New Roman" w:cs="Times New Roman" w:eastAsia="Times New Roman" w:hAnsi="Times New Roman"/>
          <w:sz w:val="18"/>
          <w:szCs w:val="18"/>
          <w:color w:val="auto"/>
        </w:rPr>
      </w:pPr>
    </w:p>
    <w:p>
      <w:pPr>
        <w:jc w:val="both"/>
        <w:ind w:left="960" w:hanging="313"/>
        <w:spacing w:after="0" w:line="247"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Company’s Amended and Restated Certificate of Incorporation to effect, at the discretion of our Board of Directors, a reverse stock split at a ratio between, and including, 1:5 and 1:18, with the exact ratio to be set within that range at the discretion of our Board of Directors without further approval or authorization of our stockholders (the “Reverse Stock Split”);</w:t>
      </w:r>
    </w:p>
    <w:p>
      <w:pPr>
        <w:spacing w:after="0" w:line="1" w:lineRule="exact"/>
        <w:rPr>
          <w:rFonts w:ascii="Times New Roman" w:cs="Times New Roman" w:eastAsia="Times New Roman" w:hAnsi="Times New Roman"/>
          <w:sz w:val="18"/>
          <w:szCs w:val="18"/>
          <w:color w:val="auto"/>
        </w:rPr>
      </w:pPr>
    </w:p>
    <w:p>
      <w:pPr>
        <w:ind w:left="960" w:hanging="313"/>
        <w:spacing w:after="0" w:line="247"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IMUNON, INC. 2018 Stock Incentive Plan to increase the aggregate number of shares of common stock that may be delivered pursuant to all awards granted under the Plan; and</w:t>
      </w:r>
    </w:p>
    <w:p>
      <w:pPr>
        <w:ind w:left="960" w:hanging="313"/>
        <w:spacing w:after="0" w:line="247"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any adjournment or postponement of the Annual Meeting, if necessary, to solicit additional proxies if there are insufficient votes at the time of the Annual Meeting to approve any of the proposals presented for a vote at the Annual Meeting.</w:t>
      </w:r>
    </w:p>
    <w:p>
      <w:pPr>
        <w:ind w:left="960" w:hanging="313"/>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act upon any other matters that may properly come before the Annual Meeting or any adjournment or postponement thereof.</w:t>
      </w:r>
    </w:p>
    <w:p>
      <w:pPr>
        <w:spacing w:after="0" w:line="20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close of business on May 13, 2025 has been fixed as the record date for the determination of stockholders of the Company entitled to notice of, and to vote at the Annual Meeting. Only stockholders of record at the close of business on May 13, 2025 are entitled to notice of, and to vote at, the Annual Meeting and any adjournment or postponement thereof.</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All stockholders are cordially invited to attend the Annual Meeting. However, whether or not you expect to attend via the live webcast, please complete, sign, date and return the enclosed Proxy Card as promptly as possible in the envelope provided for that purpose. Returning your Proxy Card will ensure your representation and help to ensure the presence of a quorum at the Annual Meeting. Your proxy is revocable, as set forth in the accompanying Proxy Statement. Therefore, you may attend the Annual Meeting and vote your shares via the live webcast even if you send in your Proxy Card.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74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By Order of the Board of Directors</w:t>
            </w:r>
          </w:p>
        </w:tc>
        <w:tc>
          <w:tcPr>
            <w:tcW w:w="0" w:type="dxa"/>
            <w:vAlign w:val="bottom"/>
          </w:tcPr>
          <w:p>
            <w:pPr>
              <w:spacing w:after="0"/>
              <w:rPr>
                <w:sz w:val="1"/>
                <w:szCs w:val="1"/>
                <w:color w:val="auto"/>
              </w:rPr>
            </w:pPr>
          </w:p>
        </w:tc>
      </w:tr>
      <w:tr>
        <w:trPr>
          <w:trHeight w:val="426"/>
        </w:trPr>
        <w:tc>
          <w:tcPr>
            <w:tcW w:w="5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June 9, 2025</w:t>
            </w:r>
          </w:p>
        </w:tc>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Susan Eylward</w:t>
            </w:r>
          </w:p>
        </w:tc>
        <w:tc>
          <w:tcPr>
            <w:tcW w:w="0" w:type="dxa"/>
            <w:vAlign w:val="bottom"/>
          </w:tcPr>
          <w:p>
            <w:pPr>
              <w:spacing w:after="0"/>
              <w:rPr>
                <w:sz w:val="1"/>
                <w:szCs w:val="1"/>
                <w:color w:val="auto"/>
              </w:rPr>
            </w:pPr>
          </w:p>
        </w:tc>
      </w:tr>
      <w:tr>
        <w:trPr>
          <w:trHeight w:val="175"/>
        </w:trPr>
        <w:tc>
          <w:tcPr>
            <w:tcW w:w="5740" w:type="dxa"/>
            <w:vAlign w:val="bottom"/>
            <w:vMerge w:val="continue"/>
          </w:tcPr>
          <w:p>
            <w:pPr>
              <w:spacing w:after="0"/>
              <w:rPr>
                <w:sz w:val="15"/>
                <w:szCs w:val="15"/>
                <w:color w:val="auto"/>
              </w:rPr>
            </w:pPr>
          </w:p>
        </w:tc>
        <w:tc>
          <w:tcPr>
            <w:tcW w:w="55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Susan Eylward</w:t>
            </w:r>
          </w:p>
        </w:tc>
        <w:tc>
          <w:tcPr>
            <w:tcW w:w="0" w:type="dxa"/>
            <w:vAlign w:val="bottom"/>
          </w:tcPr>
          <w:p>
            <w:pPr>
              <w:spacing w:after="0"/>
              <w:rPr>
                <w:sz w:val="1"/>
                <w:szCs w:val="1"/>
                <w:color w:val="auto"/>
              </w:rPr>
            </w:pPr>
          </w:p>
        </w:tc>
      </w:tr>
      <w:tr>
        <w:trPr>
          <w:trHeight w:val="24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Lawrenceville, NJ</w:t>
            </w: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Corporate Secretary</w:t>
            </w:r>
          </w:p>
        </w:tc>
        <w:tc>
          <w:tcPr>
            <w:tcW w:w="0" w:type="dxa"/>
            <w:vAlign w:val="bottom"/>
          </w:tcPr>
          <w:p>
            <w:pPr>
              <w:spacing w:after="0"/>
              <w:rPr>
                <w:sz w:val="1"/>
                <w:szCs w:val="1"/>
                <w:color w:val="auto"/>
              </w:rPr>
            </w:pPr>
          </w:p>
        </w:tc>
      </w:tr>
      <w:tr>
        <w:trPr>
          <w:trHeight w:val="426"/>
        </w:trPr>
        <w:tc>
          <w:tcPr>
            <w:tcW w:w="574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7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YOUR VOTE IS IMPORTANT</w:t>
      </w:r>
    </w:p>
    <w:p>
      <w:pPr>
        <w:spacing w:after="0" w:line="2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color w:val="auto"/>
        </w:rPr>
        <w:t>THIS PROXY STATEMENT IS FURNISHED IN CONNECTION WITH THE SOLICITATION OF PROXIES BY THE COMPANY, ON BEHALF OF THE BOARD OF DIRECTORS, FOR THE 2025 ANNUAL MEETING OF STOCKHOLDERS. THE PROXY STATEMENT AND THE RELATED PROXY FORM ARE BEING DISTRIBUTED ON OR ABOUT JUNE 9,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YOU CAN VOTE YOUR SHARES USING ONE OF THE FOLLOWING METHODS:</w:t>
      </w:r>
    </w:p>
    <w:p>
      <w:pPr>
        <w:spacing w:after="0" w:line="220" w:lineRule="exact"/>
        <w:rPr>
          <w:sz w:val="20"/>
          <w:szCs w:val="20"/>
          <w:color w:val="auto"/>
        </w:rPr>
      </w:pPr>
    </w:p>
    <w:p>
      <w:pPr>
        <w:ind w:left="640" w:hanging="313"/>
        <w:spacing w:after="0"/>
        <w:tabs>
          <w:tab w:leader="none" w:pos="6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COMPLETE AND RETURN A WRITTEN PROXY CARD</w:t>
      </w:r>
    </w:p>
    <w:p>
      <w:pPr>
        <w:spacing w:after="0" w:line="219" w:lineRule="exact"/>
        <w:rPr>
          <w:rFonts w:ascii="Times New Roman" w:cs="Times New Roman" w:eastAsia="Times New Roman" w:hAnsi="Times New Roman"/>
          <w:sz w:val="18"/>
          <w:szCs w:val="18"/>
          <w:b w:val="1"/>
          <w:bCs w:val="1"/>
          <w:color w:val="auto"/>
        </w:rPr>
      </w:pPr>
    </w:p>
    <w:p>
      <w:pPr>
        <w:ind w:left="640" w:right="20" w:hanging="313"/>
        <w:spacing w:after="0" w:line="281" w:lineRule="auto"/>
        <w:tabs>
          <w:tab w:leader="none" w:pos="6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ATTEND THE COMPANY’S 2025 ANNUAL MEETING OF STOCKHOLDERS VIA LIVE WEBCAST AND VOTE AT THE ANNUAL MEETING</w:t>
      </w:r>
    </w:p>
    <w:p>
      <w:pPr>
        <w:spacing w:after="0" w:line="155" w:lineRule="exact"/>
        <w:rPr>
          <w:rFonts w:ascii="Times New Roman" w:cs="Times New Roman" w:eastAsia="Times New Roman" w:hAnsi="Times New Roman"/>
          <w:sz w:val="18"/>
          <w:szCs w:val="18"/>
          <w:b w:val="1"/>
          <w:bCs w:val="1"/>
          <w:color w:val="auto"/>
        </w:rPr>
      </w:pPr>
    </w:p>
    <w:p>
      <w:pPr>
        <w:ind w:left="640" w:hanging="313"/>
        <w:spacing w:after="0"/>
        <w:tabs>
          <w:tab w:leader="none" w:pos="6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VOTE VIA THE INTERNET AT </w:t>
      </w:r>
      <w:r>
        <w:rPr>
          <w:rFonts w:ascii="Times New Roman" w:cs="Times New Roman" w:eastAsia="Times New Roman" w:hAnsi="Times New Roman"/>
          <w:sz w:val="18"/>
          <w:szCs w:val="18"/>
          <w:b w:val="1"/>
          <w:bCs w:val="1"/>
          <w:u w:val="single" w:color="auto"/>
          <w:color w:val="auto"/>
        </w:rPr>
        <w:t>WWW.PROXYVOTE.COM</w:t>
      </w:r>
    </w:p>
    <w:p>
      <w:pPr>
        <w:spacing w:after="0" w:line="219" w:lineRule="exact"/>
        <w:rPr>
          <w:rFonts w:ascii="Times New Roman" w:cs="Times New Roman" w:eastAsia="Times New Roman" w:hAnsi="Times New Roman"/>
          <w:sz w:val="18"/>
          <w:szCs w:val="18"/>
          <w:b w:val="1"/>
          <w:bCs w:val="1"/>
          <w:color w:val="auto"/>
        </w:rPr>
      </w:pPr>
    </w:p>
    <w:p>
      <w:pPr>
        <w:ind w:left="640" w:hanging="313"/>
        <w:spacing w:after="0"/>
        <w:tabs>
          <w:tab w:leader="none" w:pos="6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VOTE BY PHONE BY CALLING THE NUMBER PRINTED ON THE ACCOMPANYING VOTING DOCUMENT</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ALL STOCKHOLDERS ARE CORDIALLY INVITED TO ATTEND THE MEETING. HOWEVER, TO ENSURE YOUR REPRESENTATION AT THE MEETING, YOU ARE URGED TO COMPLETE, SIGN, DATE AND RETURN THE ACCOMPANYING PROXY CARD AS PROMPTLY AS POSSIBLE IN THE POSTAGE-PREPAID ENVELOPE ENCLOSED FOR THAT PURPOSE OR SUBMIT YOUR VOTE VIA THE INTERNET AT </w:t>
      </w:r>
      <w:r>
        <w:rPr>
          <w:rFonts w:ascii="Times New Roman" w:cs="Times New Roman" w:eastAsia="Times New Roman" w:hAnsi="Times New Roman"/>
          <w:sz w:val="18"/>
          <w:szCs w:val="18"/>
          <w:b w:val="1"/>
          <w:bCs w:val="1"/>
          <w:i w:val="1"/>
          <w:iCs w:val="1"/>
          <w:u w:val="single" w:color="auto"/>
          <w:color w:val="auto"/>
        </w:rPr>
        <w:t>WWW.PROXYVOTE.COM</w:t>
      </w:r>
      <w:r>
        <w:rPr>
          <w:rFonts w:ascii="Times New Roman" w:cs="Times New Roman" w:eastAsia="Times New Roman" w:hAnsi="Times New Roman"/>
          <w:sz w:val="18"/>
          <w:szCs w:val="18"/>
          <w:b w:val="1"/>
          <w:bCs w:val="1"/>
          <w:color w:val="auto"/>
        </w:rPr>
        <w:t xml:space="preserve"> OR VOTE BY PHONE BY CALLING THE NUMBER PRINTED ON THE ACCOMPANYING VOTING DOCUMENT. ANY STOCKHOLDER ATTENDING THE MEETING VIA THE LIVE WEBCAST MAY VOTE EVEN IF YOU HAVE RETURNED A PROXY CARD.</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FOR THE STOCKHOLDER MEETING TO BE HELD ON FRIDAY, JULY 11, 2025. THE PROXY STATEMENT AND OUR 2024 ANNUAL REPORT TO STOCKHOLDERS ARE AVAILABLE AT </w:t>
      </w:r>
      <w:r>
        <w:rPr>
          <w:rFonts w:ascii="Times New Roman" w:cs="Times New Roman" w:eastAsia="Times New Roman" w:hAnsi="Times New Roman"/>
          <w:sz w:val="18"/>
          <w:szCs w:val="18"/>
          <w:b w:val="1"/>
          <w:bCs w:val="1"/>
          <w:i w:val="1"/>
          <w:iCs w:val="1"/>
          <w:u w:val="single" w:color="auto"/>
          <w:color w:val="auto"/>
        </w:rPr>
        <w:t>WWW.PROXYVOTE.COM</w:t>
      </w:r>
      <w:r>
        <w:rPr>
          <w:rFonts w:ascii="Times New Roman" w:cs="Times New Roman" w:eastAsia="Times New Roman" w:hAnsi="Times New Roman"/>
          <w:sz w:val="18"/>
          <w:szCs w:val="18"/>
          <w:b w:val="1"/>
          <w:bCs w:val="1"/>
          <w:i w:val="1"/>
          <w:iCs w:val="1"/>
          <w:color w:val="auto"/>
        </w:rPr>
        <w:t>.</w:t>
      </w:r>
    </w:p>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ADDITIONALLY, YOU CAN FIND A COPY OF OUR ANNUAL REPORT ON FORM 10-K, WHICH INCLUDES OUR FINANCIAL STATEMENTS, FOR THE FISCAL YEAR ENDED DECEMBER 31, 2024, ON THE WEBSITE OF THE SECURITIES AND EXCHANGE COMMISSION (THE “SEC”) AT WWW.SEC.GOV, OR UNDER “FINANCIAL INFORMATION” IN THE “NEWS AND INVESTORS” SECTION OF OUR WEBSITE AT WWW.IMUNON.COM. YOU MAY ALSO OBTAIN A PRINTED COPY OF OUR ANNUAL REPORT ON FORM 10-K, INCLUDING OUR FINANCIAL STATEMENTS, FREE OF CHARGE, FROM US BY SENDING A WRITTEN REQUEST TO: IMUNON, INC, 997 LENOX DRIVE, SUITE 100, LAWRENCEVILLE, NJ 08648. EXHIBITS WILL BE PROVIDED UPON WRITTEN REQUEST AND PAYMENT OF AN APPROPRIATE PROCESSING FEE.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160" w:type="dxa"/>
            <w:vAlign w:val="bottom"/>
            <w:gridSpan w:val="13"/>
          </w:tcPr>
          <w:p>
            <w:pPr>
              <w:ind w:left="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1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0760" w:type="dxa"/>
            <w:vAlign w:val="bottom"/>
            <w:gridSpan w:val="20"/>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0000EE"/>
              </w:rPr>
              <w:t>INFORMATION CONCERNING SOLICITATION AND VOTING</w:t>
            </w:r>
          </w:p>
        </w:tc>
        <w:tc>
          <w:tcPr>
            <w:tcW w:w="4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5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0760" w:type="dxa"/>
            <w:vAlign w:val="bottom"/>
            <w:gridSpan w:val="20"/>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0000EE"/>
              </w:rPr>
              <w:t>BENEFICIAL OWNERSHIP OF COMMON STOCK</w:t>
            </w:r>
          </w:p>
        </w:tc>
        <w:tc>
          <w:tcPr>
            <w:tcW w:w="4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5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0760" w:type="dxa"/>
            <w:vAlign w:val="bottom"/>
            <w:gridSpan w:val="20"/>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0000EE"/>
              </w:rPr>
              <w:t>DELINQUENT SECTION 16(A) REPORTS</w:t>
            </w:r>
          </w:p>
        </w:tc>
        <w:tc>
          <w:tcPr>
            <w:tcW w:w="4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auto"/>
              </w:rPr>
              <w:t>11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5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0760" w:type="dxa"/>
            <w:vAlign w:val="bottom"/>
            <w:gridSpan w:val="20"/>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0000EE"/>
              </w:rPr>
              <w:t>DIRECTORS, EXECUTIVE OFFICERS, AND CORPORATE GOVERNANCE</w:t>
            </w:r>
          </w:p>
        </w:tc>
        <w:tc>
          <w:tcPr>
            <w:tcW w:w="4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5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0760" w:type="dxa"/>
            <w:vAlign w:val="bottom"/>
            <w:gridSpan w:val="20"/>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0000EE"/>
              </w:rPr>
              <w:t>REPORT OF THE AUDIT COMMITTEE OF THE BOARD OF DIRECTORS</w:t>
            </w:r>
          </w:p>
        </w:tc>
        <w:tc>
          <w:tcPr>
            <w:tcW w:w="4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5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0760" w:type="dxa"/>
            <w:vAlign w:val="bottom"/>
            <w:gridSpan w:val="20"/>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0000EE"/>
              </w:rPr>
              <w:t>EXECUTIVE AND DIRECTOR COMPENSATION</w:t>
            </w:r>
          </w:p>
        </w:tc>
        <w:tc>
          <w:tcPr>
            <w:tcW w:w="4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5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0760" w:type="dxa"/>
            <w:vAlign w:val="bottom"/>
            <w:gridSpan w:val="20"/>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0000EE"/>
              </w:rPr>
              <w:t>CERTAIN RELATIONSHIPS AND RELATED PARTY TRANSACTIONS</w:t>
            </w:r>
          </w:p>
        </w:tc>
        <w:tc>
          <w:tcPr>
            <w:tcW w:w="4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5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0760" w:type="dxa"/>
            <w:vAlign w:val="bottom"/>
            <w:gridSpan w:val="20"/>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0000EE"/>
              </w:rPr>
              <w:t>PROPOSAL NO. 1: ELECTION OF DIRECTORS</w:t>
            </w:r>
          </w:p>
        </w:tc>
        <w:tc>
          <w:tcPr>
            <w:tcW w:w="4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5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0760" w:type="dxa"/>
            <w:vAlign w:val="bottom"/>
            <w:gridSpan w:val="20"/>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0000EE"/>
              </w:rPr>
              <w:t>PROPOSAL NO. 2: RATIFICATION OF SELECTION OF INDEPENDENT REGISTERED PUBLIC ACCOUNTING FIRM</w:t>
            </w:r>
          </w:p>
        </w:tc>
        <w:tc>
          <w:tcPr>
            <w:tcW w:w="4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5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0760" w:type="dxa"/>
            <w:vAlign w:val="bottom"/>
            <w:gridSpan w:val="20"/>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0000EE"/>
              </w:rPr>
              <w:t>PROPOSAL NO. 3: ADVISORY VOTE TO APPROVE EXECUTIVE COMPENSATION</w:t>
            </w:r>
          </w:p>
        </w:tc>
        <w:tc>
          <w:tcPr>
            <w:tcW w:w="4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5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0760" w:type="dxa"/>
            <w:vAlign w:val="bottom"/>
            <w:gridSpan w:val="20"/>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0000EE"/>
              </w:rPr>
              <w:t>PROPOSAL NO. 4: APPROVAL OF THE ISSUANCE PROPOSAL</w:t>
            </w:r>
          </w:p>
        </w:tc>
        <w:tc>
          <w:tcPr>
            <w:tcW w:w="4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5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0760" w:type="dxa"/>
            <w:vAlign w:val="bottom"/>
            <w:gridSpan w:val="20"/>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0000EE"/>
              </w:rPr>
              <w:t>PROPOSAL NO. 5: APPROVAL OF THE AUTHORIZED SHARE INCREASE PROPOSAL</w:t>
            </w:r>
          </w:p>
        </w:tc>
        <w:tc>
          <w:tcPr>
            <w:tcW w:w="4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5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10480" w:type="dxa"/>
            <w:vAlign w:val="bottom"/>
            <w:tcBorders>
              <w:bottom w:val="single" w:sz="8" w:color="0000EE"/>
            </w:tcBorders>
            <w:gridSpan w:val="19"/>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0000EE"/>
              </w:rPr>
              <w:t>PROPOSAL NO. 6: AMENDMENT TO THE COMPANY’S CERTIFICATE OF INCORPORATION, AS AMENDED, TO EFFECT A</w:t>
            </w:r>
          </w:p>
        </w:tc>
        <w:tc>
          <w:tcPr>
            <w:tcW w:w="2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10760" w:type="dxa"/>
            <w:vAlign w:val="bottom"/>
            <w:gridSpan w:val="20"/>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0000EE"/>
              </w:rPr>
              <w:t>REVERSE STOCK SPLIT</w:t>
            </w:r>
          </w:p>
        </w:tc>
        <w:tc>
          <w:tcPr>
            <w:tcW w:w="4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5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0760" w:type="dxa"/>
            <w:vAlign w:val="bottom"/>
            <w:gridSpan w:val="20"/>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0000EE"/>
              </w:rPr>
              <w:t>PROPOSAL NO. 7: APPROVAL OF AMENDMENT TO THE IMUNON, INC. 2018 STOCK INCENTIVE PLAN</w:t>
            </w:r>
          </w:p>
        </w:tc>
        <w:tc>
          <w:tcPr>
            <w:tcW w:w="4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5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0760" w:type="dxa"/>
            <w:vAlign w:val="bottom"/>
            <w:gridSpan w:val="20"/>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0000EE"/>
              </w:rPr>
              <w:t>PROPOSAL NO. 8: APPROVAL OF THE ADJOURNMENT OR POSTPONEMENT OF THE ANNUAL MEETING</w:t>
            </w:r>
          </w:p>
        </w:tc>
        <w:tc>
          <w:tcPr>
            <w:tcW w:w="4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5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0760" w:type="dxa"/>
            <w:vAlign w:val="bottom"/>
            <w:gridSpan w:val="20"/>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0000EE"/>
              </w:rPr>
              <w:t>STOCKHOLDER NOMINATIONS AND PROPOSALS FOR THE 2025 ANNUAL MEETING OF STOCKHOLDERS</w:t>
            </w:r>
          </w:p>
        </w:tc>
        <w:tc>
          <w:tcPr>
            <w:tcW w:w="4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5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0760" w:type="dxa"/>
            <w:vAlign w:val="bottom"/>
            <w:gridSpan w:val="20"/>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0000EE"/>
              </w:rPr>
              <w:t>OTHER MATTERS</w:t>
            </w:r>
          </w:p>
        </w:tc>
        <w:tc>
          <w:tcPr>
            <w:tcW w:w="4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56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600" w:type="dxa"/>
            <w:vAlign w:val="bottom"/>
            <w:tcBorders>
              <w:bottom w:val="single" w:sz="8" w:color="0000EE"/>
            </w:tcBorders>
            <w:gridSpan w:val="7"/>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0000EE"/>
                <w:w w:val="98"/>
              </w:rPr>
              <w:t>WHERE YOU CAN FIND ADDITIONAL INFORMATION</w:t>
            </w:r>
          </w:p>
        </w:tc>
        <w:tc>
          <w:tcPr>
            <w:tcW w:w="6160" w:type="dxa"/>
            <w:vAlign w:val="bottom"/>
            <w:tcBorders>
              <w:bottom w:val="single" w:sz="8" w:color="CCEEFF"/>
            </w:tcBorders>
            <w:gridSpan w:val="13"/>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7"/>
        </w:trPr>
        <w:tc>
          <w:tcPr>
            <w:tcW w:w="5720" w:type="dxa"/>
            <w:vAlign w:val="bottom"/>
            <w:tcBorders>
              <w:bottom w:val="single" w:sz="8" w:color="auto"/>
            </w:tcBorders>
            <w:gridSpan w:val="10"/>
          </w:tcPr>
          <w:p>
            <w:pPr>
              <w:ind w:left="558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7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22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CONCERNING SOLICITATION AND VOTING</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Proxy Statement is being furnished in connection with the solicitation of proxies by the Board of Directors of IMUNON, INC., a Delaware corporation (sometimes referred to in this Proxy Statement as the “Company”, “IMUNON”, “we” or “us”), for exercise in voting at the Company’s 2025 Annual Meeting of Stockholders to be held on Friday, July 11, 2025 (the “Annual Meeting”) for the purposes set forth in the accompanying Notice of Annual Meeting of Stockholders (the “Notice”). We are first sending this Proxy Statement, accompanying Proxy Card, the Notice and the Company’s 2024 annual report to stockholders to our stockholders on or about June 9, 2025.</w:t>
      </w:r>
    </w:p>
    <w:p>
      <w:pPr>
        <w:spacing w:after="0" w:line="18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for the Stockholder Meeting to be held on Friday, July 11, 2025. The Proxy Statement and our 2024 annual report to stockholders are available at </w:t>
      </w:r>
      <w:r>
        <w:rPr>
          <w:rFonts w:ascii="Times New Roman" w:cs="Times New Roman" w:eastAsia="Times New Roman" w:hAnsi="Times New Roman"/>
          <w:sz w:val="18"/>
          <w:szCs w:val="18"/>
          <w:b w:val="1"/>
          <w:bCs w:val="1"/>
          <w:i w:val="1"/>
          <w:iCs w:val="1"/>
          <w:u w:val="single" w:color="auto"/>
          <w:color w:val="auto"/>
        </w:rPr>
        <w:t>www.proxyvote.com</w:t>
      </w:r>
      <w:r>
        <w:rPr>
          <w:rFonts w:ascii="Times New Roman" w:cs="Times New Roman" w:eastAsia="Times New Roman" w:hAnsi="Times New Roman"/>
          <w:sz w:val="18"/>
          <w:szCs w:val="18"/>
          <w:b w:val="1"/>
          <w:bCs w:val="1"/>
          <w:color w:val="auto"/>
        </w:rPr>
        <w:t xml:space="preserve"> or you may request a printed or electronic set of the proxy materials at no charge.</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Instructions on how to access the proxy materials over the Internet and how to request a printed copy may be found on the Notice. In addition, any stockholder may request to receive proxy materials in printed form by mail or electronically by email on an ongoing basis. Choosing to receive future proxy materials by email will save us the cost of printing and mailing documents to stockholders and will reduce the impact on our environment. A stockholder who chooses to receive future proxy materials by email will receive an email prior to next year’s Annual Meeting with instructions containing a link to those materials and a link to the proxy voting website. A stockholder’s election to receive proxy materials by email will remain in effect until such election is terminated by the stockholder.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the Annual Meeting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Date, Time and Place of the Annual Meeting</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The Annual Meeting will be held at 10:00 a.m., Eastern Time, on Friday, July 11, 2025. You will be able to attend the 2025 Annual Meeting, vote, and submit your questions during the meeting via live webcast through the </w:t>
      </w:r>
      <w:r>
        <w:rPr>
          <w:rFonts w:ascii="Times New Roman" w:cs="Times New Roman" w:eastAsia="Times New Roman" w:hAnsi="Times New Roman"/>
          <w:sz w:val="18"/>
          <w:szCs w:val="18"/>
          <w:b w:val="1"/>
          <w:bCs w:val="1"/>
          <w:i w:val="1"/>
          <w:iCs w:val="1"/>
          <w:color w:val="auto"/>
        </w:rPr>
        <w:t>www.virtualshareholdermeeting.com/IMNN2025</w:t>
      </w:r>
      <w:r>
        <w:rPr>
          <w:rFonts w:ascii="Times New Roman" w:cs="Times New Roman" w:eastAsia="Times New Roman" w:hAnsi="Times New Roman"/>
          <w:sz w:val="18"/>
          <w:szCs w:val="18"/>
          <w:color w:val="auto"/>
        </w:rPr>
        <w:t xml:space="preserve"> and enter your 16-digit control number included on your proxy card or in the instructions that accompanied your proxy materials.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is the Annual Meeting a virtual, online meeting?</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We have adopted this technology to expand access to the meeting, improve communications and impose lower costs on our stockholders, the Company and the environment. The online format allows us to communicate more effectively via a pre-meeting forum that you can enter by visiting the meeting via live webcast through the link </w:t>
      </w:r>
      <w:r>
        <w:rPr>
          <w:rFonts w:ascii="Times New Roman" w:cs="Times New Roman" w:eastAsia="Times New Roman" w:hAnsi="Times New Roman"/>
          <w:sz w:val="18"/>
          <w:szCs w:val="18"/>
          <w:b w:val="1"/>
          <w:bCs w:val="1"/>
          <w:i w:val="1"/>
          <w:iCs w:val="1"/>
          <w:u w:val="single" w:color="auto"/>
          <w:color w:val="auto"/>
        </w:rPr>
        <w:t>www.virtualshareholdermeeting.com/IMNN2025</w:t>
      </w:r>
      <w:r>
        <w:rPr>
          <w:rFonts w:ascii="Times New Roman" w:cs="Times New Roman" w:eastAsia="Times New Roman" w:hAnsi="Times New Roman"/>
          <w:sz w:val="18"/>
          <w:szCs w:val="18"/>
          <w:color w:val="auto"/>
        </w:rPr>
        <w:t xml:space="preserve"> and entering your 16-digit control number included on your proxy card or in the instructions that accompanied your proxy materials. We believe that hosting a virtual meeting will facilitate shareholder attendance and participation by enabling stockholders to participate from any location around the world and improve our ability to communicate more effectively with our stockholders. We have designed the virtual meeting to provide substantially the same opportunities to participate as you would have at an in-person meeting. You will be provided with the opportunity to submit questions via the live webcast during the meeting.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May Attend the Annual Meeting?</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Only stockholders who own our common stock, par value $0.01 per share, as of the close of business on May 13, 2025, the record date for the Annual Meeting (the “Record Date”), will be entitled to attend the Annual Meeting. At the discretion of management, we may also permit certain individuals to attend the Annual Meeting, including professional service providers and our employees.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Who May Vote at the Annual Meeting?</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Each share of our common stock outstanding on the Record Date entitles the holder thereof to one vote on each matter submitted to the stockholders at the Annual Meeting. Only stockholders who own common stock as of the close of business on the Record Date are entitled to notice of, and to vote at, the Annual Meeting. As of the Record Date, there were 17,541,732 shares of our common stock issued and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to Vote</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If you were a holder of our common stock as of the Record Date, you are entitled to vote at the Annual Meeting, and we encourage you to vote your shares by attending the meeting via live webcast of the Annual Meeting</w:t>
      </w:r>
      <w:r>
        <w:rPr>
          <w:rFonts w:ascii="Times New Roman" w:cs="Times New Roman" w:eastAsia="Times New Roman" w:hAnsi="Times New Roman"/>
          <w:sz w:val="18"/>
          <w:szCs w:val="18"/>
          <w:b w:val="1"/>
          <w:bCs w:val="1"/>
          <w:color w:val="auto"/>
        </w:rPr>
        <w: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can vote your shares using one of the following methods:</w:t>
      </w:r>
    </w:p>
    <w:p>
      <w:pPr>
        <w:spacing w:after="0" w:line="220" w:lineRule="exact"/>
        <w:rPr>
          <w:sz w:val="20"/>
          <w:szCs w:val="20"/>
          <w:color w:val="auto"/>
        </w:rPr>
      </w:pPr>
    </w:p>
    <w:p>
      <w:pPr>
        <w:ind w:left="640" w:hanging="31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and return a written proxy card</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the Company’s 2025 annual meeting of stockholders via live webcast and vote at the Annual Meeting</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Vote via the internet at </w:t>
      </w:r>
      <w:r>
        <w:rPr>
          <w:rFonts w:ascii="Times New Roman" w:cs="Times New Roman" w:eastAsia="Times New Roman" w:hAnsi="Times New Roman"/>
          <w:sz w:val="18"/>
          <w:szCs w:val="18"/>
          <w:u w:val="single" w:color="auto"/>
          <w:color w:val="auto"/>
        </w:rPr>
        <w:t>www.proxyvote.com</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by phone by calling the number printed on the accompanying voting document</w:t>
      </w:r>
    </w:p>
    <w:p>
      <w:pPr>
        <w:spacing w:after="0" w:line="19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color w:val="auto"/>
        </w:rPr>
        <w:t>Telephone and internet voting facilities for stockholders of record will be available 24 hours a day and will close at 11:59 p.m. Eastern Time on July 10, 2025.</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HOWEVER, WHETHER OR NOT YOU INTEND TO ATTEND THE ANNUAL MEETING, PLEASE COMPLETE, SIGN, DATE AND RETURN THE ACCOMPANYING PROXY CARD IN THE ENCLOSED PRE-ADDRESSED AND POSTAGE-PAID ENVELOPE OR SUBMIT YOUR VOTE VIA THE INTERNET AT WWW.PROXYVOTE.COM OR BY CALLING THE NUMBER PRINTED ON THE ACCOMPANYING PROXY CARD.</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If your shares are held in the name of a bank, broker, or other holder of record, you will receive instructions from the holder of record that you must follow in order for your shares to be voted. If your shares are not registered in your own name and you plan to vote your shares via the live webcast at the Annual Meeting, you should contact your broker or agent to obtain a proxy in order to vote.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by Proxy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vote by proxy, the individuals named on the proxy, or their substitutes, will vote your shares in the manner you indicate.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a stockholder of record and date, sign, and return the proxy card without indicating your instructions, your shares will be voted as follows:</w:t>
      </w:r>
    </w:p>
    <w:p>
      <w:pPr>
        <w:spacing w:after="0" w:line="216" w:lineRule="exact"/>
        <w:rPr>
          <w:sz w:val="20"/>
          <w:szCs w:val="20"/>
          <w:color w:val="auto"/>
        </w:rPr>
      </w:pPr>
    </w:p>
    <w:p>
      <w:pPr>
        <w:ind w:left="640" w:hanging="313"/>
        <w:spacing w:after="0" w:line="281"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(if authority to do so is not withheld) the election of the nominees for the Class III Directors to serve until the earlier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Annual Meeting of Stockholders in 2028 or until their successors are duly elected and qualified;</w:t>
      </w:r>
    </w:p>
    <w:p>
      <w:pPr>
        <w:spacing w:after="0" w:line="155" w:lineRule="exact"/>
        <w:rPr>
          <w:rFonts w:ascii="Times New Roman" w:cs="Times New Roman" w:eastAsia="Times New Roman" w:hAnsi="Times New Roman"/>
          <w:sz w:val="18"/>
          <w:szCs w:val="18"/>
          <w:color w:val="auto"/>
        </w:rPr>
      </w:pPr>
    </w:p>
    <w:p>
      <w:pPr>
        <w:ind w:left="640" w:hanging="313"/>
        <w:spacing w:after="0" w:line="281"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2. “FOR” </w:t>
      </w:r>
      <w:r>
        <w:rPr>
          <w:rFonts w:ascii="Times New Roman" w:cs="Times New Roman" w:eastAsia="Times New Roman" w:hAnsi="Times New Roman"/>
          <w:sz w:val="18"/>
          <w:szCs w:val="18"/>
          <w:color w:val="auto"/>
        </w:rPr>
        <w:t>the ratification of the appointment of WithumSmith+Brown PC as our independent registered public accounting firm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year ending December 31, 2025;</w:t>
      </w:r>
    </w:p>
    <w:p>
      <w:pPr>
        <w:spacing w:after="0" w:line="155" w:lineRule="exact"/>
        <w:rPr>
          <w:rFonts w:ascii="Times New Roman" w:cs="Times New Roman" w:eastAsia="Times New Roman" w:hAnsi="Times New Roman"/>
          <w:sz w:val="18"/>
          <w:szCs w:val="18"/>
          <w:color w:val="auto"/>
        </w:rPr>
      </w:pPr>
    </w:p>
    <w:p>
      <w:pPr>
        <w:ind w:left="640" w:right="20" w:hanging="313"/>
        <w:spacing w:after="0" w:line="281"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3. “FOR” </w:t>
      </w:r>
      <w:r>
        <w:rPr>
          <w:rFonts w:ascii="Times New Roman" w:cs="Times New Roman" w:eastAsia="Times New Roman" w:hAnsi="Times New Roman"/>
          <w:sz w:val="18"/>
          <w:szCs w:val="18"/>
          <w:color w:val="auto"/>
        </w:rPr>
        <w:t>the approval of, by a non-binding advisory vote, the 2024 executive compensation for the Company’s Named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w:t>
      </w:r>
    </w:p>
    <w:p>
      <w:pPr>
        <w:spacing w:after="0" w:line="15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4. “FOR” </w:t>
      </w:r>
      <w:r>
        <w:rPr>
          <w:rFonts w:ascii="Times New Roman" w:cs="Times New Roman" w:eastAsia="Times New Roman" w:hAnsi="Times New Roman"/>
          <w:sz w:val="18"/>
          <w:szCs w:val="18"/>
          <w:color w:val="auto"/>
        </w:rPr>
        <w:t>the approval of the Issuance Proposal;</w:t>
      </w:r>
    </w:p>
    <w:p>
      <w:pPr>
        <w:spacing w:after="0" w:line="219" w:lineRule="exact"/>
        <w:rPr>
          <w:rFonts w:ascii="Times New Roman" w:cs="Times New Roman" w:eastAsia="Times New Roman" w:hAnsi="Times New Roman"/>
          <w:sz w:val="18"/>
          <w:szCs w:val="18"/>
          <w:color w:val="auto"/>
        </w:rPr>
      </w:pPr>
    </w:p>
    <w:p>
      <w:pPr>
        <w:jc w:val="both"/>
        <w:ind w:left="640" w:hanging="313"/>
        <w:spacing w:after="0" w:line="264"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5. “FOR” </w:t>
      </w:r>
      <w:r>
        <w:rPr>
          <w:rFonts w:ascii="Times New Roman" w:cs="Times New Roman" w:eastAsia="Times New Roman" w:hAnsi="Times New Roman"/>
          <w:sz w:val="18"/>
          <w:szCs w:val="18"/>
          <w:color w:val="auto"/>
        </w:rPr>
        <w:t>the approval of an amendment to the Company’s Amended and Restated Certificate of Incorporation to increase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of our authorized shares of common stock from 112,500,000 shares to 350,000,000 shares and to make a corresponding change to the number of authorized shares of capital stock;</w:t>
      </w:r>
    </w:p>
    <w:p>
      <w:pPr>
        <w:spacing w:after="0" w:line="170" w:lineRule="exact"/>
        <w:rPr>
          <w:rFonts w:ascii="Times New Roman" w:cs="Times New Roman" w:eastAsia="Times New Roman" w:hAnsi="Times New Roman"/>
          <w:sz w:val="18"/>
          <w:szCs w:val="18"/>
          <w:color w:val="auto"/>
        </w:rPr>
      </w:pPr>
    </w:p>
    <w:p>
      <w:pPr>
        <w:jc w:val="both"/>
        <w:ind w:left="640" w:hanging="313"/>
        <w:spacing w:after="0" w:line="264"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6. “FOR” </w:t>
      </w:r>
      <w:r>
        <w:rPr>
          <w:rFonts w:ascii="Times New Roman" w:cs="Times New Roman" w:eastAsia="Times New Roman" w:hAnsi="Times New Roman"/>
          <w:sz w:val="18"/>
          <w:szCs w:val="18"/>
          <w:color w:val="auto"/>
        </w:rPr>
        <w:t>the approval of an amendment to the Company’s Amended and Restated Certificate of Incorporation to effect a reverse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split at a ratio between, and including, 1:5 and 1:18, with the exact ratio to be set within that range at the discretion of our Board of Directors without further approval or authorization of our stockholders;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6" w:name="page7"/>
    <w:bookmarkEnd w:id="6"/>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7. “FOR” </w:t>
      </w:r>
      <w:r>
        <w:rPr>
          <w:rFonts w:ascii="Times New Roman" w:cs="Times New Roman" w:eastAsia="Times New Roman" w:hAnsi="Times New Roman"/>
          <w:sz w:val="18"/>
          <w:szCs w:val="18"/>
          <w:color w:val="auto"/>
        </w:rPr>
        <w:t>the approval of an amendment to the IMUNON, INC. 2018 Stock Incentive Plan; and</w:t>
      </w:r>
    </w:p>
    <w:p>
      <w:pPr>
        <w:spacing w:after="0" w:line="219" w:lineRule="exact"/>
        <w:rPr>
          <w:rFonts w:ascii="Times New Roman" w:cs="Times New Roman" w:eastAsia="Times New Roman" w:hAnsi="Times New Roman"/>
          <w:sz w:val="18"/>
          <w:szCs w:val="18"/>
          <w:color w:val="auto"/>
        </w:rPr>
      </w:pPr>
    </w:p>
    <w:p>
      <w:pPr>
        <w:ind w:left="640" w:hanging="313"/>
        <w:spacing w:after="0" w:line="281"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8. “FOR” </w:t>
      </w:r>
      <w:r>
        <w:rPr>
          <w:rFonts w:ascii="Times New Roman" w:cs="Times New Roman" w:eastAsia="Times New Roman" w:hAnsi="Times New Roman"/>
          <w:sz w:val="18"/>
          <w:szCs w:val="18"/>
          <w:color w:val="auto"/>
        </w:rPr>
        <w:t>the approval of any adjournment or postponement of the Annual Meeting, if necessary, to solicit additional proxies if there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insufficient votes at the time of the Annual Meeting to approve any of the proposals presented for a vote at the Annual Meeting; and</w:t>
      </w:r>
    </w:p>
    <w:p>
      <w:pPr>
        <w:spacing w:after="0" w:line="155" w:lineRule="exact"/>
        <w:rPr>
          <w:rFonts w:ascii="Times New Roman" w:cs="Times New Roman" w:eastAsia="Times New Roman" w:hAnsi="Times New Roman"/>
          <w:sz w:val="18"/>
          <w:szCs w:val="18"/>
          <w:color w:val="auto"/>
        </w:rPr>
      </w:pPr>
    </w:p>
    <w:p>
      <w:pPr>
        <w:ind w:left="640" w:hanging="313"/>
        <w:spacing w:after="0" w:line="281"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Other Business. </w:t>
      </w:r>
      <w:r>
        <w:rPr>
          <w:rFonts w:ascii="Times New Roman" w:cs="Times New Roman" w:eastAsia="Times New Roman" w:hAnsi="Times New Roman"/>
          <w:sz w:val="18"/>
          <w:szCs w:val="18"/>
          <w:color w:val="auto"/>
        </w:rPr>
        <w:t>In the discretion of your proxy holder (one of the individuals named on your proxy card), to consider and act on any other matter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properly presented at the Annual Meeting or any adjournment or postponement thereof.</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If a beneficial owner who holds shares in street name does not provide specific voting instructions to their brokerage firm, bank, broker dealer or other nominee, under the rules of certain securities exchanges, including Nasdaq Marketplace Rules, the brokerage firm, bank, broker dealer or other nominee holding those shares may generally vote as the nominee determines in its discretion on behalf of the beneficial owner on routine matters but cannot vote on non-routine matters, the latter of which results in “broker non-votes.”</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Proposals No. 2, 5 6 and 8 involve matters we believe to be routine in nature. Accordingly, if you are a beneficial owner who holds shares in street name and you do not give instructions to your broker, the broker may vote your shares in its discretion on Proposals No. 2, 5, 6 and 8, and therefore, no broker non-votes are expected in connection with such proposals. Proposal Nos. 1, 3, 4 and 7 involve matters we consider non-routine under the applicable rules. If you do not give your broker specific instructions, the broker will not vote your shares on Proposal Nos. 1, 3, 4 and 7, and your shares will constitute broker non-votes.</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You may revoke or change your proxy at any time before it is exercised by delivering to us a signed proxy with a date later than your previously delivered proxy, by re-voting via internet or by telephone, by voting via the live webcast at the Annual Meeting, or by sending a written revocation of your proxy addressed to our Corporate Secretary at our principal executive office. Your latest dated proxy card is the one that will be counted.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Quorum Requirement</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 quorum is necessary to hold a valid meeting. The presence of holders of our common stock entitled to cast one-third (33.33%) of all the votes entitled to be cast at the Annual Meeting constitutes a quorum for the transaction of business. Abstentions and broker non-votes are counted as present for purposes of establishing a quorum.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Requirements</w:t>
      </w:r>
    </w:p>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Proposal No. 1. </w:t>
      </w:r>
      <w:r>
        <w:rPr>
          <w:rFonts w:ascii="Times New Roman" w:cs="Times New Roman" w:eastAsia="Times New Roman" w:hAnsi="Times New Roman"/>
          <w:sz w:val="18"/>
          <w:szCs w:val="18"/>
          <w:color w:val="auto"/>
        </w:rPr>
        <w:t>The election of the Class III Directors at the Annual Meeting will be by a plurality of the votes cast. This means if the director nominees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 the greatest number of votes cast by the holders of our common stock in the election of the Class III Directors, they will be elected. Stockholders may not cumulate their votes in electing directors. Stockholders entitled to vote at the Annual Meeting may either vote “FOR” the nominee for election as a director or may “WITHHOLD” authority for the nominee. Shares represented by executed proxies will be voted, if authority to do so is not withheld, for the election of the nominee named below in Proposal No. 1. If a stockholder withholds authority to vote with respect to the nominees for director, the shares held by that stockholder will be counted for purposes of establishing a quorum but will have no effect on the election of the nominees. Brokerage firms do not have authority to vote customers’ unvoted shares held by the firms in street name for the election of the directors. As a result, any shares not voted by a customer will be treated as a broker non-vote. Broker non-votes will have no effect on the election of the nominees.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704" w:right="339" w:bottom="1440" w:gutter="0" w:footer="0" w:header="0"/>
        </w:sectPr>
      </w:pPr>
    </w:p>
    <w:bookmarkStart w:id="7" w:name="page8"/>
    <w:bookmarkEnd w:id="7"/>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Proposal No. 2. </w:t>
      </w:r>
      <w:r>
        <w:rPr>
          <w:rFonts w:ascii="Times New Roman" w:cs="Times New Roman" w:eastAsia="Times New Roman" w:hAnsi="Times New Roman"/>
          <w:sz w:val="18"/>
          <w:szCs w:val="18"/>
          <w:color w:val="auto"/>
        </w:rPr>
        <w:t>Stockholders may vote “FOR” or “AGAINST” or may “ABSTAIN” on Proposal No. 2 regarding the ratification of the selection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WithumSmith+Brown PC (“Withum”) as the Company’s independent registered public accounting firm for the year ending December 31, 2025. The affirmative vote of a majority of the votes cast affirmatively or negatively for this proposal will be required to ratify the selection of Withum. Abstentions will have no effect on the results of the vote on Proposal No. 2. Brokerage firms have authority to vote customers’ unvoted shares held by the firms in street name on this proposal. If a broker does not exercise this authority, such broker non-votes will have no effect on Proposal No. 2.</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Proposal No. 3. </w:t>
      </w:r>
      <w:r>
        <w:rPr>
          <w:rFonts w:ascii="Times New Roman" w:cs="Times New Roman" w:eastAsia="Times New Roman" w:hAnsi="Times New Roman"/>
          <w:sz w:val="18"/>
          <w:szCs w:val="18"/>
          <w:color w:val="auto"/>
        </w:rPr>
        <w:t>Stockholders may vote “FOR” or “AGAINST” or may “ABSTAIN” on Proposal No. 3 to approve, by a non-binding advisory vote, the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for the Company’s Named Executive Officers. The affirmative vote of a majority of the votes cast affirmatively or negatively for this proposal will be required to ratify the 2024 compensation for the Company’s executive officers. Abstentions will have no effect on the results of the vote on Proposal No. 3. Brokerage firms do not have authority to vote customers’ unvoted shares held by the firms in street name on this proposal. Broker non-votes will have no effect on Proposal No. 3.</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Proposal No. 4</w:t>
      </w:r>
      <w:r>
        <w:rPr>
          <w:rFonts w:ascii="Times New Roman" w:cs="Times New Roman" w:eastAsia="Times New Roman" w:hAnsi="Times New Roman"/>
          <w:sz w:val="18"/>
          <w:szCs w:val="18"/>
          <w:color w:val="auto"/>
        </w:rPr>
        <w:t>. Stockholders may vote “FOR” or “AGAINST” or may “ABSTAIN” on Proposal No. 4 to approve the Issuance Proposal to approve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issuance of shares of our common stock underlying certain warrants issued by us. The affirmative vote of a majority of the votes cast affirmatively or negatively for this proposal will be required to approve the Issuance Proposal. Abstentions will have no effect on the results of the vote on Proposal No. 4. Brokerage firms do not have authority to vote customers’ unvoted shares held by the firms in street name on this proposal. Broker non-votes will have no effect on Proposal No. 4.</w:t>
      </w:r>
    </w:p>
    <w:p>
      <w:pPr>
        <w:spacing w:after="0" w:line="1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b w:val="1"/>
          <w:bCs w:val="1"/>
          <w:color w:val="auto"/>
        </w:rPr>
        <w:t>Proposal No. 5</w:t>
      </w:r>
      <w:r>
        <w:rPr>
          <w:rFonts w:ascii="Times New Roman" w:cs="Times New Roman" w:eastAsia="Times New Roman" w:hAnsi="Times New Roman"/>
          <w:sz w:val="18"/>
          <w:szCs w:val="18"/>
          <w:color w:val="auto"/>
        </w:rPr>
        <w:t>. Stockholders may vote “FOR” or “AGAINST” or may “ABSTAIN” on the Authorized Share Increase proposal to amend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and Restated Certificate of Incorporation to increase the number of our authorized shares of common stock from 112,500,000 shares to 350,000,000 shares and to make a corresponding change to the number of authorized shares of capital stock. The affirmative vote of a majority of the votes cast affirmatively or negatively for this proposal will be required to approve the proposal; provided that our common stock is listed on The Nasdaq Stock Market LLC (“Nasdaq”) immediately before the amendment to the Amended and Restated Certificate of Incorporation to effect the proposal becomes effective and meets the listing requirements of Nasdaq relating to the minimum number of holders immediately after such amendment to the Amended and Restated Certificate of Incorporation becomes effective (the “Listing Condition”), in which case, abstentions with respect to the proposal will not be considered “votes cast” and will have no effect on the proposal. If the Listing Condition is not met, the Authorized Share Increase proposal must receive the affirmative vote of the holders of a majority of our issued and outstanding shares of common stock as of the Record Date, and any abstentions with respect to the Authorized Share Increase proposal would have the same effect as a vote against the Authorized Share Increase proposal. Brokerage firms have authority to vote customers’ unvoted shares held by the firms in street name on this proposal. If the Listing Condition is met, any broker non-votes (if any) will have no effect on the Authorized Share Increase proposal. If the Listing Condition is not met, any broker non-votes (if any) will be treated as a vote against the Authorized Share Increase proposal.</w:t>
      </w:r>
    </w:p>
    <w:p>
      <w:pPr>
        <w:spacing w:after="0" w:line="1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b w:val="1"/>
          <w:bCs w:val="1"/>
          <w:color w:val="auto"/>
        </w:rPr>
        <w:t>Proposal No. 6</w:t>
      </w:r>
      <w:r>
        <w:rPr>
          <w:rFonts w:ascii="Times New Roman" w:cs="Times New Roman" w:eastAsia="Times New Roman" w:hAnsi="Times New Roman"/>
          <w:sz w:val="18"/>
          <w:szCs w:val="18"/>
          <w:color w:val="auto"/>
        </w:rPr>
        <w:t>. Stockholders may vote “FOR” or “AGAINST” or may “ABSTAIN” on the Reverse Stock Split proposal to amend the Company’s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Restated Certificate of Incorporation to effect a reverse stock split at a ratio between, and including, 1:5 and 1:18, with the exact ratio to be set within that range at the discretion of our Board of Directors without further approval or authorization of our stockholders. The affirmative vote of a majority of the votes cast affirmatively or negatively for this proposal will be required to approve the proposal; provided that our common stock meets the Listing Condition, in which case, abstentions with respect to the proposal will not be considered “votes cast” and will have no effect on the proposal. If the Listing Condition is not met, the Reverse Stock Split proposal must receive the affirmative vote of the holders of a majority of our issued and outstanding shares of common stock as of the Record Date, and any abstentions with respect to the Reverse Stock Split proposal would have the same effect as a vote against the Reverse Stock Split proposal. Brokerage firms have authority to vote customers’ unvoted shares held by the firms in street name on this proposal. If the Listing Condition is met, any broker non-votes (if any) will have no effect on the Reverse Stock Split proposal. If the Listing Condition is not met, any broker non-votes (if any) will be treated as a vote against the Reverse Stock Split proposal.</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Proposal No. 7</w:t>
      </w:r>
      <w:r>
        <w:rPr>
          <w:rFonts w:ascii="Times New Roman" w:cs="Times New Roman" w:eastAsia="Times New Roman" w:hAnsi="Times New Roman"/>
          <w:sz w:val="18"/>
          <w:szCs w:val="18"/>
          <w:color w:val="auto"/>
        </w:rPr>
        <w:t>. Stockholders may vote “FOR” or “AGAINST” or may “ABSTAIN” on Proposal No. 7, to approve an Amendment to the IMUNON,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2018 Stock Incentive Plan. The affirmative vote of the holders a majority of the votes cast affirmatively or negatively for this proposal will be required to approve the Amendment. Abstentions will have no effect on the results of the vote on Proposal No. 7. Broker non-votes will have no effect on Proposal No. 7.</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Proposal No. 8</w:t>
      </w:r>
      <w:r>
        <w:rPr>
          <w:rFonts w:ascii="Times New Roman" w:cs="Times New Roman" w:eastAsia="Times New Roman" w:hAnsi="Times New Roman"/>
          <w:sz w:val="18"/>
          <w:szCs w:val="18"/>
          <w:color w:val="auto"/>
        </w:rPr>
        <w:t>. Stockholders may vote “FOR” or “AGAINST” or may “ABSTAIN” on the Adjournment Proposal The approval of the Adjournment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Proposal requires the affirmative vote of a majority of the votes cast affirmatively or negatively for this proposal. Abstentions will have no effect on the results of the vote on Proposal No. 8. Brokerage firms have authority to vote customers’ unvoted shares held by the firms in street name on this proposal. Broker non-votes (if any) will have no effect on Proposal No. 8.</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Board of Directors knows of no other matters that may be presented for stockholder action at the Annual Meeting. It is not anticipated that other matters will be brought before the Annual Meeting. If other matters do properly come before the Annual Meeting, or any adjournments or postponements thereof, however, persons named as proxies will vote upon them in their discretion.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about the Proxy Statement and the Solicitation of Proxies</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enclosed proxy is solicited by our Board of Directors, and we will bear the costs of preparing, assembling, printing and mailing this Proxy Statement, accompanying Proxy Card, Notice of Annual Meeting of Stockholders and the Company’s 2024 annual report to stockholders, as well as any additional materials that we may furnish to stockholders in connection with the Annual Meeting. Copies of our solicitation materials will be furnished to brokerage houses, fiduciaries and custodians to forward to beneficial owners of stock held in the names of such nominees. We will, upon request, reimburse those parties for their reasonable expenses in forwarding proxy materials to the beneficial owners.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082"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Annual Report</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2024 annual report is being mailed to stockholders together with this Proxy Statement and contains financial and other information about IMUNON, including audited financial statements for our fiscal year ended December 31, 2024. A copy of our 2024 Annual Report on Form 10-K, as filed with the Securities and Exchange Commission (“SEC”), but excluding exhibits, is available on our website and additional copies may be obtained without charge, upon written request directed to the Corporate Secretary, IMUNON, INC., 997 Lenox Drive, Suite 100, Lawrenceville, New Jersey 08648.</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Householding of Annual Meeting Materials</w:t>
      </w:r>
    </w:p>
    <w:p>
      <w:pPr>
        <w:spacing w:after="0" w:line="22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Some banks, brokers and other nominee record holders may be participating in the practice of “householding” proxy statements and annual reports. This means that only one copy of our Proxy Statement or 2024 annual report to stockholders may have been sent to multiple stockholders in your household. The Company will promptly deliver a separate copy of either document to you if you write or call the Company at the following address or telephone number:</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997 Lenox Drive</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Suite 100</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Lawrenceville, New Jersey 08648</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Attention: Corporate Secretary</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(609) 896-9100</w:t>
      </w:r>
    </w:p>
    <w:p>
      <w:pPr>
        <w:spacing w:after="0" w:line="20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If you would like to receive separate copies of the proxy materials in the future, or if you are receiving multiple copies and would like to receive only one copy for your household, you should contact your bank, broker, or other nominee record holder, or you may contact the Company at the address and telephone number set forth above.</w:t>
      </w:r>
    </w:p>
    <w:p>
      <w:pPr>
        <w:spacing w:after="0" w:line="172"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PLEASE COMPLETE, SIGN, DATE AND RETURN THE ACCOMPANYING WHITE PROXY CARD IN THE ENCLOSED PRE-ADDRESSED AND POSTAGE-PAID ENVELOPE AS PROMPTLY AS POSSIBLE OR SUBMIT YOUR VOTE VIA THE INTERNET AT </w:t>
      </w:r>
      <w:r>
        <w:rPr>
          <w:rFonts w:ascii="Times New Roman" w:cs="Times New Roman" w:eastAsia="Times New Roman" w:hAnsi="Times New Roman"/>
          <w:sz w:val="18"/>
          <w:szCs w:val="18"/>
          <w:b w:val="1"/>
          <w:bCs w:val="1"/>
          <w:i w:val="1"/>
          <w:iCs w:val="1"/>
          <w:u w:val="single" w:color="auto"/>
          <w:color w:val="auto"/>
        </w:rPr>
        <w:t>WWW.PROXYVOTE.COM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OR BY CALLING THE NUMBER PRINTED ON THE ACCOMPANYING PROXY CARD.</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BENEFICIAL OWNERSHIP OF COMMON STOCK</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furnished by the Company and sets forth certain information known to the Company regarding the beneficial ownership of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common stock as of May 13, 2025 by:</w:t>
      </w:r>
    </w:p>
    <w:p>
      <w:pPr>
        <w:spacing w:after="0" w:line="201" w:lineRule="exact"/>
        <w:rPr>
          <w:sz w:val="20"/>
          <w:szCs w:val="20"/>
          <w:color w:val="auto"/>
        </w:rPr>
      </w:pPr>
    </w:p>
    <w:p>
      <w:pPr>
        <w:ind w:left="320" w:hanging="313"/>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known by us to own beneficially more than 5% of the Company’s outstanding common stock;</w:t>
      </w:r>
    </w:p>
    <w:p>
      <w:pPr>
        <w:spacing w:after="0" w:line="219" w:lineRule="exact"/>
        <w:rPr>
          <w:rFonts w:ascii="Times New Roman" w:cs="Times New Roman" w:eastAsia="Times New Roman" w:hAnsi="Times New Roman"/>
          <w:sz w:val="18"/>
          <w:szCs w:val="18"/>
          <w:color w:val="auto"/>
        </w:rPr>
      </w:pPr>
    </w:p>
    <w:p>
      <w:pPr>
        <w:ind w:left="320" w:right="20" w:hanging="313"/>
        <w:spacing w:after="0" w:line="277" w:lineRule="auto"/>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the director nominees, as well as each executive officer named in the Summary Compensation Table appearing under the heading “Executive Compensation;” and</w:t>
      </w:r>
    </w:p>
    <w:p>
      <w:pPr>
        <w:spacing w:after="0" w:line="162"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directors and executive officers as a group.</w:t>
      </w:r>
    </w:p>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determine beneficial ownership in accordance with the rules of the SEC. Under SEC rules, beneficial ownership for purposes of this table takes into account shares as to which the individual has voting or investment power (including shares held indirectly through the Imunon, Inc. 401(k) Plan), as well as shares that may be acquired within 60 days of May 13, 2025. Shares of common stock subject to options that are currently exercisable or that become exercisable within 60 days of May 13, 2025, are treated as outstanding and beneficially owned by the holder of such options. However, these shares are not treated as outstanding for purposes of computing the percentage ownership of any other person. Unless otherwise indicated or as to the interests of spouses, the persons included in the table have sole voting and investment power with respect to all shares beneficially owned thereby. Percentage ownership calculations are based on 17,541,732 shares outstanding as of May 13, 2025.</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PERCENT OF</w:t>
            </w:r>
          </w:p>
        </w:tc>
      </w:tr>
      <w:tr>
        <w:trPr>
          <w:trHeight w:val="213"/>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SHARES OF</w:t>
            </w:r>
          </w:p>
        </w:tc>
      </w:tr>
      <w:tr>
        <w:trPr>
          <w:trHeight w:val="213"/>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COMMON</w:t>
            </w:r>
          </w:p>
        </w:tc>
      </w:tr>
      <w:tr>
        <w:trPr>
          <w:trHeight w:val="213"/>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BENEFICIALLY</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STOCK</w:t>
            </w:r>
          </w:p>
        </w:tc>
      </w:tr>
      <w:tr>
        <w:trPr>
          <w:trHeight w:val="23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OWNED (1)</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OUTSTANDING (2)</w:t>
            </w:r>
          </w:p>
        </w:tc>
      </w:tr>
      <w:tr>
        <w:trPr>
          <w:trHeight w:val="207"/>
        </w:trPr>
        <w:tc>
          <w:tcPr>
            <w:tcW w:w="6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Ayrton Capital LLC (3)</w:t>
            </w:r>
          </w:p>
        </w:tc>
        <w:tc>
          <w:tcPr>
            <w:tcW w:w="220" w:type="dxa"/>
            <w:vAlign w:val="bottom"/>
            <w:tcBorders>
              <w:top w:val="single" w:sz="8" w:color="CCEEFF"/>
            </w:tcBorders>
            <w:shd w:val="clear" w:color="auto" w:fill="CCEEFF"/>
          </w:tcPr>
          <w:p>
            <w:pPr>
              <w:spacing w:after="0"/>
              <w:rPr>
                <w:sz w:val="17"/>
                <w:szCs w:val="17"/>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34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top w:val="single" w:sz="8" w:color="CCEEFF"/>
            </w:tcBorders>
            <w:shd w:val="clear" w:color="auto" w:fill="CCEEFF"/>
          </w:tcPr>
          <w:p>
            <w:pPr>
              <w:spacing w:after="0"/>
              <w:rPr>
                <w:sz w:val="17"/>
                <w:szCs w:val="17"/>
                <w:color w:val="auto"/>
              </w:rPr>
            </w:pPr>
          </w:p>
        </w:tc>
      </w:tr>
      <w:tr>
        <w:trPr>
          <w:trHeight w:val="213"/>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E. Dentzer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w:t>
            </w: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16,018</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Frederick J. Fritz</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40,593</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Donald P. Braun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w:t>
            </w: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51,591</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Christine Pellizzari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20,773</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H. Tardugno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w:t>
            </w: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417,635</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w:t>
            </w:r>
          </w:p>
        </w:tc>
      </w:tr>
      <w:tr>
        <w:trPr>
          <w:trHeight w:val="213"/>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Stacy Lindborg* (9)</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166,648</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Khursheed Anwer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w:t>
            </w: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197,725</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r>
      <w:tr>
        <w:trPr>
          <w:trHeight w:val="213"/>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Church* (11)</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78,422</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Susan Eylward* (12)</w:t>
            </w: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3,125</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Faller MD*</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Gaiero*</w:t>
            </w: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Corrine LeGoff* (13)</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53,000</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 and Executive Officers as a group (12 persons) (14)</w:t>
            </w: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1,045,530</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5.96</w:t>
            </w:r>
          </w:p>
        </w:tc>
      </w:tr>
    </w:tbl>
    <w:p>
      <w:pPr>
        <w:spacing w:after="0" w:line="176" w:lineRule="exact"/>
        <w:rPr>
          <w:sz w:val="20"/>
          <w:szCs w:val="20"/>
          <w:color w:val="auto"/>
        </w:rPr>
      </w:pPr>
    </w:p>
    <w:p>
      <w:pPr>
        <w:ind w:right="2060" w:firstLine="7"/>
        <w:spacing w:after="0" w:line="495" w:lineRule="auto"/>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each of the individuals named is c/o IMUNON, INC., 997 Lenox Drive, Suite 100, Lawrenceville, NJ 08648. ** Less than one percent.</w:t>
      </w:r>
    </w:p>
    <w:p>
      <w:pPr>
        <w:jc w:val="both"/>
        <w:ind w:left="320" w:hanging="313"/>
        <w:spacing w:after="0" w:line="262" w:lineRule="auto"/>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in accordance with the rules of the SEC and generally includes voting or investment power with respect to securities. Except as indicated by footnote, and subject to community property laws where applicable, the persons named in the table above have sole voting and investment power with respect to all shares of common stock shown as beneficially owned by them.</w:t>
      </w:r>
    </w:p>
    <w:p>
      <w:pPr>
        <w:spacing w:after="0" w:line="176"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17,541,732 shares of common stock outstanding as of May 13, 2025.</w:t>
      </w:r>
    </w:p>
    <w:p>
      <w:pPr>
        <w:spacing w:after="0" w:line="219" w:lineRule="exact"/>
        <w:rPr>
          <w:rFonts w:ascii="Times New Roman" w:cs="Times New Roman" w:eastAsia="Times New Roman" w:hAnsi="Times New Roman"/>
          <w:sz w:val="18"/>
          <w:szCs w:val="18"/>
          <w:color w:val="auto"/>
        </w:rPr>
      </w:pPr>
    </w:p>
    <w:p>
      <w:pPr>
        <w:jc w:val="both"/>
        <w:ind w:left="320" w:hanging="313"/>
        <w:spacing w:after="0" w:line="237" w:lineRule="auto"/>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Schedule 13G filed by Ayrton Capital, LLC (“Ayrton Capital”) on February 13, 2025, reporting beneficial ownership as of December 31, 2024 and represents shares of Common Stock issuable on the exercise of certain warrants held by the reporting persons. The Schedule 13G provides information only as of December 31, 2024, and, consequently, the beneficial ownership of the abovementioned reporting person may have changed between December 31, 2024 and February 21, 2025. Shares reported herein were held by Alto Opportunity Master Fund, SPC – Segregated Master Portfolio B, a Cayman Islands exempted company (the “Fund”). The Fund is a private investment vehicle for which Ayrton Capital LLC, a Delaware limited liability company (the “Investment Manager”), serves as the investment manager. Waqas Khatri serves as the managing member of the Investment Manager. The address of the principal business and office of Ayrton Capital LLC and its affiliates is 55 Post Rd West,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Floor, Westport Ct, 06880.</w:t>
      </w:r>
    </w:p>
    <w:p>
      <w:pPr>
        <w:spacing w:after="0" w:line="201"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16,018 shares of common stock underlying options currently exercisable or exercisable within 60 days of May 13, 2025.</w:t>
      </w:r>
    </w:p>
    <w:p>
      <w:pPr>
        <w:spacing w:after="0" w:line="219"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11,766 shares of common stock and 28,827 shares of common stock underlying options currently exercisable or exercisable within 60 days of May 13, 2025.</w:t>
      </w:r>
    </w:p>
    <w:p>
      <w:pPr>
        <w:spacing w:after="0" w:line="162" w:lineRule="exact"/>
        <w:rPr>
          <w:rFonts w:ascii="Times New Roman" w:cs="Times New Roman" w:eastAsia="Times New Roman" w:hAnsi="Times New Roman"/>
          <w:sz w:val="18"/>
          <w:szCs w:val="18"/>
          <w:color w:val="auto"/>
        </w:rPr>
      </w:pPr>
    </w:p>
    <w:p>
      <w:pPr>
        <w:ind w:left="320" w:right="20" w:hanging="313"/>
        <w:spacing w:after="0" w:line="277" w:lineRule="auto"/>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25,597 shares of common stock and 25,994 shares of common stock underlying options currently exercisable or exercisable within 60 days of May 13, 2025.</w:t>
      </w:r>
    </w:p>
    <w:p>
      <w:pPr>
        <w:spacing w:after="0" w:line="162"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20,773 shares of common stock underlying options currently exercisable or exercisable within 60 days of May 13, 2025.</w:t>
      </w:r>
    </w:p>
    <w:p>
      <w:pPr>
        <w:spacing w:after="0" w:line="219"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73,714 shares of common stock and 343,921 shares of common stock underlying options currently exercisable or exercisable within 60 days of May 13, 2025.</w:t>
      </w:r>
    </w:p>
    <w:p>
      <w:pPr>
        <w:spacing w:after="0" w:line="162"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28,056 shares of common stock and 138,592 shares of common stock underlying options currently exercisable or exercisable within 60 days of May 13, 2025.</w:t>
      </w:r>
    </w:p>
    <w:p>
      <w:pPr>
        <w:sectPr>
          <w:pgSz w:w="11900" w:h="16838" w:orient="portrait"/>
          <w:cols w:equalWidth="0" w:num="1">
            <w:col w:w="11240"/>
          </w:cols>
          <w:pgMar w:left="320" w:top="678" w:right="339" w:bottom="0" w:gutter="0" w:footer="0" w:header="0"/>
        </w:sectPr>
      </w:pPr>
    </w:p>
    <w:bookmarkStart w:id="10" w:name="page11"/>
    <w:bookmarkEnd w:id="10"/>
    <w:p>
      <w:pPr>
        <w:ind w:left="313" w:hanging="313"/>
        <w:spacing w:after="0" w:line="277" w:lineRule="auto"/>
        <w:tabs>
          <w:tab w:leader="none" w:pos="31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44,565 shares of common stock and 153,160 shares of common stock underlying options currently exercisable or exercisable within 60 days of May 13, 2025.</w:t>
      </w:r>
    </w:p>
    <w:p>
      <w:pPr>
        <w:spacing w:after="0" w:line="162" w:lineRule="exact"/>
        <w:rPr>
          <w:rFonts w:ascii="Times New Roman" w:cs="Times New Roman" w:eastAsia="Times New Roman" w:hAnsi="Times New Roman"/>
          <w:sz w:val="18"/>
          <w:szCs w:val="18"/>
          <w:color w:val="auto"/>
        </w:rPr>
      </w:pPr>
    </w:p>
    <w:p>
      <w:pPr>
        <w:ind w:left="313" w:hanging="313"/>
        <w:spacing w:after="0" w:line="277" w:lineRule="auto"/>
        <w:tabs>
          <w:tab w:leader="none" w:pos="31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2,338 shares of common stock and 76,084 shares of common stock underlying options currently exercisable or exercisable within 60 days of May 13, 2025.</w:t>
      </w:r>
    </w:p>
    <w:p>
      <w:pPr>
        <w:spacing w:after="0" w:line="162" w:lineRule="exact"/>
        <w:rPr>
          <w:rFonts w:ascii="Times New Roman" w:cs="Times New Roman" w:eastAsia="Times New Roman" w:hAnsi="Times New Roman"/>
          <w:sz w:val="18"/>
          <w:szCs w:val="18"/>
          <w:color w:val="auto"/>
        </w:rPr>
      </w:pPr>
    </w:p>
    <w:p>
      <w:pPr>
        <w:ind w:left="313" w:hanging="313"/>
        <w:spacing w:after="0"/>
        <w:tabs>
          <w:tab w:leader="none" w:pos="31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3,125 shares of common stock underlying options currently exercisable or exercisable within 60 days of May 13, 2025.</w:t>
      </w:r>
    </w:p>
    <w:p>
      <w:pPr>
        <w:spacing w:after="0" w:line="219" w:lineRule="exact"/>
        <w:rPr>
          <w:rFonts w:ascii="Times New Roman" w:cs="Times New Roman" w:eastAsia="Times New Roman" w:hAnsi="Times New Roman"/>
          <w:sz w:val="18"/>
          <w:szCs w:val="18"/>
          <w:color w:val="auto"/>
        </w:rPr>
      </w:pPr>
    </w:p>
    <w:p>
      <w:pPr>
        <w:ind w:left="313" w:hanging="313"/>
        <w:spacing w:after="0"/>
        <w:tabs>
          <w:tab w:leader="none" w:pos="31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53,000 shares of common stock.</w:t>
      </w:r>
    </w:p>
    <w:p>
      <w:pPr>
        <w:spacing w:after="0" w:line="219" w:lineRule="exact"/>
        <w:rPr>
          <w:rFonts w:ascii="Times New Roman" w:cs="Times New Roman" w:eastAsia="Times New Roman" w:hAnsi="Times New Roman"/>
          <w:sz w:val="18"/>
          <w:szCs w:val="18"/>
          <w:color w:val="auto"/>
        </w:rPr>
      </w:pPr>
    </w:p>
    <w:p>
      <w:pPr>
        <w:ind w:left="313" w:hanging="313"/>
        <w:spacing w:after="0" w:line="277" w:lineRule="auto"/>
        <w:tabs>
          <w:tab w:leader="none" w:pos="31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239,036 of common stock and 806,494 shares of common stock underlying options currently exercisable or exercisable within 60 days of May 13, 2025.</w:t>
      </w:r>
    </w:p>
    <w:p>
      <w:pPr>
        <w:spacing w:after="0" w:line="163"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342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33"/>
          </w:cols>
          <w:pgMar w:left="327" w:top="335"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Section 16(a) of the Securities Exchange Act of 1934, as amended (the “Exchange Act”) requires our executive officers, directors and persons who own more than 10% of our common stock to file reports of ownership and reports of changes in ownership of common stock and other equity securities of the Company with the SEC. Executive officers, directors and greater than 10% stockholders are required by SEC regulations to furnish us with copies of all Section 16(a) forms they file.</w:t>
      </w:r>
    </w:p>
    <w:p>
      <w:pPr>
        <w:spacing w:after="0" w:line="1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We have identified the following reports required to be filed by insiders under Section 16(a) of the Exchange Act that were not filed in a timely manner: one late report by Stacy Lindborg relating to one transaction and one late report by Donald Braun relating to one transaction.</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DIRECTORS, EXECUTIVE OFFICERS, AND CORPORATE GOVERNANCE</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Board of Directors currently consists of six members and is divided into three classes of directors serving staggered three-year terms. Directors for each class are elected at the Annual Meeting of Stockholders held in the year in which the term for their class expires and hold office for a three-year term and until their successors are duly elected and qualified, or their earlier death, resignation or removal. In accordance with our Amended and Restated Certificate of Incorporation and Amended and Restated Bylaws, our Board may fill any vacancy on the Board by appointment.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is certain information regarding our Company’s current directors, as well as our non-director executive officers.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AGE</w:t>
            </w:r>
          </w:p>
        </w:tc>
        <w:tc>
          <w:tcPr>
            <w:tcW w:w="5840" w:type="dxa"/>
            <w:vAlign w:val="bottom"/>
            <w:gridSpan w:val="2"/>
          </w:tcPr>
          <w:p>
            <w:pPr>
              <w:ind w:left="2280"/>
              <w:spacing w:after="0"/>
              <w:rPr>
                <w:sz w:val="20"/>
                <w:szCs w:val="20"/>
                <w:color w:val="auto"/>
              </w:rPr>
            </w:pPr>
            <w:r>
              <w:rPr>
                <w:rFonts w:ascii="Times New Roman" w:cs="Times New Roman" w:eastAsia="Times New Roman" w:hAnsi="Times New Roman"/>
                <w:sz w:val="18"/>
                <w:szCs w:val="18"/>
                <w:b w:val="1"/>
                <w:bCs w:val="1"/>
                <w:color w:val="auto"/>
              </w:rPr>
              <w:t>POSITION(S)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CLASS</w:t>
            </w:r>
          </w:p>
        </w:tc>
      </w:tr>
      <w:tr>
        <w:trPr>
          <w:trHeight w:val="188"/>
        </w:trPr>
        <w:tc>
          <w:tcPr>
            <w:tcW w:w="272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Frederick J. Fritz</w:t>
            </w:r>
          </w:p>
        </w:tc>
        <w:tc>
          <w:tcPr>
            <w:tcW w:w="220" w:type="dxa"/>
            <w:vAlign w:val="bottom"/>
          </w:tcPr>
          <w:p>
            <w:pPr>
              <w:spacing w:after="0"/>
              <w:rPr>
                <w:sz w:val="16"/>
                <w:szCs w:val="16"/>
                <w:color w:val="auto"/>
              </w:rPr>
            </w:pPr>
          </w:p>
        </w:tc>
        <w:tc>
          <w:tcPr>
            <w:tcW w:w="114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74</w:t>
            </w:r>
          </w:p>
        </w:tc>
        <w:tc>
          <w:tcPr>
            <w:tcW w:w="200" w:type="dxa"/>
            <w:vAlign w:val="bottom"/>
          </w:tcPr>
          <w:p>
            <w:pPr>
              <w:spacing w:after="0"/>
              <w:rPr>
                <w:sz w:val="16"/>
                <w:szCs w:val="16"/>
                <w:color w:val="auto"/>
              </w:rPr>
            </w:pPr>
          </w:p>
        </w:tc>
        <w:tc>
          <w:tcPr>
            <w:tcW w:w="562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16"/>
                <w:szCs w:val="16"/>
                <w:color w:val="auto"/>
              </w:rPr>
            </w:pPr>
          </w:p>
        </w:tc>
        <w:tc>
          <w:tcPr>
            <w:tcW w:w="112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w:t>
            </w:r>
          </w:p>
        </w:tc>
      </w:tr>
      <w:tr>
        <w:trPr>
          <w:trHeight w:val="213"/>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Christine Pellizzari</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20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w:t>
            </w:r>
          </w:p>
        </w:tc>
      </w:tr>
      <w:tr>
        <w:trPr>
          <w:trHeight w:val="213"/>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E. Dentzer</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20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r>
      <w:tr>
        <w:trPr>
          <w:trHeight w:val="213"/>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Stacy R. Lindborg, Ph.D.</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20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r>
      <w:tr>
        <w:trPr>
          <w:trHeight w:val="213"/>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Donald P. Braun, Ph.D.</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20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III</w:t>
            </w:r>
          </w:p>
        </w:tc>
      </w:tr>
      <w:tr>
        <w:trPr>
          <w:trHeight w:val="213"/>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H. Tardugno</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c>
          <w:tcPr>
            <w:tcW w:w="20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Chairman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III</w:t>
            </w:r>
          </w:p>
        </w:tc>
      </w:tr>
      <w:tr>
        <w:trPr>
          <w:trHeight w:val="213"/>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Khursheed Anwer, Ph.D.</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20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and Chief Scientific Officer</w:t>
            </w:r>
          </w:p>
        </w:tc>
        <w:tc>
          <w:tcPr>
            <w:tcW w:w="1120" w:type="dxa"/>
            <w:vAlign w:val="bottom"/>
          </w:tcPr>
          <w:p>
            <w:pPr>
              <w:spacing w:after="0"/>
              <w:rPr>
                <w:sz w:val="18"/>
                <w:szCs w:val="18"/>
                <w:color w:val="auto"/>
              </w:rPr>
            </w:pPr>
          </w:p>
        </w:tc>
      </w:tr>
      <w:tr>
        <w:trPr>
          <w:trHeight w:val="213"/>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Susan Eylward</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20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Counsel and Corporate Secretary</w:t>
            </w:r>
          </w:p>
        </w:tc>
        <w:tc>
          <w:tcPr>
            <w:tcW w:w="1120" w:type="dxa"/>
            <w:vAlign w:val="bottom"/>
          </w:tcPr>
          <w:p>
            <w:pPr>
              <w:spacing w:after="0"/>
              <w:rPr>
                <w:sz w:val="18"/>
                <w:szCs w:val="18"/>
                <w:color w:val="auto"/>
              </w:rPr>
            </w:pPr>
          </w:p>
        </w:tc>
      </w:tr>
      <w:tr>
        <w:trPr>
          <w:trHeight w:val="213"/>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Douglas Faller, MD</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20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Medical Officer</w:t>
            </w:r>
          </w:p>
        </w:tc>
        <w:tc>
          <w:tcPr>
            <w:tcW w:w="1120" w:type="dxa"/>
            <w:vAlign w:val="bottom"/>
          </w:tcPr>
          <w:p>
            <w:pPr>
              <w:spacing w:after="0"/>
              <w:rPr>
                <w:sz w:val="18"/>
                <w:szCs w:val="18"/>
                <w:color w:val="auto"/>
              </w:rPr>
            </w:pPr>
          </w:p>
        </w:tc>
      </w:tr>
      <w:tr>
        <w:trPr>
          <w:trHeight w:val="232"/>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Gaiero</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200" w:type="dxa"/>
            <w:vAlign w:val="bottom"/>
          </w:tcPr>
          <w:p>
            <w:pPr>
              <w:spacing w:after="0"/>
              <w:rPr>
                <w:sz w:val="20"/>
                <w:szCs w:val="20"/>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120" w:type="dxa"/>
            <w:vAlign w:val="bottom"/>
          </w:tcPr>
          <w:p>
            <w:pPr>
              <w:spacing w:after="0"/>
              <w:rPr>
                <w:sz w:val="20"/>
                <w:szCs w:val="20"/>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III Director Nominees (If reelected, term expires in 2028)</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b w:val="1"/>
          <w:bCs w:val="1"/>
          <w:color w:val="auto"/>
        </w:rPr>
        <w:t xml:space="preserve">Dr. Donald P. Braun. </w:t>
      </w:r>
      <w:r>
        <w:rPr>
          <w:rFonts w:ascii="Times New Roman" w:cs="Times New Roman" w:eastAsia="Times New Roman" w:hAnsi="Times New Roman"/>
          <w:sz w:val="18"/>
          <w:szCs w:val="18"/>
          <w:color w:val="auto"/>
        </w:rPr>
        <w:t>Dr. Braun was appointed to our Board of Directors in December 2015. Dr. Braun has over 35 years of research experience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oncology, cancer immunology, cancer immunotherapy, and inflammatory diseases. He is the author of more than 120 published peer-reviewed manuscripts, twenty-five reviews and book chapters, and co-editor of a book on the role of prostaglandins and other COX 2 metabolites in cancer patient immunity and immunotherapy. He served from 2006 to 2014 as Vice President Clinical Research, after which he served as Vice President Translational Research and Chief Science Officer at the Cancer Treatment Centers of America until his retirement in May 2016. Prior to this role, he was the Scientific Director of the Cancer Center and Professor of Medicine and Immunology at Rush Medical College in Chicago from 1978 to 1999, and the Administrative Director of the Cancer Institute and a Professor of Surgery with tenure at the Medical College of Ohio from 1999 to 2006. He received his Ph.D. in Immunology and Microbiology from the University of Illinois at the Medical Center in Chicago. Dr. Braun has served as an advisor to numerous public agencies and private corporations concerned with cancer therapeutics and diagnostics. At the National Cancer Institute, Dr. Braun served as a member of the Experimental Therapeutics Study Section; the Small Business Innovation Grant Review Study Section; and the Experimental Therapy program for “Molecular Targets in Lung Cancer.” He served as a member of the Immunology and Immunotherapy Study Section of the American Cancer Society-National Division; as a Member of the Ohio Cancer Incidence Surveillance System; as a Member of the Biomedical Research Technology Transfer Commission for the State of Ohio; and as an advisor to the State of Arizona’s Disease Research Control Commission. Dr. Braun has also served as a consultant to numerous pharmaceutical and biotechnology companies developing cancer treatments and diagnostics including Pfizer Inc. (NYSE: PFE), Sterling Winthrop, Abbott Laboratories (NYSE: ABT), Boehringer Mannheim, Serono Corporation, Biomira Inc., Centocor and Merck KGA.</w:t>
      </w:r>
    </w:p>
    <w:p>
      <w:pPr>
        <w:spacing w:after="0" w:line="19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Mr. Michael H. Tardugno. </w:t>
      </w:r>
      <w:r>
        <w:rPr>
          <w:rFonts w:ascii="Times New Roman" w:cs="Times New Roman" w:eastAsia="Times New Roman" w:hAnsi="Times New Roman"/>
          <w:sz w:val="18"/>
          <w:szCs w:val="18"/>
          <w:color w:val="auto"/>
        </w:rPr>
        <w:t>Mr. Tardugno was appointed President and Chief Executive Officer of the Company on January 3, 2007, and was elected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of Directors on January 22, 2007. In October of 2014, Mr. Tardugno was appointed by our Board of Directors as our Chairman. Effective July 18, 2022, Mr. Tardugno transitioned from the roles of President, Chief Executive Officer and Chairman to the position of Executive Chairman of the Board. From March 15, 2024, Mr. Tardugno served as interim Chief Executive Officer until the appointment of Dr. Lindborg effective May 13, 2024. Prior to joining the Company and for the period from February 2005 to December 2006, Mr. Tardugno served as Senior Vice President and General Manager of Mylan Technologies, Inc., a subsidiary of Mylan Inc. From 1998 to 2005, Mr. Tardugno was Executive Vice President of Songbird Hearing, Inc., a medical device company spun out of Sarnoff Corporation. From 1996 to 1998, he was Senior Vice President of Technical Operations worldwide for a division of Bristol-Myers Squibb (NYSE: BMY), and from 1977 to 1995, he held increasingly senior executive positions including Senior Vice President of Worldwide Technology Development with Bausch &amp; Lomb (NYSE, TSX: BLCO) and Abbott Laboratories (NYSE: ABT). Mr. Tardugno holds a B.S. degree from St. Bonaventure University and completed the Harvard Business School Program for Management Development.</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Board of Directors concluded that Mr. Michael H. Tardugno and Dr. Donald P. Braun have the requisite experience, qualifications, attributes and skills necessary to serve as a member of our Board of Directors based on his respective leadership attributes, management experience in the pharmaceutical industry and professional and educational background.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Continuing Class I Directors (Term expires in 2026)</w:t>
      </w:r>
    </w:p>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Mr. Frederick J. Fritz. </w:t>
      </w:r>
      <w:r>
        <w:rPr>
          <w:rFonts w:ascii="Times New Roman" w:cs="Times New Roman" w:eastAsia="Times New Roman" w:hAnsi="Times New Roman"/>
          <w:sz w:val="18"/>
          <w:szCs w:val="18"/>
          <w:color w:val="auto"/>
        </w:rPr>
        <w:t>Mr. Fritz was appointed to our Board of Directors in July 2011. Mr. Fritz has served as CEO and Founder of NeuroDx,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stage diagnostic device company focused on the neurosurgery market, since 2006. Mr. Fritz joined NeuroDx from Valeo Medical, a biotechnology company he founded in 2003 to develop the world’s first non-invasive diagnostic test for endometriosis. Prior to that, Mr. Fritz was President and CEO of Songbird Hearing, Inc., a medical device company spun out of Sarnoff Corporation. Mr. Fritz began his career in marketing management and new product development. He joined Schering Plough’s Wesley Jessen in 1985 as VP Marketing and Sales in 1986. He was promoted to general manager of Schering’s Over the Counter pharmaceutical business in 1988 and of the podiatric products business in 1990. He was President of Coleman North America from 1995 to 1997. Mr. Fritz holds a bachelor’s degree in engineering (summa cum laude) from University of Illinois and an MBA degree from Harvard University.</w:t>
      </w:r>
    </w:p>
    <w:p>
      <w:pPr>
        <w:spacing w:after="0" w:line="18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b w:val="1"/>
          <w:bCs w:val="1"/>
          <w:color w:val="auto"/>
        </w:rPr>
        <w:t xml:space="preserve">Ms. Christine A. Pellizzari. </w:t>
      </w:r>
      <w:r>
        <w:rPr>
          <w:rFonts w:ascii="Times New Roman" w:cs="Times New Roman" w:eastAsia="Times New Roman" w:hAnsi="Times New Roman"/>
          <w:sz w:val="18"/>
          <w:szCs w:val="18"/>
          <w:color w:val="auto"/>
        </w:rPr>
        <w:t>Ms. Pellizzari was appointed to our Board of Directors in June 2021. Ms. Pellizzari most recently served as the Chief 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and Human Resources Officer of Science 37 (formerly Nasdaq: SNCE), a developer of leading decentralized clinical trial solutions, where she had global responsibility for both the legal and human resource functions and also oversaw quality and privacy, from 2021 through 2024. Immediately prior to joining Science 37, Ms. Pellizzari served as the General Counsel and Corporate Secretary of Insmed, Inc., (Nasdaq: INSM) a publicly traded biotech company focused on serious and rare diseases, from 2013 to 2018 and as Chief Legal Officer from 2018 to 2021. From 2007 through 2012, Ms. Pellizzari held various legal positions of increasing responsibility at Aegerion Pharmaceuticals, most recently as Executive Vice President, General Counsel and Corporate Secretary. Prior to Aegerion, Ms. Pellizzari was Senior Vice President, General Counsel and Secretary at Dendrite International, Inc., a formerly publicly traded company that provided sales effectiveness, promotional and compliance solutions to the pharmaceutical industry. Ms. Pellizzari joined Dendrite from the law firm of Wilentz, Goldman &amp; Spitzer, where she specialized in health care transactions and related regulatory matters. Ms. Pellizzari has nearly three decades of relevant experience, including having served for over 25 years as Chief Legal Officer and General Counsel of publicly traded companies in biopharmaceutical and related industries. Ms. Pellizzari also serves on the board of directors of Tempest Therapeutics (Nasdaq: TPST), a public clinical-stage oncology company, and Neurosense Therapeutics (Nasdaq: NRSN), a public clinical-stage development company advancing treatments for severe neurodegenerative diseases. Ms. Pellizzari received her Bachelor of Arts, cum laude, from the University of Massachusetts (Amherst) and her Juris Doctor degree from the University of Colorado School of Law. She is a member of Global Leaders in Law, Executive Women in Bio, Women Corporate Directors, National Association of Corporate Directors, Association of Corporate Counsel, Society for Corporate Governance and National Association of Stock Plan Professionals.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Continuing Class II Directors (Term expires in 2027)</w:t>
      </w:r>
    </w:p>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Mr. James E. Dentzer. </w:t>
      </w:r>
      <w:r>
        <w:rPr>
          <w:rFonts w:ascii="Times New Roman" w:cs="Times New Roman" w:eastAsia="Times New Roman" w:hAnsi="Times New Roman"/>
          <w:sz w:val="18"/>
          <w:szCs w:val="18"/>
          <w:color w:val="auto"/>
        </w:rPr>
        <w:t>Mr. Dentzer was appointed to our Board of Directors in September 2022. He has been President and Chief Executive Officer and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 of the Board of Directors of Curis, Inc. (Nasdaq: CRIS) since September 2018. From March 2018 to September 2018, Mr. Dentzer served as Curis’ Chief Operating Officer and Chief Financial Officer. From March 2016 to March 2018, Mr. Dentzer served as Curis’ Chief Administrative Officer and Chief Financial Officer. Mr. Dentzer has also held the positions of secretary and treasurer from March 2016 to March 2019. Prior to joining Curis, Mr. Dentzer served as Chief Financial Officer of Dicerna Pharmaceuticals, Inc., a formerly publicly traded biotechnology company, from December 2013 to December 2015. Prior to that, he was the Chief Financial Officer of Valeritas, Inc., a formerly publicly traded medical technology company, from March 2010 to December 2013. Prior to joining Valeritas, Inc., he was the Chief Financial Officer of Amicus Therapeutics, Inc. (Nasdaq: FOLD), a biotechnology company, from October 2006 to October 2009. In prior positions, he spent six years as Corporate Controller of Biogen Inc. (Nasdaq: BIIB), a biotechnology company, and six years in various senior financial roles at E.I. du Pont de Nemours and Company, a chemical, petroleum and biotechnology company, in the U.S. and Asia. Mr. Dentzer holds a B.A. degree in Philosophy from Boston College and an M.B.A. from the University of Chicago.</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4" w:name="page15"/>
    <w:bookmarkEnd w:id="14"/>
    <w:p>
      <w:pPr>
        <w:jc w:val="both"/>
        <w:spacing w:after="0" w:line="250" w:lineRule="auto"/>
        <w:rPr>
          <w:sz w:val="20"/>
          <w:szCs w:val="20"/>
          <w:color w:val="auto"/>
        </w:rPr>
      </w:pPr>
      <w:r>
        <w:rPr>
          <w:rFonts w:ascii="Times New Roman" w:cs="Times New Roman" w:eastAsia="Times New Roman" w:hAnsi="Times New Roman"/>
          <w:sz w:val="18"/>
          <w:szCs w:val="18"/>
          <w:b w:val="1"/>
          <w:bCs w:val="1"/>
          <w:color w:val="auto"/>
        </w:rPr>
        <w:t>Dr. Stacy R. Lindborg</w:t>
      </w:r>
      <w:r>
        <w:rPr>
          <w:rFonts w:ascii="Times New Roman" w:cs="Times New Roman" w:eastAsia="Times New Roman" w:hAnsi="Times New Roman"/>
          <w:sz w:val="18"/>
          <w:szCs w:val="18"/>
          <w:color w:val="auto"/>
        </w:rPr>
        <w:t>. Dr. Lindborg, a director since 2021, has served as President and Chief Executive Officer of the Company since May 2024. Dr.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Lindborg, a globally recognized biostatistician, brings to Imunon nearly 30 years of pharmaceutical and biotech industry experience with a particular focus on R&amp;D, regulatory affairs, executive management and strategy. She has worked with biologics, small molecules and cell therapies to address a broad range of diseases and disorders, including multiple Orphan drug products, along with extensive experience in early-stage development having taken molecules from first-in-human studies into the clinic, through regulatory approval and commercial launch. Prior to joining the Company, Dr. Lindborg held the position of co-Chief Executive Officer at Brainstorm Cell Therapeutics (Nasdaq: BCLI), which she joined in 2020, and where she also currently serves as an independent director since May 2024. From 2012 to 2020, she held positions of increasing responsibility at Biogen, and served as Vice President for Global Analytics and Data Sciences. Prior to her time at Biogen, Dr. Lindborg had worked at Eli Lilly and Company (NYSE: LLY) since 1996 advancing through the organization to serve from 2010 to 2012 as Head of R&amp;D Strategy with responsibility for characterizing the productivity of the portfolio and advancing key R&amp;D strategy projects by connecting individual drug-development decisions to portfolio risk practices and driving fundamental R&amp;D decisions to increase the number of drug launches. Dr. Lindborg received an M.A. and a Ph.D. in statistics from Baylor University. She has authored more than 50 abstracts, 200 presentations and 40 manuscripts that have been published in peer-reviewed journals. She has held numerous positions within the American Statistical Association and International Biometric Society and was elected Fellow in 2008.</w:t>
      </w:r>
    </w:p>
    <w:p>
      <w:pPr>
        <w:spacing w:after="0" w:line="19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Our Board of Directors concluded that all of the continuing directors have the requisite experience, qualifications, attributes and skill necessary to serve as a member of the Board of Directors based on, among other things, their:</w:t>
      </w:r>
    </w:p>
    <w:p>
      <w:pPr>
        <w:spacing w:after="0" w:line="163" w:lineRule="exact"/>
        <w:rPr>
          <w:sz w:val="20"/>
          <w:szCs w:val="20"/>
          <w:color w:val="auto"/>
        </w:rPr>
      </w:pPr>
    </w:p>
    <w:p>
      <w:pPr>
        <w:ind w:left="960" w:hanging="313"/>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Leadership attributes and experience;</w:t>
      </w:r>
    </w:p>
    <w:p>
      <w:pPr>
        <w:spacing w:after="0" w:line="25"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experience in the pharmaceutical industry and/or business experience in countries in which we are conducting clinical trials; and</w:t>
      </w:r>
    </w:p>
    <w:p>
      <w:pPr>
        <w:spacing w:after="0" w:line="6"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and educational background.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following are the biographical summaries for each of our executive officers. Each executive officer is elected by, and serves at the pleasure of, our Board of Directors.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Khursheed Anwer, Ph.D. </w:t>
      </w:r>
      <w:r>
        <w:rPr>
          <w:rFonts w:ascii="Times New Roman" w:cs="Times New Roman" w:eastAsia="Times New Roman" w:hAnsi="Times New Roman"/>
          <w:sz w:val="18"/>
          <w:szCs w:val="18"/>
          <w:color w:val="auto"/>
        </w:rPr>
        <w:t>Dr. Anwer joined the Company in June 2014 as Executive Vice President and Chief Scientific Officer, in connection with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 of all the assets of EGWU, Inc. (formerly known as Egen, Inc.), an Alabama corporation (or “EGEN”). Before joining the Company, Dr. Anwer served as EGEN’s President and Chief Scientific Officer, a position he held since 2009. He joined EGEN in July 2002 as Vice President of Research and Development and directed EGEN’s clinical and research and development functions. Before joining EGEN, Dr. Anwer was Director of Pre-Clinical Development at Valentis, Inc. from July 2000 to June 2002. From 1993 to 1999, he served in several positions at GeneMedicine, Inc., where he led several research projects in the area of non-viral gene therapy. He has authored more than 40 publications in the area of non-viral gene therapy, resulting from his active career in research and development. Dr. Anwer holds a Ph.D. in physiology/pharmacology from Ohio University and received post-doctoral training from the University of Texas Health Science Center at Houston. Dr. Anwer also has a master’s in business administration from the University of Alabama.</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Susan Eylward. </w:t>
      </w:r>
      <w:r>
        <w:rPr>
          <w:rFonts w:ascii="Times New Roman" w:cs="Times New Roman" w:eastAsia="Times New Roman" w:hAnsi="Times New Roman"/>
          <w:sz w:val="18"/>
          <w:szCs w:val="18"/>
          <w:color w:val="auto"/>
        </w:rPr>
        <w:t>Ms. Eylward joined the Company in October 2024 as General Counsel and Corporate Secretary. Prior to her position with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Ms. Eylward served as Senior Counsel at Science 37, Inc. (formerly Nasdaq: SNCE), a solutions organization focused on decentralized clinical trials, from January 2022 through April 2024, where she was responsible for a variety of complex legal matters, including, among others, corporate governance, securities compliance, executive compensation, and acquisitions. Prior to that, Ms. Eylward served as corporate counsel and Vice President at the Allstate Corporation (NYSE: ALL) during 2021, at National General Holdings Corp. (formerly Nasdaq: NGHC) from September 2014 through December 2020, and at Tower Group International, Ltd. (formerly Nasdaq: TWGP) from May 2009 through September 2014, and at each of the foregoing, she had responsibility for various corporate legal matters including governance, securities law, alternative investments and transactions. From 2004 through 2009, Ms. Eylward practiced law at Dewey &amp; LeBoeuf LLP, where she represented public and private companies for equity and debt offerings, as well as mergers and acquisitions. Ms. Eylward received a Juris Doctor from New York Law School and a Bachelor of Arts in Accounting from Boston College.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5" w:name="page16"/>
    <w:bookmarkEnd w:id="15"/>
    <w:p>
      <w:pPr>
        <w:jc w:val="both"/>
        <w:spacing w:after="0" w:line="249" w:lineRule="auto"/>
        <w:rPr>
          <w:sz w:val="20"/>
          <w:szCs w:val="20"/>
          <w:color w:val="auto"/>
        </w:rPr>
      </w:pPr>
      <w:r>
        <w:rPr>
          <w:rFonts w:ascii="Times New Roman" w:cs="Times New Roman" w:eastAsia="Times New Roman" w:hAnsi="Times New Roman"/>
          <w:sz w:val="18"/>
          <w:szCs w:val="18"/>
          <w:b w:val="1"/>
          <w:bCs w:val="1"/>
          <w:color w:val="auto"/>
        </w:rPr>
        <w:t xml:space="preserve">Douglas Faller, MD. </w:t>
      </w:r>
      <w:r>
        <w:rPr>
          <w:rFonts w:ascii="Times New Roman" w:cs="Times New Roman" w:eastAsia="Times New Roman" w:hAnsi="Times New Roman"/>
          <w:sz w:val="18"/>
          <w:szCs w:val="18"/>
          <w:color w:val="auto"/>
        </w:rPr>
        <w:t>Dr. Faller, an internationally recognized oncologist/hematologist and scientist, has nearly 30 years of pharmaceutical and biotech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industry experience with a particular focus on clinical R&amp;D, discovery, regulatory affairs, and strategy development. He has worked with small molecules, gene therapies, biologics and cell therapies to address a range of malignant and non-malignant diseases and disorders, including rare and genetic diseases, and neurological and neuropsychiatric disorders. He has extensive experience in early-stage development as well as global late-stage development and world-wide marketing approvals. He has taken molecules (including those discovered in his own academic laboratories) from first-in-human studies in the clinic, through registrational trials, international regulatory approvals and commercial launch. Prior to his position with the Company, Dr. Faller served as Chief Medical Officer of Skyhawk Therapeutics beginning in 2024, where he led the development of splicing modulators for the treatment of oncological and neurological disorders. From 2022 through 2024, he served as Chief Medical Officer of Oryzon Genomics, leading the development of epigenetic-modifying small molecules in oncology and neuropsychiatric disorders, and prior to that role, from 2015 through 2022, Dr. Faller was Executive Medical Director at Takeda Pharmaceuticals, where he led multiple programs in hematologic oncology, solid tumor malignancies and rare diseases, from first-in-human to global registrational trials and post-marketing trials. He was also extensively involved in Business Development for oncology, hematology and rare diseases. Dr. Faller was the scientific founder and CMO/CSO of Viracta Therapeutics, which he joined in 2019 and remained through 2021, after it became publicly traded and launched a pivotal trial of his therapeutic. Dr. Faller is the scientific founder or co-founder of four biopharma companies. Prior to working full-time in the biopharmaceutical industry, Dr. Faller was a professor at Harvard Medical School, and an attending physician at Brigham and Women’s Hospital, Boston Children’s Hospital and Dana-Farber Cancer Institute. He founded and directed the Comprehensive Cancer Center at Boston University, where he also served as the first Grunebaum Professor for Cancer Research, Vice-Chairman of the Department of Medicine, and Professor of Medicine, Biochemistry, Pediatrics, Microbiology, Pathology and Laboratory Medicine. Dr. Faller received a B.S. in biochemistry from the Massachusetts Institute of Technology, an MD from Harvard Medical School, and a PhD from the Massachusetts Institute of Technology in cancer molecular biology. He has authored more than 300 abstracts, 230 presentations and 375 manuscripts that have been published in peer-reviewed journals. He is certified in Internal Medicine, Hematology and Oncology, and is a Fellow of the American College of Physicians.</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David Gaiero. </w:t>
      </w:r>
      <w:r>
        <w:rPr>
          <w:rFonts w:ascii="Times New Roman" w:cs="Times New Roman" w:eastAsia="Times New Roman" w:hAnsi="Times New Roman"/>
          <w:sz w:val="18"/>
          <w:szCs w:val="18"/>
          <w:color w:val="auto"/>
        </w:rPr>
        <w:t>Mr. Gaiero joined the Company in May 2024 as Chief Financial Officer pursuant to a professional agreement (the “Agreement”) between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Monomoy Advisors, LLC, a financial advisory services firm (“Monomoy”). Prior to joining Monomoy in May 2024, Mr. Gaiero served as Chief Financial Officer of Cyteir Therapeutics, Inc. Prior to joining Cyteir Therapeutics in December 2020, Mr. Gaiero served in various roles at Wave Life Sciences (Nasdaq: WVE) from July 2017 to December 2020, most recently serving as Interim Chief Financial Officer and prior to that, serving as Vice President and Corporate Controller. Prior to joining Wave Life Sciences, from September 2015 to July 2017, Mr. Gaiero served as Vice President and Corporate Controller of OvaScience, Inc. Prior to that, Mr. Gaiero held various positions of increasing responsibility and scope in finance and accounting at iRobot Corporation. Mr. Gaiero began his career in public accounting at PricewaterhouseCoopers LLP. Mr. Gaiero received a B.B.A. in Accounting from the University of Massachusetts, Amherst, and is a Certified Public Accountant in Massachusetts.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Involvement in Certain Legal Proceedings</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As of the filing of this Proxy Statement, there are no legal proceedings, and during the past ten years there have been no legal proceedings, that are material to the ability or integrity of any of our directors, director nominees or executive officers.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Board Leadership Structure and Role in Risk Oversight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Leadership</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Board of Directors believes that it is important to select our Chairman of the Board and our Chief Executive Officer in the manner it considers in our best interests. The members of our Board of Directors possess considerable business experience and in-depth knowledge of the issues we face and are therefore in the best position to evaluate our needs and how best to organize and adopt our leadership structure to meet those needs. Accordingly, our Chairman and the Chief Executive Officer may be filled by one individual or by two different individuals, and our chairman may be a Company insider or an independent director. Mr. Tardugno currently serves as Executive Chairman of our Board of Directors and Dr. Stacy Lindborg currently serves as the Company’s President and Chief Executive Officer. Currently, all the other directors of our Board of Directors are independent under applicable SEC and Nasdaq rules.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Oversight of Risk</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Board of Directors is responsible for oversight of the various risks we face. In this regard, the Board of Directors seeks to understand and oversee the most critical risks relating to our business and operations, allocate responsibilities for the oversight of risks among the full Board of Directors and its committees, and see that management has in place effective systems and processes for managing risks we face. Overseeing risk is an ongoing process, and risk is inherently tied to our strategy and to strategic decisions. Accordingly, our Board of Directors considers risk throughout the year and with respect to specific proposed actions. Our Board of Directors recognizes that it is neither possible nor prudent to eliminate all risk. Indeed, purposeful and appropriate risk-taking is essential for us to be competitive and to achieve our business objectives.</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While our Board of Directors oversees risk, management is charged with identifying and managing risk. We have robust internal processes and a strong internal control environment to identify and manage risks and to communicate information about risk to the Board of Directors. Management communicates routinely with our Board of Directors, Board Committees (as defined below) and individual directors on the significant risks identified and how they are being managed. Our directors are free to, and indeed often do, communicate directly with senior management.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 Governance Practices</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Our Board of Directors has a commitment to strong and sustainable corporate governance. As such, we continuously review our practices to ensure effective collaboration between management and our Board. Highlights of our Board of Directors’ best practices are:</w:t>
      </w:r>
    </w:p>
    <w:p>
      <w:pPr>
        <w:spacing w:after="0" w:line="163" w:lineRule="exact"/>
        <w:rPr>
          <w:sz w:val="20"/>
          <w:szCs w:val="20"/>
          <w:color w:val="auto"/>
        </w:rPr>
      </w:pPr>
    </w:p>
    <w:p>
      <w:pPr>
        <w:ind w:left="320" w:hanging="313"/>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of the six Board directors are independent;</w:t>
      </w:r>
    </w:p>
    <w:p>
      <w:pPr>
        <w:spacing w:after="0" w:line="2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has adopted and published committee charters (available on our website at www.imunon.com);</w:t>
      </w:r>
    </w:p>
    <w:p>
      <w:pPr>
        <w:spacing w:after="0" w:line="2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conducts an annual review of Board independence;</w:t>
      </w:r>
    </w:p>
    <w:p>
      <w:pPr>
        <w:spacing w:after="0" w:line="2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directors participate in an orientation program and receive a current state briefing before their first Board meeting;</w:t>
      </w:r>
    </w:p>
    <w:p>
      <w:pPr>
        <w:spacing w:after="0" w:line="2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stock ownership and stock retention guidelines for our directors;</w:t>
      </w:r>
    </w:p>
    <w:p>
      <w:pPr>
        <w:spacing w:after="0" w:line="2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policies and practices to specifically align executive compensation with long-term stockholder interests;</w:t>
      </w:r>
    </w:p>
    <w:p>
      <w:pPr>
        <w:spacing w:after="0" w:line="219" w:lineRule="exact"/>
        <w:rPr>
          <w:rFonts w:ascii="Times New Roman" w:cs="Times New Roman" w:eastAsia="Times New Roman" w:hAnsi="Times New Roman"/>
          <w:sz w:val="18"/>
          <w:szCs w:val="18"/>
          <w:color w:val="auto"/>
        </w:rPr>
      </w:pPr>
    </w:p>
    <w:p>
      <w:pPr>
        <w:ind w:left="320" w:right="20" w:hanging="313"/>
        <w:spacing w:after="0" w:line="277" w:lineRule="auto"/>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policy prohibiting hedging and pledging, short sales, purchases or sales of puts or calls, and other derivative transactions of our stock (including any transaction that provides the economic equivalent of ownership) by our executive officers and directors;</w:t>
      </w:r>
    </w:p>
    <w:p>
      <w:pPr>
        <w:spacing w:after="0" w:line="162"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executive compensation clawback policy was adopted by our Board of Directors in October 2023;</w:t>
      </w:r>
    </w:p>
    <w:p>
      <w:pPr>
        <w:spacing w:after="0" w:line="2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reviews management talent and succession annually with our chief executive officer; and</w:t>
      </w:r>
    </w:p>
    <w:p>
      <w:pPr>
        <w:spacing w:after="0" w:line="2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automatic enhancement of executive incentive compensation upon a change-in-control.</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board of directors has adopted an insider trading policy which governs the purchase, sales, and/or other dispositions of our securities by directors, officers, and employees. Our insider trading policy prohibits our officers, directors, and employees from, among other things, engaging in short sales, transactions in derivative securities (including put and call options) or other forms of hedging transactions (i.e., zero-cost collars, equity swaps, exchange funds and forward sale contracts) that are designed to hedge or offset any decrease in the market value of equity securities (1) granted to the executive officer or director by the Company as part of the compensation of such individual, or (2) held, directly or indirectly, by the executive officer or director.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 has adopted a Code of Ethics and Business Conduct (the “Code of Ethics”) applicable to its directors, officers, including the Chief Executive Officer, Chief Financial Officer, Chief Accounting Officer and other officers performing similar functions, and employees. This Code of Ethics constitutes a code of ethics applicable to senior financial officers within the meaning of the Sarbanes-Oxley Act of 2002 and SEC rules. A copy of the Code of Ethics is available on the Company’s website at </w:t>
      </w:r>
      <w:r>
        <w:rPr>
          <w:rFonts w:ascii="Times New Roman" w:cs="Times New Roman" w:eastAsia="Times New Roman" w:hAnsi="Times New Roman"/>
          <w:sz w:val="18"/>
          <w:szCs w:val="18"/>
          <w:i w:val="1"/>
          <w:iCs w:val="1"/>
          <w:color w:val="auto"/>
        </w:rPr>
        <w:t>http://www.imunon.com</w:t>
      </w:r>
      <w:r>
        <w:rPr>
          <w:rFonts w:ascii="Times New Roman" w:cs="Times New Roman" w:eastAsia="Times New Roman" w:hAnsi="Times New Roman"/>
          <w:sz w:val="18"/>
          <w:szCs w:val="18"/>
          <w:color w:val="auto"/>
        </w:rPr>
        <w:t xml:space="preserve"> and any stockholder may obtain a copy by making a written request to the Company’s Corporate Secretary, 997 Lenox Drive, Suite 100, Lawrenceville, NJ 08648. In the event of any amendments to or waivers of the terms of the Code of Ethics, such matters will be posted promptly to the Company’s website in lieu of disclosure on Form 8-K in accordance with Item 5.05(c) of Form 8-K.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implements its risk oversight function both as a whole and through delegation to various committees (the “Board Committees”).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Board Committees meet regularly and report back to our full Board of Directors.</w:t>
      </w:r>
    </w:p>
    <w:p>
      <w:pPr>
        <w:spacing w:after="0" w:line="201" w:lineRule="exact"/>
        <w:rPr>
          <w:sz w:val="20"/>
          <w:szCs w:val="20"/>
          <w:color w:val="auto"/>
        </w:rPr>
      </w:pPr>
    </w:p>
    <w:p>
      <w:pPr>
        <w:ind w:left="320" w:hanging="313"/>
        <w:spacing w:after="0" w:line="277" w:lineRule="auto"/>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Audit Committee oversees the management of financial, accounting, internal controls, disclosure controls and the engagement arrangement and regular oversight of the independent auditors.</w:t>
      </w:r>
    </w:p>
    <w:p>
      <w:pPr>
        <w:spacing w:after="0" w:line="162" w:lineRule="exact"/>
        <w:rPr>
          <w:rFonts w:ascii="Times New Roman" w:cs="Times New Roman" w:eastAsia="Times New Roman" w:hAnsi="Times New Roman"/>
          <w:sz w:val="18"/>
          <w:szCs w:val="18"/>
          <w:color w:val="auto"/>
        </w:rPr>
      </w:pPr>
    </w:p>
    <w:p>
      <w:pPr>
        <w:jc w:val="both"/>
        <w:ind w:left="320" w:hanging="313"/>
        <w:spacing w:after="0" w:line="262" w:lineRule="auto"/>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Compensation Committee is responsible for the design and oversight of our compensation programs. Based on a review of our company-wide compensation programs, including the compensation programs for our executive officers, our Compensation Committee has concluded that these programs do not create risks that are likely to have a material adverse effect on us.</w:t>
      </w:r>
    </w:p>
    <w:p>
      <w:pPr>
        <w:spacing w:after="0" w:line="176" w:lineRule="exact"/>
        <w:rPr>
          <w:rFonts w:ascii="Times New Roman" w:cs="Times New Roman" w:eastAsia="Times New Roman" w:hAnsi="Times New Roman"/>
          <w:sz w:val="18"/>
          <w:szCs w:val="18"/>
          <w:color w:val="auto"/>
        </w:rPr>
      </w:pPr>
    </w:p>
    <w:p>
      <w:pPr>
        <w:jc w:val="both"/>
        <w:ind w:left="320" w:hanging="313"/>
        <w:spacing w:after="0" w:line="262" w:lineRule="auto"/>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Nominating and Governance Committee periodically reviews our corporate governance practices, including the risks that those practices are intended to address. It also periodically reviews the composition of our Board of Directors to help ensure that a diversity of skills and experiences is represented by the members of our Board of Directors, taking into account the stage of our growth and strategic direction.</w:t>
      </w:r>
    </w:p>
    <w:p>
      <w:pPr>
        <w:spacing w:after="0" w:line="176" w:lineRule="exact"/>
        <w:rPr>
          <w:rFonts w:ascii="Times New Roman" w:cs="Times New Roman" w:eastAsia="Times New Roman" w:hAnsi="Times New Roman"/>
          <w:sz w:val="18"/>
          <w:szCs w:val="18"/>
          <w:color w:val="auto"/>
        </w:rPr>
      </w:pPr>
    </w:p>
    <w:p>
      <w:pPr>
        <w:jc w:val="both"/>
        <w:ind w:left="320" w:hanging="313"/>
        <w:spacing w:after="0" w:line="262" w:lineRule="auto"/>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Science and Technology Committee assists our Board of Directors in monitoring the state of science and technology capabilities within the Company and associated risks and overseeing the development of key technologies and major science and medicine-driven innovation initiatives essential to our long-term success.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 xml:space="preserve">Our Audit Committee consists of Mr. James A. Dentzer (Chair), Mr. Frederick J. Fritz and Ms. Christine Pellizzari. Our Audit Committee operates under a written charter that is available on our web site, located at </w:t>
      </w:r>
      <w:r>
        <w:rPr>
          <w:rFonts w:ascii="Times New Roman" w:cs="Times New Roman" w:eastAsia="Times New Roman" w:hAnsi="Times New Roman"/>
          <w:sz w:val="18"/>
          <w:szCs w:val="18"/>
          <w:i w:val="1"/>
          <w:iCs w:val="1"/>
          <w:u w:val="single" w:color="auto"/>
          <w:color w:val="auto"/>
        </w:rPr>
        <w:t>http://www.imunon.com</w:t>
      </w:r>
      <w:r>
        <w:rPr>
          <w:rFonts w:ascii="Times New Roman" w:cs="Times New Roman" w:eastAsia="Times New Roman" w:hAnsi="Times New Roman"/>
          <w:sz w:val="18"/>
          <w:szCs w:val="18"/>
          <w:color w:val="auto"/>
        </w:rPr>
        <w:t>. Additional copies of the charter are available upon written request to us.</w:t>
      </w:r>
    </w:p>
    <w:p>
      <w:pPr>
        <w:spacing w:after="0" w:line="1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Audit Committee assists our Board of Directors in fulfilling its responsibility to oversee management’s implementation of our financial reporting process. In discharging its oversight role, the Audit Committee reviewed and discussed the audited financial statements contained in our 2024 Annual Report on Form 10-K with our management and independent registered public accounting firm. Management is responsible for the financial statements and the reporting process, including the system of internal controls. Our independent registered public accounting firm is responsible for expressing an opinion on the conformity of those financial statements with accounting principles generally accepted in the U.S. (“U.S. GAAP”).</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8" w:name="page19"/>
    <w:bookmarkEnd w:id="18"/>
    <w:p>
      <w:pPr>
        <w:jc w:val="both"/>
        <w:spacing w:after="0" w:line="262" w:lineRule="auto"/>
        <w:rPr>
          <w:sz w:val="20"/>
          <w:szCs w:val="20"/>
          <w:color w:val="auto"/>
        </w:rPr>
      </w:pPr>
      <w:r>
        <w:rPr>
          <w:rFonts w:ascii="Times New Roman" w:cs="Times New Roman" w:eastAsia="Times New Roman" w:hAnsi="Times New Roman"/>
          <w:sz w:val="18"/>
          <w:szCs w:val="18"/>
          <w:color w:val="auto"/>
        </w:rPr>
        <w:t>Our Board has determined that all members of the Audit Committee meet the independence standards established by the SEC and Nasdaq. Our Board has determined that Mr. Dentzer is qualified to serve as the “audit committee financial expert” as defined by Item 407(d)(5) of Regulation S-K and that Mr. Fritz and Ms. Pellizzari meet the financial literacy requirements under applicable Nasdaq rules.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Our Compensation Committee is responsible for establishing and administering the compensation policies applicable to our directors, officers, and key personnel, for determining the compensation arrangements to our President and Chief Executive Officer and for evaluating the performance of senior management. Our Compensation Committee operates under a written charter that is available on our web site, located at </w:t>
      </w:r>
      <w:r>
        <w:rPr>
          <w:rFonts w:ascii="Times New Roman" w:cs="Times New Roman" w:eastAsia="Times New Roman" w:hAnsi="Times New Roman"/>
          <w:sz w:val="18"/>
          <w:szCs w:val="18"/>
          <w:i w:val="1"/>
          <w:iCs w:val="1"/>
          <w:u w:val="single" w:color="auto"/>
          <w:color w:val="auto"/>
        </w:rPr>
        <w:t>www.imunon.com</w:t>
      </w:r>
      <w:r>
        <w:rPr>
          <w:rFonts w:ascii="Times New Roman" w:cs="Times New Roman" w:eastAsia="Times New Roman" w:hAnsi="Times New Roman"/>
          <w:sz w:val="18"/>
          <w:szCs w:val="18"/>
          <w:color w:val="auto"/>
        </w:rPr>
        <w:t>. Additional copies of the charter are available upon written request to us.</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Compensation Committee does not delegate the authority to approve compensation policies and actions affecting our Named Executive Officers or directors. Our Compensation Committee applies discretion in determining compensation for our executives. Our Compensation Committee has not established any equity or other security ownership requirements or guidelines in respect of our executive officers. Our Executive Chairman and our President and Chief Executive Officer assist the Compensation Committee in evaluating the performance of other executive officers and by providing information to directors as and when requested, such as salary surveys and compensation paid by our competitors, to the extent such information is publicly available. Members of our Compensation Committee undertake to verify such information prior to referring to it in determining executive compensation. The compensation of our President and Chief Executive Officer is determined by the Compensation Committee based on their evaluation of her performance and with reference to such external or competitive data as they consider necessary. The compensation of the other Named Executive Officers is determined by our Compensation Committee based on its evaluation of their individual performance and the recommendations of our Executive Chairman and our President and Chief Executive Officer.</w:t>
      </w:r>
    </w:p>
    <w:p>
      <w:pPr>
        <w:spacing w:after="0" w:line="19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Mr. Frederick J. Fritz (Chair), Dr. Donald P. Braun and Ms. Christine Pellizzari currently comprise our Compensation Committee. Our Board has determined that all members of our Compensation Committee are independent under the applicable Nasdaq rules.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Governance Committee</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Our Nominating and Governance Committee is responsible for identifying and recruiting new members of our Board of Directors when vacancies arise, identifying and recruiting nominees for election as directors, reconsideration of incumbent directors in connection with nominations for elections of directors and ensuring that our Board of Directors is properly constituted to meet its corporate governance obligations. Our Nominating and Governance Committee operates under a written charter that is available on our web site, located at </w:t>
      </w:r>
      <w:r>
        <w:rPr>
          <w:rFonts w:ascii="Times New Roman" w:cs="Times New Roman" w:eastAsia="Times New Roman" w:hAnsi="Times New Roman"/>
          <w:sz w:val="18"/>
          <w:szCs w:val="18"/>
          <w:i w:val="1"/>
          <w:iCs w:val="1"/>
          <w:u w:val="single" w:color="auto"/>
          <w:color w:val="auto"/>
        </w:rPr>
        <w:t>www.imunon.com</w:t>
      </w:r>
      <w:r>
        <w:rPr>
          <w:rFonts w:ascii="Times New Roman" w:cs="Times New Roman" w:eastAsia="Times New Roman" w:hAnsi="Times New Roman"/>
          <w:sz w:val="18"/>
          <w:szCs w:val="18"/>
          <w:color w:val="auto"/>
        </w:rPr>
        <w:t>. The current members of our Nominating and Governance Committee are Dr. Donald P. Braun and Mr. James A. Dentzer. Our Board has determined that Dr. Braun and Mr. Dentzer are deemed to be independent under applicable Nasdaq rules.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Science and Technology Committee</w:t>
      </w:r>
    </w:p>
    <w:p>
      <w:pPr>
        <w:spacing w:after="0" w:line="22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primary purpose of our Science and Technology Committee is to assist our Board of Directors in monitoring the state of science and technology capabilities within our Company and associated risks and overseeing the development of key technologies and major science and medicine-driven innovation initiatives essential to our long-term success. Our Science and Technology Committee’s responsibilities includes reviewing technologies and technology programs of significance to us, with special focus on major external initiatives, observing the evolution of science and medicine outside the Company, participating in the development of metrics to assess the state of our science and technology in subject areas including, but not limited to, patent estate, freedom to operate, productivity, capability and external benchmarks, providing guidance for our external science and technology alliances, and providing guidance on the direction of our science and technology activities, as appropriate. The current members of our Science and Technology Committee are Dr. Donald P. Braun (Chair) and Dr. Stacy R. Lindborg.</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Meetings of the Board And its Committees</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During the year ended December 31, 2024, there were a total of five regular meetings of our Board. All of our directors attended all of the meetings of our Board and the Board committees on which they served that were held during the period for which they were a director or committee member, respectively.</w:t>
      </w:r>
    </w:p>
    <w:p>
      <w:pPr>
        <w:spacing w:after="0" w:line="1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During the year ended December 31, 2024, our Audit Committee met four times, our Compensation Committee met one time, and our Nominating and Governance Committee met one time. Our Science and Technology Committee did not meet during 2024.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Nominations</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role of our Nominating and Governance Committee is to act on behalf of our Board of Directors to ensure that our Board of Directors and its standing committees are appropriately constituted to meet their fiduciary and corporate governance obligations. In this role, our Nominating and Governance Committee is responsible for identifying and recruiting new members of our Board of Directors when vacancies arise, identifying and recruiting nominees for election as directors and reconsidering incumbent directors in connection with nominations for elections of directors. Our Nominating and Governance Committee is also charged with:</w:t>
      </w:r>
    </w:p>
    <w:p>
      <w:pPr>
        <w:spacing w:after="0" w:line="186" w:lineRule="exact"/>
        <w:rPr>
          <w:sz w:val="20"/>
          <w:szCs w:val="20"/>
          <w:color w:val="auto"/>
        </w:rPr>
      </w:pPr>
    </w:p>
    <w:p>
      <w:pPr>
        <w:ind w:left="440" w:hanging="433"/>
        <w:spacing w:after="0"/>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changes in the size and composition of our Board of Directors and Board committees;</w:t>
      </w:r>
    </w:p>
    <w:p>
      <w:pPr>
        <w:spacing w:after="0" w:line="25" w:lineRule="exact"/>
        <w:rPr>
          <w:rFonts w:ascii="Times New Roman" w:cs="Times New Roman" w:eastAsia="Times New Roman" w:hAnsi="Times New Roman"/>
          <w:sz w:val="18"/>
          <w:szCs w:val="18"/>
          <w:color w:val="auto"/>
        </w:rPr>
      </w:pPr>
    </w:p>
    <w:p>
      <w:pPr>
        <w:ind w:left="440" w:hanging="433"/>
        <w:spacing w:after="0"/>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maintaining criteria and processes for selecting candidates for election as directors;</w:t>
      </w:r>
    </w:p>
    <w:p>
      <w:pPr>
        <w:spacing w:after="0" w:line="6" w:lineRule="exact"/>
        <w:rPr>
          <w:rFonts w:ascii="Times New Roman" w:cs="Times New Roman" w:eastAsia="Times New Roman" w:hAnsi="Times New Roman"/>
          <w:sz w:val="18"/>
          <w:szCs w:val="18"/>
          <w:color w:val="auto"/>
        </w:rPr>
      </w:pPr>
    </w:p>
    <w:p>
      <w:pPr>
        <w:ind w:left="440" w:hanging="433"/>
        <w:spacing w:after="0"/>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recruiting candidates to stand for election as directors and determining whether incumbent directors should stand for reelection;</w:t>
      </w:r>
    </w:p>
    <w:p>
      <w:pPr>
        <w:spacing w:after="0" w:line="6" w:lineRule="exact"/>
        <w:rPr>
          <w:rFonts w:ascii="Times New Roman" w:cs="Times New Roman" w:eastAsia="Times New Roman" w:hAnsi="Times New Roman"/>
          <w:sz w:val="18"/>
          <w:szCs w:val="18"/>
          <w:color w:val="auto"/>
        </w:rPr>
      </w:pPr>
    </w:p>
    <w:p>
      <w:pPr>
        <w:ind w:left="440" w:hanging="433"/>
        <w:spacing w:after="0"/>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that we and our Board of Directors operate in accordance with current best practices;</w:t>
      </w:r>
    </w:p>
    <w:p>
      <w:pPr>
        <w:spacing w:after="0" w:line="6" w:lineRule="exact"/>
        <w:rPr>
          <w:rFonts w:ascii="Times New Roman" w:cs="Times New Roman" w:eastAsia="Times New Roman" w:hAnsi="Times New Roman"/>
          <w:sz w:val="18"/>
          <w:szCs w:val="18"/>
          <w:color w:val="auto"/>
        </w:rPr>
      </w:pPr>
    </w:p>
    <w:p>
      <w:pPr>
        <w:ind w:left="440" w:hanging="433"/>
        <w:spacing w:after="0"/>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ongoing director training and education;</w:t>
      </w:r>
    </w:p>
    <w:p>
      <w:pPr>
        <w:spacing w:after="0" w:line="6" w:lineRule="exact"/>
        <w:rPr>
          <w:rFonts w:ascii="Times New Roman" w:cs="Times New Roman" w:eastAsia="Times New Roman" w:hAnsi="Times New Roman"/>
          <w:sz w:val="18"/>
          <w:szCs w:val="18"/>
          <w:color w:val="auto"/>
        </w:rPr>
      </w:pPr>
    </w:p>
    <w:p>
      <w:pPr>
        <w:ind w:left="440" w:hanging="433"/>
        <w:spacing w:after="0"/>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to our Board of Directors on Nominating and Governance Committee activities;</w:t>
      </w:r>
    </w:p>
    <w:p>
      <w:pPr>
        <w:spacing w:after="0" w:line="6" w:lineRule="exact"/>
        <w:rPr>
          <w:rFonts w:ascii="Times New Roman" w:cs="Times New Roman" w:eastAsia="Times New Roman" w:hAnsi="Times New Roman"/>
          <w:sz w:val="18"/>
          <w:szCs w:val="18"/>
          <w:color w:val="auto"/>
        </w:rPr>
      </w:pPr>
    </w:p>
    <w:p>
      <w:pPr>
        <w:ind w:left="440" w:hanging="433"/>
        <w:spacing w:after="0"/>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the Nominating and Governance Committee’s performance of its responsibilities and duties; and</w:t>
      </w:r>
    </w:p>
    <w:p>
      <w:pPr>
        <w:spacing w:after="0" w:line="6" w:lineRule="exact"/>
        <w:rPr>
          <w:rFonts w:ascii="Times New Roman" w:cs="Times New Roman" w:eastAsia="Times New Roman" w:hAnsi="Times New Roman"/>
          <w:sz w:val="18"/>
          <w:szCs w:val="18"/>
          <w:color w:val="auto"/>
        </w:rPr>
      </w:pPr>
    </w:p>
    <w:p>
      <w:pPr>
        <w:jc w:val="both"/>
        <w:ind w:left="440" w:hanging="433"/>
        <w:spacing w:after="0" w:line="251" w:lineRule="auto"/>
        <w:tabs>
          <w:tab w:leader="none" w:pos="51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the Nominating and Governance Committee Charter, the structure and the processes and membership requirements of the Nominating and Governance Committee and recommending to our Board of Directors any improvements or amendments that our Nominating and Governance Committee considers appropriate or necessary.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Qualifications</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It is a policy of our Nominating and Governance Committee that candidates for director be determined to have unquestionable integrity and the highest ethical character. Candidates must demonstrate the ability to exercise sound, mature and independent business judgment in the best interests of the stockholders as a whole and may not have any interests that would, in the view of our Nominating and Governance Committee, impair their ability to exercise independent judgment or otherwise discharge the fiduciary duties owed as a director. Candidates must have experience and demonstrated achievement in one or more fields of business, professional, governmental, communal, scientific or educational endeavors which will complement the talents of the other members of our Board of Directors and further our interests, bearing in mind the composition of our Board of Directors and the current state of the Company and the state of the biotechnical/biopharmaceutical industry generally. In particular, our Nominating and Governance Committee believes it is important for one or more members of our Board of Directors to have in-depth experience in the biotechnical/biopharmaceutical industry. Our Nominating and Governance Committee has determined that one or more of its members, including the incumbents nominated to stand for reelection at the Annual Meeting, should have such biotechnical/biopharmaceutical experience.</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Candidates are expected to have an appreciation of the major issues facing public companies of a size and operational scope similar to us, including contemporary governance concerns, regulatory obligations of a public issuer, strategic business planning, competition in a global economy, and basic concepts of corporate finance. Candidates must also have the willingness and capability to devote the time necessary to participate actively in meetings of our Board of Directors and Board Committee meetings and related activities, the ability to work professionally and effectively with other members of the Board of Directors and Company management, and the ability and intention to remain on our Board of Directors long enough to make an effective contribution. Among candidates who meet the foregoing criteria, our Nominating and Governance Committee also considers the Company’s current and anticipated needs, including expertise, diversity and balance of inside, outside and independent directors.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20" w:name="page21"/>
    <w:bookmarkEnd w:id="20"/>
    <w:p>
      <w:pPr>
        <w:jc w:val="both"/>
        <w:spacing w:after="0" w:line="251" w:lineRule="auto"/>
        <w:rPr>
          <w:sz w:val="20"/>
          <w:szCs w:val="20"/>
          <w:color w:val="auto"/>
        </w:rPr>
      </w:pPr>
      <w:r>
        <w:rPr>
          <w:rFonts w:ascii="Times New Roman" w:cs="Times New Roman" w:eastAsia="Times New Roman" w:hAnsi="Times New Roman"/>
          <w:sz w:val="18"/>
          <w:szCs w:val="18"/>
          <w:color w:val="auto"/>
        </w:rPr>
        <w:t>Our Nominating and Governance Committee, encouraging diversity, endeavors to comprise our Board of Directors of members with a broad mix of professional and personal backgrounds. Thus, our Nominating and Governance Committee accords some weight to the individual professional background and experience of each director. Further, in considering nominations, our Nominating and Governance Committee considers how a candidate’s professional background would fit into the mix of experiences represented by the then-current Board of Directors. When evaluating a nominee’s overall qualifications, our Nominating and Governance Committee does not assign specific weights to particular criteria, and no particular criterion is necessarily required of all prospective nominees. In addition to the aforementioned criteria, when evaluating a director for re-nomination to our Board of Directors, our Nominating and Governance Committee will also consider the director’s history of attendance at board and committee meetings, the director’s preparation for and participation in such meetings, and the director’s tenure as a member of our Board of Directors.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2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b w:val="1"/>
          <w:bCs w:val="1"/>
          <w:color w:val="auto"/>
        </w:rPr>
        <w:t>Board Diversity Matrix (As of May 13,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35667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6679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Number of Directors: 6</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Female</w:t>
            </w:r>
          </w:p>
        </w:tc>
        <w:tc>
          <w:tcPr>
            <w:tcW w:w="10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Male</w:t>
            </w:r>
          </w:p>
        </w:tc>
      </w:tr>
      <w:tr>
        <w:trPr>
          <w:trHeight w:val="207"/>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w:t>
            </w:r>
          </w:p>
        </w:tc>
        <w:tc>
          <w:tcPr>
            <w:tcW w:w="960" w:type="dxa"/>
            <w:vAlign w:val="bottom"/>
            <w:tcBorders>
              <w:top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Borders>
              <w:top w:val="single" w:sz="8" w:color="CCEEFF"/>
            </w:tcBorders>
            <w:shd w:val="clear" w:color="auto" w:fill="CCEEFF"/>
          </w:tcPr>
          <w:p>
            <w:pPr>
              <w:spacing w:after="0"/>
              <w:rPr>
                <w:sz w:val="17"/>
                <w:szCs w:val="17"/>
                <w:color w:val="auto"/>
              </w:rPr>
            </w:pPr>
          </w:p>
        </w:tc>
      </w:tr>
      <w:tr>
        <w:trPr>
          <w:trHeight w:val="213"/>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African American or Black</w:t>
            </w:r>
          </w:p>
        </w:tc>
        <w:tc>
          <w:tcPr>
            <w:tcW w:w="96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shd w:val="clear" w:color="auto" w:fill="CCEEFF"/>
          </w:tcPr>
          <w:p>
            <w:pPr>
              <w:spacing w:after="0"/>
              <w:rPr>
                <w:sz w:val="18"/>
                <w:szCs w:val="18"/>
                <w:color w:val="auto"/>
              </w:rPr>
            </w:pPr>
          </w:p>
        </w:tc>
      </w:tr>
      <w:tr>
        <w:trPr>
          <w:trHeight w:val="213"/>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96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18"/>
                <w:szCs w:val="18"/>
                <w:color w:val="auto"/>
              </w:rPr>
            </w:pPr>
          </w:p>
        </w:tc>
        <w:tc>
          <w:tcPr>
            <w:tcW w:w="96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18"/>
                <w:szCs w:val="18"/>
                <w:color w:val="auto"/>
              </w:rPr>
            </w:pPr>
          </w:p>
        </w:tc>
      </w:tr>
      <w:tr>
        <w:trPr>
          <w:trHeight w:val="213"/>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Asian</w:t>
            </w:r>
          </w:p>
        </w:tc>
        <w:tc>
          <w:tcPr>
            <w:tcW w:w="96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shd w:val="clear" w:color="auto" w:fill="CCEEFF"/>
          </w:tcPr>
          <w:p>
            <w:pPr>
              <w:spacing w:after="0"/>
              <w:rPr>
                <w:sz w:val="18"/>
                <w:szCs w:val="18"/>
                <w:color w:val="auto"/>
              </w:rPr>
            </w:pPr>
          </w:p>
        </w:tc>
      </w:tr>
      <w:tr>
        <w:trPr>
          <w:trHeight w:val="213"/>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Hispanic or Latinx</w:t>
            </w:r>
          </w:p>
        </w:tc>
        <w:tc>
          <w:tcPr>
            <w:tcW w:w="96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18"/>
                <w:szCs w:val="18"/>
                <w:color w:val="auto"/>
              </w:rPr>
            </w:pPr>
          </w:p>
        </w:tc>
        <w:tc>
          <w:tcPr>
            <w:tcW w:w="96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18"/>
                <w:szCs w:val="18"/>
                <w:color w:val="auto"/>
              </w:rPr>
            </w:pPr>
          </w:p>
        </w:tc>
      </w:tr>
      <w:tr>
        <w:trPr>
          <w:trHeight w:val="213"/>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96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shd w:val="clear" w:color="auto" w:fill="CCEEFF"/>
          </w:tcPr>
          <w:p>
            <w:pPr>
              <w:spacing w:after="0"/>
              <w:rPr>
                <w:sz w:val="18"/>
                <w:szCs w:val="18"/>
                <w:color w:val="auto"/>
              </w:rPr>
            </w:pPr>
          </w:p>
        </w:tc>
      </w:tr>
      <w:tr>
        <w:trPr>
          <w:trHeight w:val="213"/>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White</w:t>
            </w:r>
          </w:p>
        </w:tc>
        <w:tc>
          <w:tcPr>
            <w:tcW w:w="96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96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8"/>
                <w:szCs w:val="18"/>
                <w:color w:val="auto"/>
              </w:rPr>
            </w:pPr>
          </w:p>
        </w:tc>
      </w:tr>
      <w:tr>
        <w:trPr>
          <w:trHeight w:val="213"/>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96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shd w:val="clear" w:color="auto" w:fill="CCEEFF"/>
          </w:tcPr>
          <w:p>
            <w:pPr>
              <w:spacing w:after="0"/>
              <w:rPr>
                <w:sz w:val="18"/>
                <w:szCs w:val="1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LGBTQ+</w:t>
            </w:r>
          </w:p>
        </w:tc>
        <w:tc>
          <w:tcPr>
            <w:tcW w:w="1780" w:type="dxa"/>
            <w:vAlign w:val="bottom"/>
          </w:tcPr>
          <w:p>
            <w:pPr>
              <w:jc w:val="right"/>
              <w:ind w:right="911"/>
              <w:spacing w:after="0"/>
              <w:rPr>
                <w:sz w:val="20"/>
                <w:szCs w:val="20"/>
                <w:color w:val="auto"/>
              </w:rPr>
            </w:pPr>
            <w:r>
              <w:rPr>
                <w:rFonts w:ascii="Times New Roman" w:cs="Times New Roman" w:eastAsia="Times New Roman" w:hAnsi="Times New Roman"/>
                <w:sz w:val="18"/>
                <w:szCs w:val="18"/>
                <w:color w:val="auto"/>
              </w:rPr>
              <w:t>0</w:t>
            </w:r>
          </w:p>
        </w:tc>
      </w:tr>
      <w:tr>
        <w:trPr>
          <w:trHeight w:val="21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1780" w:type="dxa"/>
            <w:vAlign w:val="bottom"/>
            <w:shd w:val="clear" w:color="auto" w:fill="CCEEFF"/>
          </w:tcPr>
          <w:p>
            <w:pPr>
              <w:jc w:val="right"/>
              <w:ind w:right="911"/>
              <w:spacing w:after="0"/>
              <w:rPr>
                <w:sz w:val="20"/>
                <w:szCs w:val="20"/>
                <w:color w:val="auto"/>
              </w:rPr>
            </w:pPr>
            <w:r>
              <w:rPr>
                <w:rFonts w:ascii="Times New Roman" w:cs="Times New Roman" w:eastAsia="Times New Roman" w:hAnsi="Times New Roman"/>
                <w:sz w:val="18"/>
                <w:szCs w:val="18"/>
                <w:color w:val="auto"/>
              </w:rPr>
              <w:t>0</w:t>
            </w: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accordance with the rules of the SEC and Nasdaq, the Company requires that at least a majority of the directors serving at any time on the Board of Directors be independent, that at least three directors satisfy the financial literacy requirements for service on the Audit Committee and that at least one member of the Audit Committee qualify as an “audit committee financial expert” under those rules.</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Mr. Dentzer acts as the chairman of our Audit Committee. The Board has determined that Mr. James E. Dentzer is qualified to serve as the “audit committee financial expert” as defined by Item 407(d)(5) of Regulation S-K and that Mr. Fritz and Ms. Pellizzari meet the financial literacy requirements under applicable SEC and Nasdaq rules. The Board of Directors determined that of the six currently serving directors, four directors (Dr. Braun, Messrs. Dentzer and Fritz and Ms. Pellizzari) are independent under applicable SEC and Nasdaq rules.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Nominating and Governance Committee Process</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selecting candidates for our Board of Directors, the Nominating and Governance Committee begins by determining whether the incumbent directors whose terms expire at the annual meeting of stockholders desire and are qualified to continue their service on our Board of Directors. Under its charter, our Nominating and Governance Committee is charged with considering incumbent directors as if they were new candidates. However, our Nominating and Governance Committee recognizes the significant value of the continuing service of qualified incumbents in promoting stability and continuity, providing the benefit of the familiarity and insight into our affairs and enhancing our Board of Directors’ ability to work as a collective body. Therefore, it is the policy of our Nominating and Governance Committee, absent special circumstances, to nominate qualified incumbent directors who our Nominating and Governance Committee believes will continue to make important contributions to our Board of Directors and who consent to stand for re-election. If any member of our Board of Directors does not wish to continue in service or if our Nominating and Governance Committee or our Board of Directors decides not to re-nominate a member, there is an existing vacancy on our Board of Directors, or our Board of Directors, upon the recommendation of the Nominating and Governance Committee, elects to expand the size of our Board of Directors, the following process would be followed:</w:t>
      </w:r>
    </w:p>
    <w:p>
      <w:pPr>
        <w:spacing w:after="0" w:line="192" w:lineRule="exact"/>
        <w:rPr>
          <w:sz w:val="20"/>
          <w:szCs w:val="20"/>
          <w:color w:val="auto"/>
        </w:rPr>
      </w:pPr>
    </w:p>
    <w:p>
      <w:pPr>
        <w:ind w:left="320" w:hanging="313"/>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Nominating and Governance Committee develops a profile for candidates’ skills and experience, based on the criteria described above.</w:t>
      </w:r>
    </w:p>
    <w:p>
      <w:pPr>
        <w:spacing w:after="0" w:line="219" w:lineRule="exact"/>
        <w:rPr>
          <w:rFonts w:ascii="Times New Roman" w:cs="Times New Roman" w:eastAsia="Times New Roman" w:hAnsi="Times New Roman"/>
          <w:sz w:val="18"/>
          <w:szCs w:val="18"/>
          <w:color w:val="auto"/>
        </w:rPr>
      </w:pPr>
    </w:p>
    <w:p>
      <w:pPr>
        <w:ind w:left="320" w:right="20" w:hanging="313"/>
        <w:spacing w:after="0" w:line="277" w:lineRule="auto"/>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Nominating and Governance Committee initiates a search, polling members of the Board of Directors and management, and retaining a search firm if the Nominating and Governance Committee deems this appropriate.</w:t>
      </w:r>
    </w:p>
    <w:p>
      <w:pPr>
        <w:spacing w:after="0" w:line="162" w:lineRule="exact"/>
        <w:rPr>
          <w:rFonts w:ascii="Times New Roman" w:cs="Times New Roman" w:eastAsia="Times New Roman" w:hAnsi="Times New Roman"/>
          <w:sz w:val="18"/>
          <w:szCs w:val="18"/>
          <w:color w:val="auto"/>
        </w:rPr>
      </w:pPr>
    </w:p>
    <w:p>
      <w:pPr>
        <w:ind w:left="320" w:right="20" w:hanging="313"/>
        <w:spacing w:after="0" w:line="277" w:lineRule="auto"/>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Nominating and Governance Committee has a policy with respect to stockholders’ suggestions for nominees for directorships. Under this policy, stockholder nominees are given identical consideration as nominees identified by the Nominating and Governance Committee.</w:t>
      </w:r>
    </w:p>
    <w:p>
      <w:pPr>
        <w:spacing w:after="0" w:line="162"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process by which stockholders may submit potential nominees is described below under “Stockholder Recommendation Process.”</w:t>
      </w:r>
    </w:p>
    <w:p>
      <w:pPr>
        <w:spacing w:after="0" w:line="219"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Nominating and Governance Committee then determines the eligibility and suitability of any candidate based on the criteria described above and the Nominating and Governance Committee’s search profile.</w:t>
      </w:r>
    </w:p>
    <w:p>
      <w:pPr>
        <w:spacing w:after="0" w:line="162"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the Board of Directors and at least one member of the Nominating and Governance Committee interview prospective candidate(s) who satisfy the qualifications described above.</w:t>
      </w:r>
    </w:p>
    <w:p>
      <w:pPr>
        <w:spacing w:after="0" w:line="162"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Nominating and Governance Committee offers other members of the Board of Directors the opportunity to interview the candidate(s) and then meets to consider and approve the final candidate(s).</w:t>
      </w:r>
    </w:p>
    <w:p>
      <w:pPr>
        <w:spacing w:after="0" w:line="162"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Nominating and Governance Committee seeks endorsement of the final candidate(s) from the full Board of Directors.</w:t>
      </w:r>
    </w:p>
    <w:p>
      <w:pPr>
        <w:spacing w:after="0" w:line="2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candidate(s) are nominated by the Board of Directors for submission to a stockholder vote or elected to fill a vacancy.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Recommendation Process</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Nominating and Governance Committee will consider for nomination any qualified director candidates recommended by our stockholders. Any stockholder who wishes to recommend a director candidate is directed to submit in writing the candidate’s name, biographical information and relevant qualifications to our Corporate Secretary at our principal executive offices. All written submissions received from our stockholders will be reviewed by the Nominating and Governance Committee at the next appropriate meeting. The Nominating and Governance Committee will evaluate any suggested director candidates received from our stockholders in the same manner as recommendations received from management, committee members or members of our board. The Company or the Nominating and Governance Committee may require a stockholder who proposes a nominee to furnish such other information as may reasonably be required by the Company to determine the eligibility or suitability of the proposed nominee to serve as director of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Revisions to Nomination Process</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Nominating and Governance Committee and stockholder recommendation processes have been developed to provide a flexible framework to permit the director nomination process to move forward effectively. Our Nominating and Governance Committee intends to review these processes from time to time in light of our evolving needs and changing circumstances, as well as changes in legal requirements and stock exchange listing standards. The Nominating and Governance Committee may revise these processes or adopt new ones based on such periodic reviews.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Stockholder Communications</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Board of Directors has adopted a process through which interested stockholders may communicate with our Board of Directors. Stockholders who wish to send communications to our Board of Directors, or any particular director, should address such communications to the Corporate Secretary, at the Company’s headquarters at 997 Lenox Drive, Suite 100, Lawrenceville, New Jersey, 08648. The envelope containing any such communication should be prominently marked “To the Attention of the Board of Directors” or to a particular committee or director, and the communication should include a representation from the stockholder indicating the stockholder’s address and the number of shares of our common stock beneficially owned by the stockholder.</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Corporate Secretary is primarily responsible for monitoring communications from stockholders. Depending upon the content of a particular communication, as he deems appropriate, our Corporate Secretary will: (i) forward the communication to the director, directors or committee to whom it is addressed; (ii) attempt to handle the inquiry directly, for example where the stockholder communication consists of a request for information about the Company or is a stock-related matter; or (iii) not forward communications such as solicitations, junk mail and obviously frivolous or inappropriate communications. At each meeting of our Board of Directors, the Corporate Secretary will present a summary of all communications, whether or not forwarded, received since the last meeting and will make those communications available to the directors on request.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Attendance</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Board of Directors strongly encourages, but does not require, all directors, to the extent reasonable and practicable, to attend the Company’s Annual Meetings of Stockholders in person. All of the current members of our Board of Directors were present at the Company’s 2024 Annual Meeting of Stockholders held on June 12, 2024.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management is primarily responsible for our internal control and financial reporting process. Our independent registered public accounting firm, WithumSmith+Brown, PC, is responsible for performing an independent audit of our consolidated financial statements and issuing opinions on the conformity of those audited financial statements with U.S. GAAP and the effectiveness of our internal control over financial reporting. Our Audit Committee monitors our financial reporting process and reports to the Board on its findings.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context, the Audit Committee hereby reports as follows:</w:t>
      </w:r>
    </w:p>
    <w:p>
      <w:pPr>
        <w:spacing w:after="0" w:line="220" w:lineRule="exact"/>
        <w:rPr>
          <w:sz w:val="20"/>
          <w:szCs w:val="20"/>
          <w:color w:val="auto"/>
        </w:rPr>
      </w:pPr>
    </w:p>
    <w:p>
      <w:pPr>
        <w:ind w:left="180" w:hanging="173"/>
        <w:spacing w:after="0"/>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has reviewed and discussed the audited financial statements with our management.</w:t>
      </w:r>
    </w:p>
    <w:p>
      <w:pPr>
        <w:spacing w:after="0" w:line="219" w:lineRule="exact"/>
        <w:rPr>
          <w:rFonts w:ascii="Times New Roman" w:cs="Times New Roman" w:eastAsia="Times New Roman" w:hAnsi="Times New Roman"/>
          <w:sz w:val="18"/>
          <w:szCs w:val="18"/>
          <w:color w:val="auto"/>
        </w:rPr>
      </w:pPr>
    </w:p>
    <w:p>
      <w:pPr>
        <w:ind w:firstLine="7"/>
        <w:spacing w:after="0" w:line="277" w:lineRule="auto"/>
        <w:tabs>
          <w:tab w:leader="none" w:pos="1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has discussed with our independent registered public accounting firm the matters required to be discussed under the rules adopted by the Public Company Accounting Oversight Board (“PCAOB”) and the SEC.</w:t>
      </w:r>
    </w:p>
    <w:p>
      <w:pPr>
        <w:spacing w:after="0" w:line="162" w:lineRule="exact"/>
        <w:rPr>
          <w:rFonts w:ascii="Times New Roman" w:cs="Times New Roman" w:eastAsia="Times New Roman" w:hAnsi="Times New Roman"/>
          <w:sz w:val="18"/>
          <w:szCs w:val="18"/>
          <w:color w:val="auto"/>
        </w:rPr>
      </w:pPr>
    </w:p>
    <w:p>
      <w:pPr>
        <w:jc w:val="both"/>
        <w:ind w:firstLine="7"/>
        <w:spacing w:after="0" w:line="262" w:lineRule="auto"/>
        <w:tabs>
          <w:tab w:leader="none" w:pos="17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has received from the independent registered public accounting firm the written disclosures and the letter required by the applicable requirements of the PCAOB regarding the independent registered public accounting firm’s communications with the Audit Committee concerning independence and has discussed with the independent registered public accounting firm its independence.</w:t>
      </w:r>
    </w:p>
    <w:p>
      <w:pPr>
        <w:spacing w:after="0" w:line="176" w:lineRule="exact"/>
        <w:rPr>
          <w:rFonts w:ascii="Times New Roman" w:cs="Times New Roman" w:eastAsia="Times New Roman" w:hAnsi="Times New Roman"/>
          <w:sz w:val="18"/>
          <w:szCs w:val="18"/>
          <w:color w:val="auto"/>
        </w:rPr>
      </w:pPr>
    </w:p>
    <w:p>
      <w:pPr>
        <w:ind w:firstLine="7"/>
        <w:spacing w:after="0" w:line="277" w:lineRule="auto"/>
        <w:tabs>
          <w:tab w:leader="none" w:pos="19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review and discussions referred to in paragraphs (1) through (3) above, our Audit Committee recommended to the Board that the audited financial statements be included in the Company’s Annual Report on Form 10-K for the fiscal year ended December 31, 2024, for filing with the SEC.</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Members of the Audit Committee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James E. Dentzer (Chairman)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Frederick J. Fritz</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Christine A. Pellizzari</w:t>
      </w:r>
    </w:p>
    <w:p>
      <w:pPr>
        <w:spacing w:after="0" w:line="20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This report does not constitute “soliciting material” and shall not be deemed filed or incorporated by reference into any filing under the Securities Act of 1933 or under the Securities Exchange Act of 1934, except to the extent we specifically incorporate this report by reference and shall not otherwise be deemed filed under such Acts.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Executive Officers</w:t>
      </w:r>
    </w:p>
    <w:p>
      <w:pPr>
        <w:spacing w:after="0" w:line="22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This section discusses the material components of the executive compensation program for our executive officers who are named in the “2024 Summary Compensation Table” below. In 2024, our “named executive officers” and their positions were as follows:</w:t>
      </w:r>
    </w:p>
    <w:p>
      <w:pPr>
        <w:spacing w:after="0" w:line="163" w:lineRule="exact"/>
        <w:rPr>
          <w:sz w:val="20"/>
          <w:szCs w:val="20"/>
          <w:color w:val="auto"/>
        </w:rPr>
      </w:pPr>
    </w:p>
    <w:p>
      <w:pPr>
        <w:ind w:left="640" w:hanging="313"/>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Stacy Lindborg, our President and Chief Executive Officer;</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Tardugno, our Executive Chairman and former President and Chief Executive Officer;</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Corinne Le Goff, our former President and Chief Executive Officer;</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Khursheed Anwer, our Executive Vice President and Chief Scientific Officer;</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Gaiero, our Chief Financial Officer; and</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Jeffrey Church, our former Executive Vice President, Chief Financial Officer and Corporate Secretary.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Summary Compensation Table</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following table sets forth information regarding the total compensation for services rendered in all capacities during the years ended December 31, 2024 and 2023, awarded to, paid to, or earned by each “Named Executive Officer.”. All compensation awarded to, earned by, or paid to IMUNON’s Named Executive Officers is included in the table below for the years ended December 31, 2024 and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Non-Equity</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40" w:type="dxa"/>
            <w:vAlign w:val="bottom"/>
          </w:tcPr>
          <w:p>
            <w:pPr>
              <w:spacing w:after="0"/>
              <w:rPr>
                <w:sz w:val="18"/>
                <w:szCs w:val="18"/>
                <w:color w:val="auto"/>
              </w:rPr>
            </w:pPr>
          </w:p>
        </w:tc>
        <w:tc>
          <w:tcPr>
            <w:tcW w:w="10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Incentive Plan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40" w:type="dxa"/>
            <w:vAlign w:val="bottom"/>
          </w:tcPr>
          <w:p>
            <w:pPr>
              <w:spacing w:after="0"/>
              <w:rPr>
                <w:sz w:val="18"/>
                <w:szCs w:val="18"/>
                <w:color w:val="auto"/>
              </w:rPr>
            </w:pPr>
          </w:p>
        </w:tc>
        <w:tc>
          <w:tcPr>
            <w:tcW w:w="10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38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200" w:type="dxa"/>
            <w:vAlign w:val="bottom"/>
          </w:tcPr>
          <w:p>
            <w:pPr>
              <w:spacing w:after="0"/>
              <w:rPr>
                <w:sz w:val="20"/>
                <w:szCs w:val="20"/>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5"/>
              </w:rPr>
              <w:t>Salary</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Bonus</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(2)</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w:t>
            </w:r>
          </w:p>
        </w:tc>
      </w:tr>
      <w:tr>
        <w:trPr>
          <w:trHeight w:val="207"/>
        </w:trPr>
        <w:tc>
          <w:tcPr>
            <w:tcW w:w="25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Stacy Lindborg (5)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4"/>
              </w:rPr>
              <w:t>$ 341,954</w:t>
            </w:r>
          </w:p>
        </w:tc>
        <w:tc>
          <w:tcPr>
            <w:tcW w:w="58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26,500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9"/>
              </w:rPr>
              <w:t>335,641</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283,500</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201,745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1,189,339</w:t>
            </w:r>
          </w:p>
        </w:tc>
      </w:tr>
      <w:tr>
        <w:trPr>
          <w:trHeight w:val="213"/>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&amp; CEO</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Michael Tardugno (6)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4"/>
              </w:rPr>
              <w:t>$ 336,639</w:t>
            </w:r>
          </w:p>
        </w:tc>
        <w:tc>
          <w:tcPr>
            <w:tcW w:w="58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9"/>
              </w:rPr>
              <w:t>213,072</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175,000</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10,099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734,810</w:t>
            </w:r>
          </w:p>
        </w:tc>
      </w:tr>
      <w:tr>
        <w:trPr>
          <w:trHeight w:val="195"/>
        </w:trPr>
        <w:tc>
          <w:tcPr>
            <w:tcW w:w="25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Executive Chairman &amp; former</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2"/>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interim CEO</w:t>
            </w: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3"/>
        </w:trPr>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Corinne Le Goff (7)</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4"/>
              </w:rPr>
              <w:t>$ 148,869</w:t>
            </w:r>
          </w:p>
        </w:tc>
        <w:tc>
          <w:tcPr>
            <w:tcW w:w="58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148,869</w:t>
            </w:r>
          </w:p>
        </w:tc>
      </w:tr>
      <w:tr>
        <w:trPr>
          <w:trHeight w:val="213"/>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Former President and CEO</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4"/>
              </w:rPr>
              <w:t>$ 658,080</w:t>
            </w:r>
          </w:p>
        </w:tc>
        <w:tc>
          <w:tcPr>
            <w:tcW w:w="58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9"/>
              </w:rPr>
              <w:t>107,775</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274,959</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1,055,814</w:t>
            </w:r>
          </w:p>
        </w:tc>
      </w:tr>
      <w:tr>
        <w:trPr>
          <w:trHeight w:val="213"/>
        </w:trPr>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Khursheed Anwer (8)</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4"/>
              </w:rPr>
              <w:t>$ 385,610</w:t>
            </w:r>
          </w:p>
        </w:tc>
        <w:tc>
          <w:tcPr>
            <w:tcW w:w="58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87.678</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119,267</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149,125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741,680</w:t>
            </w:r>
          </w:p>
        </w:tc>
      </w:tr>
      <w:tr>
        <w:trPr>
          <w:trHeight w:val="213"/>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VP &amp; CSO</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4"/>
              </w:rPr>
              <w:t>$ 412,760</w:t>
            </w:r>
          </w:p>
        </w:tc>
        <w:tc>
          <w:tcPr>
            <w:tcW w:w="58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47,900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125,281</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94,218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680,159</w:t>
            </w:r>
          </w:p>
        </w:tc>
      </w:tr>
      <w:tr>
        <w:trPr>
          <w:trHeight w:val="213"/>
        </w:trPr>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David Gaiero (9)</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4"/>
              </w:rPr>
              <w:t>$ 280,000</w:t>
            </w:r>
          </w:p>
        </w:tc>
        <w:tc>
          <w:tcPr>
            <w:tcW w:w="58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280,000</w:t>
            </w:r>
          </w:p>
        </w:tc>
      </w:tr>
      <w:tr>
        <w:trPr>
          <w:trHeight w:val="213"/>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CFO</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Jeffrey Church (10)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4"/>
              </w:rPr>
              <w:t>$ 251,337</w:t>
            </w:r>
          </w:p>
        </w:tc>
        <w:tc>
          <w:tcPr>
            <w:tcW w:w="58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9,816</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48,219</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498,615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807,987</w:t>
            </w:r>
          </w:p>
        </w:tc>
      </w:tr>
      <w:tr>
        <w:trPr>
          <w:trHeight w:val="213"/>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Former Executive VP &amp; CFO</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4"/>
              </w:rPr>
              <w:t>$ 441,296</w:t>
            </w:r>
          </w:p>
        </w:tc>
        <w:tc>
          <w:tcPr>
            <w:tcW w:w="58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47,900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115,726</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679,922</w:t>
            </w:r>
          </w:p>
        </w:tc>
      </w:tr>
    </w:tbl>
    <w:p>
      <w:pPr>
        <w:spacing w:after="0" w:line="195" w:lineRule="exact"/>
        <w:rPr>
          <w:sz w:val="20"/>
          <w:szCs w:val="20"/>
          <w:color w:val="auto"/>
        </w:rPr>
      </w:pPr>
    </w:p>
    <w:p>
      <w:pPr>
        <w:ind w:left="320" w:hanging="313"/>
        <w:spacing w:after="0" w:line="277" w:lineRule="auto"/>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reported for restricted stock awards is the aggregate grant date fair value of restricted stock granted to the Named Executive Officer in the year shown, determined in accordance with FASB ASC Topic 718.</w:t>
      </w:r>
    </w:p>
    <w:p>
      <w:pPr>
        <w:spacing w:after="0" w:line="162" w:lineRule="exact"/>
        <w:rPr>
          <w:rFonts w:ascii="Times New Roman" w:cs="Times New Roman" w:eastAsia="Times New Roman" w:hAnsi="Times New Roman"/>
          <w:sz w:val="18"/>
          <w:szCs w:val="18"/>
          <w:color w:val="auto"/>
        </w:rPr>
      </w:pPr>
    </w:p>
    <w:p>
      <w:pPr>
        <w:jc w:val="both"/>
        <w:ind w:left="320" w:hanging="313"/>
        <w:spacing w:after="0" w:line="254" w:lineRule="auto"/>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reported for option awards is the aggregate grant date fair value of stock options granted to the Named Executive Officers in the years shown, determined in accordance with FASB ASC Topic 718, disregarding adjustments for forfeiture assumptions. The assumptions for making the valuation determinations are set forth in Note 11 and Note 12 to the Company’s financial statements for the years ended December 31, 2024 and December 31, 2023, respectively, included in the Company’s Annual Reports on Form 10-K for each of those years. With respect to Dr. Lindborg, the column includes the annual grant of options to Dr. Lindborg as part of the non-employee director compensation program.</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25" w:name="page26"/>
    <w:bookmarkEnd w:id="25"/>
    <w:p>
      <w:pPr>
        <w:jc w:val="both"/>
        <w:ind w:left="320" w:hanging="313"/>
        <w:spacing w:after="0" w:line="257" w:lineRule="auto"/>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bonuses under our annual incentive program are based on the achievement of specific performance measures established at the beginning of the fiscal year by our Compensation Committee. Historically, our Compensation Committee has awarded the annual incentive bonus for each year in the first quarter of the following year. In the first quarter of 2025, our Compensation Committee approved the amount and the payment of the incentive bonus for 2024 for each of the Named Executive Officers in the form of Non-Equity (Cash) Incentive Plan Compensation.</w:t>
      </w:r>
    </w:p>
    <w:p>
      <w:pPr>
        <w:spacing w:after="0" w:line="180" w:lineRule="exact"/>
        <w:rPr>
          <w:rFonts w:ascii="Times New Roman" w:cs="Times New Roman" w:eastAsia="Times New Roman" w:hAnsi="Times New Roman"/>
          <w:sz w:val="18"/>
          <w:szCs w:val="18"/>
          <w:color w:val="auto"/>
        </w:rPr>
      </w:pPr>
    </w:p>
    <w:p>
      <w:pPr>
        <w:jc w:val="both"/>
        <w:ind w:left="320" w:hanging="313"/>
        <w:spacing w:after="0" w:line="262" w:lineRule="auto"/>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includes other compensation as indicated below and matching and discretionary contributions made by the Company for the Named Executive Officers under our 401(k) plan. Our matching contribution is equal to 50% of the employee’s deferrals under the plan up to 6% of the employee’s compensation, subject to applicable IRS limitations, and are made in shares of our common stock.</w:t>
      </w:r>
    </w:p>
    <w:p>
      <w:pPr>
        <w:spacing w:after="0" w:line="176" w:lineRule="exact"/>
        <w:rPr>
          <w:rFonts w:ascii="Times New Roman" w:cs="Times New Roman" w:eastAsia="Times New Roman" w:hAnsi="Times New Roman"/>
          <w:sz w:val="18"/>
          <w:szCs w:val="18"/>
          <w:color w:val="auto"/>
        </w:rPr>
      </w:pPr>
    </w:p>
    <w:p>
      <w:pPr>
        <w:jc w:val="both"/>
        <w:ind w:left="320" w:hanging="313"/>
        <w:spacing w:after="0" w:line="254" w:lineRule="auto"/>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Lindborg, a director since 2021, joined the Company as President and Chief Executive Officer, effective as of May 13, 2024. Dr. Lindborg became a Named Executive Officer for the first time in 2024. For Dr. Lindborg, the amount in the “Salary” column reflects $14,838 that Dr. Lindborg received as her cash retainer for her service as a non-employee director prior to becoming the Company’s President and CEO in May 2024, as well as the base salary amount received by Dr. Lindborg during fiscal year 2024, which was pro-rated for the time served in her employee positions during fiscal year 2024. For Dr. Lindborg “All Other Compensation” for 2024 consists of a 401(k)-plan matching contribution of $1,745 in our common stock.</w:t>
      </w:r>
    </w:p>
    <w:p>
      <w:pPr>
        <w:spacing w:after="0" w:line="185"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Tardugno, the Company’s Executive Chairman, served as the Company’s interim Chief Executive Officer from March 15, 2024 until May 13, 2024. For Mr. Tardugno, “All Other Compensation” for 2024 consists of a 401(k)-plan matching contribution of $10,099 in our common stock.</w:t>
      </w:r>
    </w:p>
    <w:p>
      <w:pPr>
        <w:spacing w:after="0" w:line="162" w:lineRule="exact"/>
        <w:rPr>
          <w:rFonts w:ascii="Times New Roman" w:cs="Times New Roman" w:eastAsia="Times New Roman" w:hAnsi="Times New Roman"/>
          <w:sz w:val="18"/>
          <w:szCs w:val="18"/>
          <w:color w:val="auto"/>
        </w:rPr>
      </w:pPr>
    </w:p>
    <w:p>
      <w:pPr>
        <w:jc w:val="both"/>
        <w:ind w:left="320" w:hanging="313"/>
        <w:spacing w:after="0" w:line="262" w:lineRule="auto"/>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Le Goff joined the Company as President and Chief Executive Officer and as a director, effective as of July 18, 2022, and stepped down from these positions, effective March 15, 2024. For Dr. Le Goff, the amount in the “Salary” column reflects the base salary amount received by Dr. Le Goff during fiscal year 2024, which was pro-rated for the time served in her employee positions during fiscal year 2024.</w:t>
      </w:r>
    </w:p>
    <w:p>
      <w:pPr>
        <w:spacing w:after="0" w:line="176"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Dr. Anwer, “All Other Compensation” for 2024 consists of $133,000 for a retention bonus paid in July 2024, $5,775 for discretionary spending allowance and a 401(k)-plan matching contribution of $10,350 in our common stock.</w:t>
      </w:r>
    </w:p>
    <w:p>
      <w:pPr>
        <w:spacing w:after="0" w:line="162"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Gaiero joined the Company as Chief Financial Officer, effective as of June 1, 2024. For Mr. Gaiero, the amount in the “Salary” column reflects the pro-rated amount received by Monomoy Advisors, LLC for the time served by Mr. Gaiero in his position of CFO during fiscal year 2024.</w:t>
      </w:r>
    </w:p>
    <w:p>
      <w:pPr>
        <w:spacing w:after="0" w:line="162" w:lineRule="exact"/>
        <w:rPr>
          <w:rFonts w:ascii="Times New Roman" w:cs="Times New Roman" w:eastAsia="Times New Roman" w:hAnsi="Times New Roman"/>
          <w:sz w:val="18"/>
          <w:szCs w:val="18"/>
          <w:color w:val="auto"/>
        </w:rPr>
      </w:pPr>
    </w:p>
    <w:p>
      <w:pPr>
        <w:jc w:val="both"/>
        <w:ind w:left="320" w:hanging="313"/>
        <w:spacing w:after="0" w:line="257" w:lineRule="auto"/>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Church retired from the positions of Executive Vice President and Chief Financial Officer, effective as of June 1, 2024. For Mr. Church, the amount in the “Salary” column reflects the base salary amount received by Mr. Church during fiscal year 2024, which was pro-rated for the time served in his employee positions during fiscal year 2024. For Mr. Church “All Other Compensation” for 2024 consists of $428,615 in severance paid, in connection with his retirement, and $70,000 for consulting services he provided in 2024 post-retirement.</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70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NARRATIVE DISCLOSURE TO 2024 SUMMARY COMPENSATION TABLE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Arrangements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with Stacy R. Lindborg, Ph.D.</w:t>
      </w:r>
    </w:p>
    <w:p>
      <w:pPr>
        <w:spacing w:after="0" w:line="224"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The Company and Dr. Lindborg entered into an employment agreement effective as of May 31, 2024, in connection with her appointment as President and Chief Executive Officer. Pursuant to the Employment Agreement, the Company agreed to pay Dr. Lindborg an initial salary of $567,000 and a targeted annual performance bonus of 100% of her annual base salary (pro-rated for the year ended December 31, 2024). Dr. Lindborg also received (i) an option to purchase 112,500 shares of the Company’s common stock and (ii) an additional option to purchase 112,500 shares of the Company’s common stock following the Company’s 2024 annual meeting of stockholders. Both stock options will vest in equal fourths over four years, with the first 28,125 options vesting on the first anniversary of the date of grant and the remaining three-fourths vesting in equal parts on subsequent anniversaries of the grant date. Dr. Lindborg is eligible to receive a sign-on bonus from the Company of $200,000, subject to certain conditions. Dr. Lindborg’s initial term of employment pursuant to the Employment Agreement is one year, to be extended automatically by an additional year at the end of such term and each subsequent one-year term absent three months’ prior written notice by Dr. Lindborg or the Company. Following the effective date of her employment with the Company, Dr. Lindborg did not receive any additional compensation for her service on the Board. Dr. Lindborg’s employment agreement provides that, upon a termination of Dr. Lindborg’s employment by the Company without “cause” or by Dr. Lindborg for “good reason,” as each such term is defined in her employment agreement: (x) outside the Change in Control Protection Period (as defined in the employment agreement), (i) Dr. Lindborg will be entitled to receive an amount equal to 12 months of her then-current base salary, payable in equal monthly installments during the 12-month period following such termination and reimbursement of her COBRA premiums for up to 12 months, and (ii) all of her options and similar awards would generally remain exercisable for the remainder of the original term of the award, and (y) during the Change in Control Protection Period</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(i) Dr. Lindborg will be entitled to receive an amount equal to 24 months of her then-current base salary, payable in equal monthly installments during the 12-month period following such termination and reimbursement of her COBRA premiums for up to 12 months, (ii) full acceleration of then-unvested portions of the options awarded to Dr. Lindborg in connection with her appointment as CEO and (iii) all of her options and similar awards would generally remain exercisable for the remainder of the original term of the award.</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with Corinne Le Goff</w:t>
      </w:r>
    </w:p>
    <w:p>
      <w:pPr>
        <w:spacing w:after="0" w:line="224"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The Company and Dr. Le Goff entered into an employment agreement, effective as of July 18, 2022, in connection with her appointment as President and Chief Executive Officer. Pursuant to the employment agreement, the Company agreed to pay Dr. Le Goff an initial salary of $624,000 and a signing bonus of $50,000. Dr. Le Goff’s targeted annual performance bonus was 72% of her annual base salary (pro-rated for the year ended December 31, 2022). Dr. Le Goff also received (i) an option to purchase 177,000 shares of the Company’s common stock that vested with respect to 25% of the subject shares on July 18, 2023 and the remaining 75% percent to vest in equal quarterly installments thereafter such that the stock option would be fully vested and exercisable as of the fourth anniversary of July 18, 2022, and (ii) a restricted stock award of 53,000 restricted shares that vested on July 18, 2023. Dr. Le Goff did not receive any additional compensation for her service on the Board. The agreement had no set term of employment and provided that in the event of termination by the Company other than for cause, Dr. Le Goff would receive an amount equal to one year’s salary as a severance payment. Effective March 15, 2024, Dr. Le Goff resigned from her positions as President, Chief Executive Officer and Director of the Company.</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with Michael H. Tardugno</w:t>
      </w:r>
    </w:p>
    <w:p>
      <w:pPr>
        <w:spacing w:after="0" w:line="224"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Effective July 18, 2022, Mr. Tardugno transitioned from his roles as Chairman, President and Chief Executive Officer to the position of Executive Chairman of the Board. Mr. Tardugno and the Company entered into an employment agreement, effective as of July 18, 2022, that superseded the previous employment agreement with Mr. Tardugno. The agreement has a term ending on December 31, 2024, with the option for a one-year extension that was exercised. Under the agreement, the Company agreed to pay Mr. Tardugno a base salary of $500,000 (prorated to $240,000) for 2022 and a base salary of $350,000 for 2023 and 2024, and to reimburse him for all reasonable business expenses. Mr. Tardugno remains eligible for annual performance bonuses and equity awards and may participate in all compensation and benefit programs generally made available to other senior executives. In the event of termination by the Company other than for cause, Mr. Tardugno will receive an amount equal to one year’s salary as a severance payment.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704" w:right="339" w:bottom="1440" w:gutter="0" w:footer="0" w:header="0"/>
        </w:sectPr>
      </w:pPr>
    </w:p>
    <w:bookmarkStart w:id="27" w:name="page28"/>
    <w:bookmarkEnd w:id="27"/>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Consulting Agreement with Monomoy Advisors, LLC</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Company and Monomoy Advisors, LLC (“Monomoy”), a financial advisory services firm, entered into a professional consulting agreement, effective as of June 1, 2024, in connection with the appointment of David Gaiero as the Company’s Chief Financial Officer. Mr. Pursuant to the Agreement, the Company agreed to pay Monomoy $35,000 per month for Mr. Gaiero’s service as the Company’s Chief Financial Officer.</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Retirement and Consulting Agreement with Jeffrey Church</w:t>
      </w:r>
    </w:p>
    <w:p>
      <w:pPr>
        <w:spacing w:after="0" w:line="224"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Effective June 1, 2024, Mr. Church retired from his roles as Executive Vice President, Chief Financial Officer and Corporate Secretary. On May 17, 2024, the Company and Mr. Church entered into a retirement and consulting agreement (the “Retirement and Consulting Agreement”) that superseded the previous employment agreement with Mr. Church, pursuant to which he agreed to provide the Company consulting services for a term ending on December 31, 2024, with an option for an agreed upon extension (the “Consulting Period”). During the Consulting Period, the Company agreed to pay Mr. Church a monthly retainer of $10,000, plus an additional $250 for each hour of services performed in excess of 40 hours per month. In addition, pursuant to the Retirement and Consulting Agreement, Mr. Church received (i) within 30 days following his Retirement Date, any accrued but unpaid salary and any unreimbursed business expenses incurred prior to his Retirement Date and (ii) a retirement bonus in the amount of $428,615. Mr. Church also remained eligible to receive a pro-rated bonus for 2024.</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Employment Offer Letter with Khursheed Anwer</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Company and Dr. Anwer entered into an employment offer letter effective as of June 20, 2014. Dr. Anwer’s employment with us is “at-will”; however, subject to the retention and severance agreement between the Company and Dr. Anwer dated as of May 28, 2014, if we terminate Dr. Anwer’s employment without cause (as such term is defined in the retention and severance agreement), he will be entitled to receive cash severance equal to 12 months of his base salary and reimbursement of his COBRA premiums for up to 12 months. Dr. Anwer’s right to receive these severance benefits is subject to his providing a release of claims in favor of the Company.</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CIC Agreement</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We have entered into an amended and restated double-trigger change in control severance agreement (CIC Agreement) with Mr. Tardugno to provide severance benefits to him should his employment terminate in certain circumstances in connection with a change in control of the Company (a “CIC”).</w:t>
      </w:r>
    </w:p>
    <w:p>
      <w:pPr>
        <w:spacing w:after="0" w:line="176"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Under the amended and restated CIC Agreement, in the event that, on or within two years after a CIC, we terminate the executive’s employment without cause or in the event that the executive terminates his employment for good reason, the executive would be entitled to receive a cash lump sum payment equal to two (2) times the sum of (1) the executive’s annual base salary and (2) the executive’s target annual bonus for the fiscal year in which the termination occurs. (For these purposes, the terms “cause,” “good reason” and “change in control” are each defined in the CIC Agreement.) In addition, we will pay or reimburse the executive for the cost of COBRA premiums and life insurance coverage for the executive and his eligible dependents, in each case for a period of up to two years following the termination. The executive would also be entitled to full acceleration of his then-outstanding equity awards granted to him by us. However, as to any equity award agreement that is subject to performance-based vesting requirements, the vesting of such an award will continue to be governed by its terms. In the case of options or similar awards, the award would generally remain exercisable for the remainder of the original term of the award (or, in the case of awards that vested after the date of the CIC, for the lesser of 12 months following the last day such award would have been exercisable under the applicable award agreement and the remainder of the original term). The benefits provided under the CIC Agreement are in addition to, and not in lieu of, any severance benefits the executive may be entitled to receive in connection with the termination of his employment under any other agreement with the Company. The executive’s right to benefits under the CIC Agreement is subject to his execution of a release of claims in favor of the Company upon the termination of his employment. The CIC Agreements do not provide for any tax gross-ups.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Material Terms of Equity Grants During 2024</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Each of the equity awards granted to the Named Executive Officers in 2024 was granted under, and is subject to, the terms of the IMUNON, INC. 2018 Stock Incentive Plan (the “2018 Plan”). The 2018 Plan is administered by the Compensation Committee, which has authority to interpret the plan provisions and make all required determinations under the plan. This authority includes making required proportionate adjustments to outstanding awards upon the occurrence of certain corporate events such as reorganizations, mergers, and stock splits, and making provision to ensure that any tax withholding obligations incurred in respect of awards are satisfied. Awards granted under the plan are generally only transferable to a beneficiary of a Named Executive Officer upon his death. Under the terms of the 2018 Plan, if there is a change in control of the Company, each Named Executive Officer’s outstanding awards granted under the plan will generally terminate, unless the Compensation Committee provides for the substitution, assumption, exchange or other continuation or settlement (in cash, securities, or property) of the outstanding awards. The Compensation Committee has the discretion to provide for outstanding awards to become vested in connection with a change in control. The Compensation Committee does not take material nonpublic information into account when determining the timing and terms of equity awards. The Company does not time the disclosure of material nonpublic information for the purpose of affecting the value of executive compensation.</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Each option granted to the Named Executive Officers in 2024 was granted with a per-share exercise price equal to the closing price of our common stock on the grant date. Each option is scheduled to vest in three installments, with one-half vesting on the date of grant and one-fourth vesting on the first and second anniversary of the date of the grant, subject in each case to the executive’s continued employment through the applicable vesting date and has a maximum term of ten years. However, vested options may terminate earlier in connection with a change in control transaction or a termination of the Named Executive Officer’s employment. Subject to any accelerated vesting that may apply in the circumstances, the unvested portion of the option will immediately terminate upon a termination of the Named Executive Officer’s employment.</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Each share of restricted stock granted to Dr. Lindborg in 2024 is scheduled to fully vest on the first anniversary of the grant date, subject to the executive’s continued employment through the applicable vesting date. Subject to any accelerated vesting that may apply in the circumstances, the unvested portion of the restricted stock will immediately terminate upon the termination of the Named Executive Officer’s employment.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stock options and restricted stock shares granted to our named executive officers in the 2024 fiscal year.</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2024 Stock</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2024 Restricted Stock</w:t>
            </w:r>
          </w:p>
        </w:tc>
      </w:tr>
      <w:tr>
        <w:trPr>
          <w:trHeight w:val="236"/>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3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Options Granted</w:t>
            </w: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Shares Granted</w:t>
            </w:r>
          </w:p>
        </w:tc>
      </w:tr>
      <w:tr>
        <w:trPr>
          <w:trHeight w:val="207"/>
        </w:trPr>
        <w:tc>
          <w:tcPr>
            <w:tcW w:w="3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Stacy Lindborg</w:t>
            </w:r>
          </w:p>
        </w:tc>
        <w:tc>
          <w:tcPr>
            <w:tcW w:w="3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293,102</w:t>
            </w:r>
          </w:p>
        </w:tc>
        <w:tc>
          <w:tcPr>
            <w:tcW w:w="34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Michael Tardugno</w:t>
            </w:r>
          </w:p>
        </w:tc>
        <w:tc>
          <w:tcPr>
            <w:tcW w:w="552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207,926</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Corinne Le Goff</w:t>
            </w:r>
          </w:p>
        </w:tc>
        <w:tc>
          <w:tcPr>
            <w:tcW w:w="552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Khursheed Anwer</w:t>
            </w:r>
          </w:p>
        </w:tc>
        <w:tc>
          <w:tcPr>
            <w:tcW w:w="552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90,653</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Gaiero</w:t>
            </w:r>
          </w:p>
        </w:tc>
        <w:tc>
          <w:tcPr>
            <w:tcW w:w="552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Jeff Church</w:t>
            </w:r>
          </w:p>
        </w:tc>
        <w:tc>
          <w:tcPr>
            <w:tcW w:w="552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12,500</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408"/>
        </w:trPr>
        <w:tc>
          <w:tcPr>
            <w:tcW w:w="37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jc w:val="right"/>
              <w:ind w:right="951"/>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2024 Outstanding Equity Awards at Year-End</w:t>
      </w:r>
    </w:p>
    <w:p>
      <w:pPr>
        <w:spacing w:after="0" w:line="224" w:lineRule="exact"/>
        <w:rPr>
          <w:sz w:val="20"/>
          <w:szCs w:val="20"/>
          <w:color w:val="auto"/>
        </w:rPr>
      </w:pPr>
    </w:p>
    <w:p>
      <w:pPr>
        <w:spacing w:after="0" w:line="307" w:lineRule="auto"/>
        <w:rPr>
          <w:sz w:val="20"/>
          <w:szCs w:val="20"/>
          <w:color w:val="auto"/>
        </w:rPr>
      </w:pPr>
      <w:r>
        <w:rPr>
          <w:rFonts w:ascii="Times New Roman" w:cs="Times New Roman" w:eastAsia="Times New Roman" w:hAnsi="Times New Roman"/>
          <w:sz w:val="17"/>
          <w:szCs w:val="17"/>
          <w:color w:val="auto"/>
        </w:rPr>
        <w:t>The following table summarizes the number of shares of the Company’s common stock underlying outstanding equity incentive plan awards for each Named Executive Officer as of December 31, 2024. None of the Named Executive Officers held any other outstanding stock awards as of December 31, 2024.</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Option Awards</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2"/>
          </w:tcPr>
          <w:p>
            <w:pPr>
              <w:jc w:val="center"/>
              <w:ind w:right="3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 of</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No. of Securities</w:t>
            </w:r>
          </w:p>
        </w:tc>
        <w:tc>
          <w:tcPr>
            <w:tcW w:w="16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6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Unexercised</w:t>
            </w:r>
          </w:p>
        </w:tc>
        <w:tc>
          <w:tcPr>
            <w:tcW w:w="16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Unexercised</w:t>
            </w: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Option Exercise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0" w:type="dxa"/>
            <w:vAlign w:val="bottom"/>
          </w:tcPr>
          <w:p>
            <w:pPr>
              <w:spacing w:after="0"/>
              <w:rPr>
                <w:sz w:val="1"/>
                <w:szCs w:val="1"/>
                <w:color w:val="auto"/>
              </w:rPr>
            </w:pPr>
          </w:p>
        </w:tc>
      </w:tr>
      <w:tr>
        <w:trPr>
          <w:trHeight w:val="213"/>
        </w:trPr>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Shares or Units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6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26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0" w:type="dxa"/>
            <w:vAlign w:val="bottom"/>
          </w:tcPr>
          <w:p>
            <w:pPr>
              <w:spacing w:after="0"/>
              <w:rPr>
                <w:sz w:val="1"/>
                <w:szCs w:val="1"/>
                <w:color w:val="auto"/>
              </w:rPr>
            </w:pPr>
          </w:p>
        </w:tc>
      </w:tr>
      <w:tr>
        <w:trPr>
          <w:trHeight w:val="236"/>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0" w:type="dxa"/>
            <w:vAlign w:val="bottom"/>
          </w:tcPr>
          <w:p>
            <w:pPr>
              <w:spacing w:after="0"/>
              <w:rPr>
                <w:sz w:val="20"/>
                <w:szCs w:val="20"/>
                <w:color w:val="auto"/>
              </w:rPr>
            </w:pP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2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Stock</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6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Unexercisable</w:t>
            </w:r>
          </w:p>
        </w:tc>
        <w:tc>
          <w:tcPr>
            <w:tcW w:w="260" w:type="dxa"/>
            <w:vAlign w:val="bottom"/>
          </w:tcPr>
          <w:p>
            <w:pPr>
              <w:spacing w:after="0"/>
              <w:rPr>
                <w:sz w:val="20"/>
                <w:szCs w:val="20"/>
                <w:color w:val="auto"/>
              </w:rPr>
            </w:pPr>
          </w:p>
        </w:tc>
        <w:tc>
          <w:tcPr>
            <w:tcW w:w="980" w:type="dxa"/>
            <w:vAlign w:val="bottom"/>
          </w:tcPr>
          <w:p>
            <w:pPr>
              <w:jc w:val="right"/>
              <w:ind w:right="456"/>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207"/>
        </w:trPr>
        <w:tc>
          <w:tcPr>
            <w:tcW w:w="14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4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Michae H.</w:t>
            </w:r>
          </w:p>
        </w:tc>
        <w:tc>
          <w:tcPr>
            <w:tcW w:w="2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Tardugno</w:t>
            </w:r>
          </w:p>
        </w:tc>
        <w:tc>
          <w:tcPr>
            <w:tcW w:w="1660" w:type="dxa"/>
            <w:vAlign w:val="bottom"/>
            <w:gridSpan w:val="2"/>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98"/>
              </w:rPr>
              <w:t>10/3/2019</w:t>
            </w: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32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10/3/2029</w:t>
            </w:r>
          </w:p>
        </w:tc>
        <w:tc>
          <w:tcPr>
            <w:tcW w:w="0" w:type="dxa"/>
            <w:vAlign w:val="bottom"/>
          </w:tcPr>
          <w:p>
            <w:pPr>
              <w:spacing w:after="0"/>
              <w:rPr>
                <w:sz w:val="1"/>
                <w:szCs w:val="1"/>
                <w:color w:val="auto"/>
              </w:rPr>
            </w:pPr>
          </w:p>
        </w:tc>
      </w:tr>
      <w:tr>
        <w:trPr>
          <w:trHeight w:val="213"/>
        </w:trPr>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3/04/2022</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4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80,000</w:t>
            </w:r>
          </w:p>
        </w:tc>
        <w:tc>
          <w:tcPr>
            <w:tcW w:w="16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4.60</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3/04/2032</w:t>
            </w:r>
          </w:p>
        </w:tc>
        <w:tc>
          <w:tcPr>
            <w:tcW w:w="0" w:type="dxa"/>
            <w:vAlign w:val="bottom"/>
          </w:tcPr>
          <w:p>
            <w:pPr>
              <w:spacing w:after="0"/>
              <w:rPr>
                <w:sz w:val="1"/>
                <w:szCs w:val="1"/>
                <w:color w:val="auto"/>
              </w:rPr>
            </w:pPr>
          </w:p>
        </w:tc>
      </w:tr>
      <w:tr>
        <w:trPr>
          <w:trHeight w:val="213"/>
        </w:trPr>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6/13/2022</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4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90,000</w:t>
            </w:r>
          </w:p>
        </w:tc>
        <w:tc>
          <w:tcPr>
            <w:tcW w:w="16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1.93</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6/13/2032</w:t>
            </w:r>
          </w:p>
        </w:tc>
        <w:tc>
          <w:tcPr>
            <w:tcW w:w="0" w:type="dxa"/>
            <w:vAlign w:val="bottom"/>
          </w:tcPr>
          <w:p>
            <w:pPr>
              <w:spacing w:after="0"/>
              <w:rPr>
                <w:sz w:val="1"/>
                <w:szCs w:val="1"/>
                <w:color w:val="auto"/>
              </w:rPr>
            </w:pPr>
          </w:p>
        </w:tc>
      </w:tr>
      <w:tr>
        <w:trPr>
          <w:trHeight w:val="213"/>
        </w:trPr>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3/17/2023</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4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16,667</w:t>
            </w: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8,333</w:t>
            </w:r>
            <w:r>
              <w:rPr>
                <w:rFonts w:ascii="Times New Roman" w:cs="Times New Roman" w:eastAsia="Times New Roman" w:hAnsi="Times New Roman"/>
                <w:sz w:val="14"/>
                <w:szCs w:val="14"/>
                <w:color w:val="auto"/>
              </w:rPr>
              <w:t>(1)</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1.32</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3/17/2033</w:t>
            </w:r>
          </w:p>
        </w:tc>
        <w:tc>
          <w:tcPr>
            <w:tcW w:w="0" w:type="dxa"/>
            <w:vAlign w:val="bottom"/>
          </w:tcPr>
          <w:p>
            <w:pPr>
              <w:spacing w:after="0"/>
              <w:rPr>
                <w:sz w:val="1"/>
                <w:szCs w:val="1"/>
                <w:color w:val="auto"/>
              </w:rPr>
            </w:pPr>
          </w:p>
        </w:tc>
      </w:tr>
      <w:tr>
        <w:trPr>
          <w:trHeight w:val="213"/>
        </w:trPr>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3/15/2024</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6,250</w:t>
            </w:r>
            <w:r>
              <w:rPr>
                <w:rFonts w:ascii="Times New Roman" w:cs="Times New Roman" w:eastAsia="Times New Roman" w:hAnsi="Times New Roman"/>
                <w:sz w:val="14"/>
                <w:szCs w:val="14"/>
                <w:color w:val="auto"/>
              </w:rPr>
              <w:t>(2)</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0.86</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3/15/2034</w:t>
            </w:r>
          </w:p>
        </w:tc>
        <w:tc>
          <w:tcPr>
            <w:tcW w:w="0" w:type="dxa"/>
            <w:vAlign w:val="bottom"/>
          </w:tcPr>
          <w:p>
            <w:pPr>
              <w:spacing w:after="0"/>
              <w:rPr>
                <w:sz w:val="1"/>
                <w:szCs w:val="1"/>
                <w:color w:val="auto"/>
              </w:rPr>
            </w:pPr>
          </w:p>
        </w:tc>
      </w:tr>
      <w:tr>
        <w:trPr>
          <w:trHeight w:val="15"/>
        </w:trPr>
        <w:tc>
          <w:tcPr>
            <w:tcW w:w="14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
                <w:szCs w:val="1"/>
                <w:color w:val="auto"/>
              </w:rPr>
              <w:t>6/12/2024</w:t>
            </w:r>
          </w:p>
        </w:tc>
        <w:tc>
          <w:tcPr>
            <w:tcW w:w="2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204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
                <w:szCs w:val="1"/>
                <w:color w:val="auto"/>
              </w:rPr>
              <w:t>50,000</w:t>
            </w:r>
          </w:p>
        </w:tc>
        <w:tc>
          <w:tcPr>
            <w:tcW w:w="16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
                <w:szCs w:val="1"/>
                <w:color w:val="auto"/>
              </w:rPr>
              <w:t>50,000</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
                <w:szCs w:val="1"/>
                <w:color w:val="auto"/>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
                <w:szCs w:val="1"/>
                <w:color w:val="auto"/>
              </w:rPr>
              <w:t>1.22</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
                <w:szCs w:val="1"/>
                <w:color w:val="auto"/>
              </w:rPr>
              <w:t>6/12/2034</w:t>
            </w:r>
          </w:p>
        </w:tc>
        <w:tc>
          <w:tcPr>
            <w:tcW w:w="0" w:type="dxa"/>
            <w:vAlign w:val="bottom"/>
          </w:tcPr>
          <w:p>
            <w:pPr>
              <w:spacing w:after="0" w:line="20" w:lineRule="exact"/>
              <w:rPr>
                <w:sz w:val="1"/>
                <w:szCs w:val="1"/>
                <w:color w:val="auto"/>
              </w:rPr>
            </w:pPr>
          </w:p>
        </w:tc>
      </w:tr>
      <w:tr>
        <w:trPr>
          <w:trHeight w:val="192"/>
        </w:trPr>
        <w:tc>
          <w:tcPr>
            <w:tcW w:w="1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4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jc w:val="center"/>
              <w:spacing w:after="0" w:line="22" w:lineRule="exact"/>
              <w:rPr>
                <w:sz w:val="20"/>
                <w:szCs w:val="20"/>
                <w:color w:val="auto"/>
              </w:rPr>
            </w:pPr>
            <w:r>
              <w:rPr>
                <w:rFonts w:ascii="Times New Roman" w:cs="Times New Roman" w:eastAsia="Times New Roman" w:hAnsi="Times New Roman"/>
                <w:sz w:val="2"/>
                <w:szCs w:val="2"/>
                <w:color w:val="auto"/>
              </w:rPr>
              <w:t>9/6/2024</w:t>
            </w:r>
          </w:p>
        </w:tc>
        <w:tc>
          <w:tcPr>
            <w:tcW w:w="2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80" w:type="dxa"/>
            <w:vAlign w:val="bottom"/>
            <w:gridSpan w:val="3"/>
            <w:shd w:val="clear" w:color="auto" w:fill="CCEEFF"/>
          </w:tcPr>
          <w:p>
            <w:pPr>
              <w:jc w:val="right"/>
              <w:ind w:right="320"/>
              <w:spacing w:after="0" w:line="22" w:lineRule="exact"/>
              <w:rPr>
                <w:sz w:val="20"/>
                <w:szCs w:val="20"/>
                <w:color w:val="auto"/>
              </w:rPr>
            </w:pPr>
            <w:r>
              <w:rPr>
                <w:rFonts w:ascii="Times New Roman" w:cs="Times New Roman" w:eastAsia="Times New Roman" w:hAnsi="Times New Roman"/>
                <w:sz w:val="2"/>
                <w:szCs w:val="2"/>
                <w:color w:val="auto"/>
              </w:rPr>
              <w:t>41,463</w:t>
            </w:r>
          </w:p>
        </w:tc>
        <w:tc>
          <w:tcPr>
            <w:tcW w:w="1600" w:type="dxa"/>
            <w:vAlign w:val="bottom"/>
            <w:gridSpan w:val="2"/>
            <w:shd w:val="clear" w:color="auto" w:fill="CCEEFF"/>
          </w:tcPr>
          <w:p>
            <w:pPr>
              <w:jc w:val="right"/>
              <w:ind w:right="380"/>
              <w:spacing w:after="0" w:line="22" w:lineRule="exact"/>
              <w:rPr>
                <w:sz w:val="20"/>
                <w:szCs w:val="20"/>
                <w:color w:val="auto"/>
              </w:rPr>
            </w:pPr>
            <w:r>
              <w:rPr>
                <w:rFonts w:ascii="Times New Roman" w:cs="Times New Roman" w:eastAsia="Times New Roman" w:hAnsi="Times New Roman"/>
                <w:sz w:val="2"/>
                <w:szCs w:val="2"/>
                <w:color w:val="auto"/>
              </w:rPr>
              <w:t>41,463</w:t>
            </w:r>
          </w:p>
        </w:tc>
        <w:tc>
          <w:tcPr>
            <w:tcW w:w="260" w:type="dxa"/>
            <w:vAlign w:val="bottom"/>
            <w:shd w:val="clear" w:color="auto" w:fill="CCEEFF"/>
          </w:tcPr>
          <w:p>
            <w:pPr>
              <w:spacing w:after="0" w:line="22" w:lineRule="exact"/>
              <w:rPr>
                <w:sz w:val="20"/>
                <w:szCs w:val="20"/>
                <w:color w:val="auto"/>
              </w:rPr>
            </w:pPr>
            <w:r>
              <w:rPr>
                <w:rFonts w:ascii="Times New Roman" w:cs="Times New Roman" w:eastAsia="Times New Roman" w:hAnsi="Times New Roman"/>
                <w:sz w:val="2"/>
                <w:szCs w:val="2"/>
                <w:color w:val="auto"/>
              </w:rPr>
              <w:t>$</w:t>
            </w:r>
          </w:p>
        </w:tc>
        <w:tc>
          <w:tcPr>
            <w:tcW w:w="1300" w:type="dxa"/>
            <w:vAlign w:val="bottom"/>
            <w:gridSpan w:val="2"/>
            <w:shd w:val="clear" w:color="auto" w:fill="CCEEFF"/>
          </w:tcPr>
          <w:p>
            <w:pPr>
              <w:jc w:val="right"/>
              <w:ind w:right="320"/>
              <w:spacing w:after="0" w:line="22" w:lineRule="exact"/>
              <w:rPr>
                <w:sz w:val="20"/>
                <w:szCs w:val="20"/>
                <w:color w:val="auto"/>
              </w:rPr>
            </w:pPr>
            <w:r>
              <w:rPr>
                <w:rFonts w:ascii="Times New Roman" w:cs="Times New Roman" w:eastAsia="Times New Roman" w:hAnsi="Times New Roman"/>
                <w:sz w:val="2"/>
                <w:szCs w:val="2"/>
                <w:color w:val="auto"/>
              </w:rPr>
              <w:t>1.04</w:t>
            </w:r>
          </w:p>
        </w:tc>
        <w:tc>
          <w:tcPr>
            <w:tcW w:w="1340" w:type="dxa"/>
            <w:vAlign w:val="bottom"/>
            <w:shd w:val="clear" w:color="auto" w:fill="CCEEFF"/>
          </w:tcPr>
          <w:p>
            <w:pPr>
              <w:jc w:val="center"/>
              <w:spacing w:after="0" w:line="22" w:lineRule="exact"/>
              <w:rPr>
                <w:sz w:val="20"/>
                <w:szCs w:val="20"/>
                <w:color w:val="auto"/>
              </w:rPr>
            </w:pPr>
            <w:r>
              <w:rPr>
                <w:rFonts w:ascii="Times New Roman" w:cs="Times New Roman" w:eastAsia="Times New Roman" w:hAnsi="Times New Roman"/>
                <w:sz w:val="2"/>
                <w:szCs w:val="2"/>
                <w:color w:val="auto"/>
              </w:rPr>
              <w:t>9/6/2034</w:t>
            </w:r>
          </w:p>
        </w:tc>
        <w:tc>
          <w:tcPr>
            <w:tcW w:w="0" w:type="dxa"/>
            <w:vAlign w:val="bottom"/>
          </w:tcPr>
          <w:p>
            <w:pPr>
              <w:spacing w:after="0" w:line="20" w:lineRule="exact"/>
              <w:rPr>
                <w:sz w:val="1"/>
                <w:szCs w:val="1"/>
                <w:color w:val="auto"/>
              </w:rPr>
            </w:pPr>
          </w:p>
        </w:tc>
      </w:tr>
      <w:tr>
        <w:trPr>
          <w:trHeight w:val="192"/>
        </w:trPr>
        <w:tc>
          <w:tcPr>
            <w:tcW w:w="1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12/18/2024</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3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6,250</w:t>
            </w:r>
            <w:r>
              <w:rPr>
                <w:rFonts w:ascii="Times New Roman" w:cs="Times New Roman" w:eastAsia="Times New Roman" w:hAnsi="Times New Roman"/>
                <w:sz w:val="14"/>
                <w:szCs w:val="14"/>
                <w:color w:val="auto"/>
              </w:rPr>
              <w:t>(2)</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0.83</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12/18/2034</w:t>
            </w:r>
          </w:p>
        </w:tc>
        <w:tc>
          <w:tcPr>
            <w:tcW w:w="0" w:type="dxa"/>
            <w:vAlign w:val="bottom"/>
          </w:tcPr>
          <w:p>
            <w:pPr>
              <w:spacing w:after="0"/>
              <w:rPr>
                <w:sz w:val="1"/>
                <w:szCs w:val="1"/>
                <w:color w:val="auto"/>
              </w:rPr>
            </w:pPr>
          </w:p>
        </w:tc>
      </w:tr>
      <w:tr>
        <w:trPr>
          <w:trHeight w:val="213"/>
        </w:trPr>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4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Stacy R. Lindborg</w:t>
            </w:r>
          </w:p>
        </w:tc>
        <w:tc>
          <w:tcPr>
            <w:tcW w:w="2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PhD</w:t>
            </w:r>
          </w:p>
        </w:tc>
        <w:tc>
          <w:tcPr>
            <w:tcW w:w="1660" w:type="dxa"/>
            <w:vAlign w:val="bottom"/>
            <w:gridSpan w:val="2"/>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99"/>
              </w:rPr>
              <w:t>6/4/2021</w:t>
            </w: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32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6/4/2031</w:t>
            </w:r>
          </w:p>
        </w:tc>
        <w:tc>
          <w:tcPr>
            <w:tcW w:w="0" w:type="dxa"/>
            <w:vAlign w:val="bottom"/>
          </w:tcPr>
          <w:p>
            <w:pPr>
              <w:spacing w:after="0"/>
              <w:rPr>
                <w:sz w:val="1"/>
                <w:szCs w:val="1"/>
                <w:color w:val="auto"/>
              </w:rPr>
            </w:pPr>
          </w:p>
        </w:tc>
      </w:tr>
      <w:tr>
        <w:trPr>
          <w:trHeight w:val="213"/>
        </w:trPr>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3/4/2022</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4.60</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3/4/2034</w:t>
            </w:r>
          </w:p>
        </w:tc>
        <w:tc>
          <w:tcPr>
            <w:tcW w:w="0" w:type="dxa"/>
            <w:vAlign w:val="bottom"/>
          </w:tcPr>
          <w:p>
            <w:pPr>
              <w:spacing w:after="0"/>
              <w:rPr>
                <w:sz w:val="1"/>
                <w:szCs w:val="1"/>
                <w:color w:val="auto"/>
              </w:rPr>
            </w:pPr>
          </w:p>
        </w:tc>
      </w:tr>
      <w:tr>
        <w:trPr>
          <w:trHeight w:val="213"/>
        </w:trPr>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6/13/2022</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1.93</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6/13/2032</w:t>
            </w:r>
          </w:p>
        </w:tc>
        <w:tc>
          <w:tcPr>
            <w:tcW w:w="0" w:type="dxa"/>
            <w:vAlign w:val="bottom"/>
          </w:tcPr>
          <w:p>
            <w:pPr>
              <w:spacing w:after="0"/>
              <w:rPr>
                <w:sz w:val="1"/>
                <w:szCs w:val="1"/>
                <w:color w:val="auto"/>
              </w:rPr>
            </w:pPr>
          </w:p>
        </w:tc>
      </w:tr>
      <w:tr>
        <w:trPr>
          <w:trHeight w:val="213"/>
        </w:trPr>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3/17/2023</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667</w:t>
            </w:r>
            <w:r>
              <w:rPr>
                <w:rFonts w:ascii="Times New Roman" w:cs="Times New Roman" w:eastAsia="Times New Roman" w:hAnsi="Times New Roman"/>
                <w:sz w:val="14"/>
                <w:szCs w:val="14"/>
                <w:color w:val="auto"/>
              </w:rPr>
              <w:t>(1)</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1.32</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3/17/2033</w:t>
            </w:r>
          </w:p>
        </w:tc>
        <w:tc>
          <w:tcPr>
            <w:tcW w:w="0" w:type="dxa"/>
            <w:vAlign w:val="bottom"/>
          </w:tcPr>
          <w:p>
            <w:pPr>
              <w:spacing w:after="0"/>
              <w:rPr>
                <w:sz w:val="1"/>
                <w:szCs w:val="1"/>
                <w:color w:val="auto"/>
              </w:rPr>
            </w:pPr>
          </w:p>
        </w:tc>
      </w:tr>
      <w:tr>
        <w:trPr>
          <w:trHeight w:val="213"/>
        </w:trPr>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3/15/2024</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2,250</w:t>
            </w:r>
            <w:r>
              <w:rPr>
                <w:rFonts w:ascii="Times New Roman" w:cs="Times New Roman" w:eastAsia="Times New Roman" w:hAnsi="Times New Roman"/>
                <w:sz w:val="14"/>
                <w:szCs w:val="14"/>
                <w:color w:val="auto"/>
              </w:rPr>
              <w:t>(2)</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0.86</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3/15/2034</w:t>
            </w:r>
          </w:p>
        </w:tc>
        <w:tc>
          <w:tcPr>
            <w:tcW w:w="0" w:type="dxa"/>
            <w:vAlign w:val="bottom"/>
          </w:tcPr>
          <w:p>
            <w:pPr>
              <w:spacing w:after="0"/>
              <w:rPr>
                <w:sz w:val="1"/>
                <w:szCs w:val="1"/>
                <w:color w:val="auto"/>
              </w:rPr>
            </w:pPr>
          </w:p>
        </w:tc>
      </w:tr>
      <w:tr>
        <w:trPr>
          <w:trHeight w:val="15"/>
        </w:trPr>
        <w:tc>
          <w:tcPr>
            <w:tcW w:w="14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
                <w:szCs w:val="1"/>
                <w:color w:val="auto"/>
              </w:rPr>
              <w:t>5/13/2024</w:t>
            </w:r>
          </w:p>
        </w:tc>
        <w:tc>
          <w:tcPr>
            <w:tcW w:w="2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
                <w:szCs w:val="1"/>
                <w:color w:val="auto"/>
              </w:rPr>
              <w:t>-</w:t>
            </w:r>
          </w:p>
        </w:tc>
        <w:tc>
          <w:tcPr>
            <w:tcW w:w="320" w:type="dxa"/>
            <w:vAlign w:val="bottom"/>
            <w:shd w:val="clear" w:color="auto" w:fill="CCEEFF"/>
          </w:tcPr>
          <w:p>
            <w:pPr>
              <w:spacing w:after="0" w:line="20" w:lineRule="exact"/>
              <w:rPr>
                <w:sz w:val="1"/>
                <w:szCs w:val="1"/>
                <w:color w:val="auto"/>
              </w:rPr>
            </w:pPr>
          </w:p>
        </w:tc>
        <w:tc>
          <w:tcPr>
            <w:tcW w:w="16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
                <w:szCs w:val="1"/>
                <w:color w:val="auto"/>
              </w:rPr>
              <w:t>112,500</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
                <w:szCs w:val="1"/>
                <w:color w:val="auto"/>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
                <w:szCs w:val="1"/>
                <w:color w:val="auto"/>
              </w:rPr>
              <w:t>1.48</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
                <w:szCs w:val="1"/>
                <w:color w:val="auto"/>
              </w:rPr>
              <w:t>5/13/2034</w:t>
            </w:r>
          </w:p>
        </w:tc>
        <w:tc>
          <w:tcPr>
            <w:tcW w:w="0" w:type="dxa"/>
            <w:vAlign w:val="bottom"/>
          </w:tcPr>
          <w:p>
            <w:pPr>
              <w:spacing w:after="0" w:line="20" w:lineRule="exact"/>
              <w:rPr>
                <w:sz w:val="1"/>
                <w:szCs w:val="1"/>
                <w:color w:val="auto"/>
              </w:rPr>
            </w:pPr>
          </w:p>
        </w:tc>
      </w:tr>
      <w:tr>
        <w:trPr>
          <w:trHeight w:val="192"/>
        </w:trPr>
        <w:tc>
          <w:tcPr>
            <w:tcW w:w="1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4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jc w:val="center"/>
              <w:spacing w:after="0" w:line="22" w:lineRule="exact"/>
              <w:rPr>
                <w:sz w:val="20"/>
                <w:szCs w:val="20"/>
                <w:color w:val="auto"/>
              </w:rPr>
            </w:pPr>
            <w:r>
              <w:rPr>
                <w:rFonts w:ascii="Times New Roman" w:cs="Times New Roman" w:eastAsia="Times New Roman" w:hAnsi="Times New Roman"/>
                <w:sz w:val="2"/>
                <w:szCs w:val="2"/>
                <w:color w:val="auto"/>
              </w:rPr>
              <w:t>6/12/2024</w:t>
            </w:r>
          </w:p>
        </w:tc>
        <w:tc>
          <w:tcPr>
            <w:tcW w:w="2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560" w:type="dxa"/>
            <w:vAlign w:val="bottom"/>
            <w:gridSpan w:val="2"/>
            <w:shd w:val="clear" w:color="auto" w:fill="CCEEFF"/>
          </w:tcPr>
          <w:p>
            <w:pPr>
              <w:jc w:val="right"/>
              <w:spacing w:after="0" w:line="22" w:lineRule="exact"/>
              <w:rPr>
                <w:sz w:val="20"/>
                <w:szCs w:val="20"/>
                <w:color w:val="auto"/>
              </w:rPr>
            </w:pPr>
            <w:r>
              <w:rPr>
                <w:rFonts w:ascii="Times New Roman" w:cs="Times New Roman" w:eastAsia="Times New Roman" w:hAnsi="Times New Roman"/>
                <w:sz w:val="2"/>
                <w:szCs w:val="2"/>
                <w:color w:val="auto"/>
              </w:rPr>
              <w:t>-</w:t>
            </w:r>
          </w:p>
        </w:tc>
        <w:tc>
          <w:tcPr>
            <w:tcW w:w="320" w:type="dxa"/>
            <w:vAlign w:val="bottom"/>
            <w:shd w:val="clear" w:color="auto" w:fill="CCEEFF"/>
          </w:tcPr>
          <w:p>
            <w:pPr>
              <w:spacing w:after="0" w:line="20" w:lineRule="exact"/>
              <w:rPr>
                <w:sz w:val="1"/>
                <w:szCs w:val="1"/>
                <w:color w:val="auto"/>
              </w:rPr>
            </w:pPr>
          </w:p>
        </w:tc>
        <w:tc>
          <w:tcPr>
            <w:tcW w:w="1600" w:type="dxa"/>
            <w:vAlign w:val="bottom"/>
            <w:gridSpan w:val="2"/>
            <w:shd w:val="clear" w:color="auto" w:fill="CCEEFF"/>
          </w:tcPr>
          <w:p>
            <w:pPr>
              <w:jc w:val="right"/>
              <w:ind w:right="380"/>
              <w:spacing w:after="0" w:line="22" w:lineRule="exact"/>
              <w:rPr>
                <w:sz w:val="20"/>
                <w:szCs w:val="20"/>
                <w:color w:val="auto"/>
              </w:rPr>
            </w:pPr>
            <w:r>
              <w:rPr>
                <w:rFonts w:ascii="Times New Roman" w:cs="Times New Roman" w:eastAsia="Times New Roman" w:hAnsi="Times New Roman"/>
                <w:sz w:val="2"/>
                <w:szCs w:val="2"/>
                <w:color w:val="auto"/>
              </w:rPr>
              <w:t>112,500</w:t>
            </w:r>
          </w:p>
        </w:tc>
        <w:tc>
          <w:tcPr>
            <w:tcW w:w="260" w:type="dxa"/>
            <w:vAlign w:val="bottom"/>
            <w:shd w:val="clear" w:color="auto" w:fill="CCEEFF"/>
          </w:tcPr>
          <w:p>
            <w:pPr>
              <w:spacing w:after="0" w:line="22" w:lineRule="exact"/>
              <w:rPr>
                <w:sz w:val="20"/>
                <w:szCs w:val="20"/>
                <w:color w:val="auto"/>
              </w:rPr>
            </w:pPr>
            <w:r>
              <w:rPr>
                <w:rFonts w:ascii="Times New Roman" w:cs="Times New Roman" w:eastAsia="Times New Roman" w:hAnsi="Times New Roman"/>
                <w:sz w:val="2"/>
                <w:szCs w:val="2"/>
                <w:color w:val="auto"/>
              </w:rPr>
              <w:t>$</w:t>
            </w:r>
          </w:p>
        </w:tc>
        <w:tc>
          <w:tcPr>
            <w:tcW w:w="1300" w:type="dxa"/>
            <w:vAlign w:val="bottom"/>
            <w:gridSpan w:val="2"/>
            <w:shd w:val="clear" w:color="auto" w:fill="CCEEFF"/>
          </w:tcPr>
          <w:p>
            <w:pPr>
              <w:jc w:val="right"/>
              <w:ind w:right="320"/>
              <w:spacing w:after="0" w:line="22" w:lineRule="exact"/>
              <w:rPr>
                <w:sz w:val="20"/>
                <w:szCs w:val="20"/>
                <w:color w:val="auto"/>
              </w:rPr>
            </w:pPr>
            <w:r>
              <w:rPr>
                <w:rFonts w:ascii="Times New Roman" w:cs="Times New Roman" w:eastAsia="Times New Roman" w:hAnsi="Times New Roman"/>
                <w:sz w:val="2"/>
                <w:szCs w:val="2"/>
                <w:color w:val="auto"/>
              </w:rPr>
              <w:t>1.22</w:t>
            </w:r>
          </w:p>
        </w:tc>
        <w:tc>
          <w:tcPr>
            <w:tcW w:w="1340" w:type="dxa"/>
            <w:vAlign w:val="bottom"/>
            <w:shd w:val="clear" w:color="auto" w:fill="CCEEFF"/>
          </w:tcPr>
          <w:p>
            <w:pPr>
              <w:jc w:val="center"/>
              <w:spacing w:after="0" w:line="22" w:lineRule="exact"/>
              <w:rPr>
                <w:sz w:val="20"/>
                <w:szCs w:val="20"/>
                <w:color w:val="auto"/>
              </w:rPr>
            </w:pPr>
            <w:r>
              <w:rPr>
                <w:rFonts w:ascii="Times New Roman" w:cs="Times New Roman" w:eastAsia="Times New Roman" w:hAnsi="Times New Roman"/>
                <w:sz w:val="2"/>
                <w:szCs w:val="2"/>
                <w:color w:val="auto"/>
              </w:rPr>
              <w:t>6/12/2034</w:t>
            </w:r>
          </w:p>
        </w:tc>
        <w:tc>
          <w:tcPr>
            <w:tcW w:w="0" w:type="dxa"/>
            <w:vAlign w:val="bottom"/>
          </w:tcPr>
          <w:p>
            <w:pPr>
              <w:spacing w:after="0" w:line="20" w:lineRule="exact"/>
              <w:rPr>
                <w:sz w:val="1"/>
                <w:szCs w:val="1"/>
                <w:color w:val="auto"/>
              </w:rPr>
            </w:pPr>
          </w:p>
        </w:tc>
      </w:tr>
      <w:tr>
        <w:trPr>
          <w:trHeight w:val="192"/>
        </w:trPr>
        <w:tc>
          <w:tcPr>
            <w:tcW w:w="1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4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jc w:val="center"/>
              <w:spacing w:after="0" w:line="22" w:lineRule="exact"/>
              <w:rPr>
                <w:sz w:val="20"/>
                <w:szCs w:val="20"/>
                <w:color w:val="auto"/>
              </w:rPr>
            </w:pPr>
            <w:r>
              <w:rPr>
                <w:rFonts w:ascii="Times New Roman" w:cs="Times New Roman" w:eastAsia="Times New Roman" w:hAnsi="Times New Roman"/>
                <w:sz w:val="2"/>
                <w:szCs w:val="2"/>
                <w:color w:val="auto"/>
              </w:rPr>
              <w:t>9/6/2024</w:t>
            </w:r>
          </w:p>
        </w:tc>
        <w:tc>
          <w:tcPr>
            <w:tcW w:w="2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60" w:type="dxa"/>
            <w:vAlign w:val="bottom"/>
            <w:gridSpan w:val="2"/>
            <w:shd w:val="clear" w:color="auto" w:fill="CCEEFF"/>
          </w:tcPr>
          <w:p>
            <w:pPr>
              <w:jc w:val="right"/>
              <w:ind w:right="320"/>
              <w:spacing w:after="0" w:line="22" w:lineRule="exact"/>
              <w:rPr>
                <w:sz w:val="20"/>
                <w:szCs w:val="20"/>
                <w:color w:val="auto"/>
              </w:rPr>
            </w:pPr>
            <w:r>
              <w:rPr>
                <w:rFonts w:ascii="Times New Roman" w:cs="Times New Roman" w:eastAsia="Times New Roman" w:hAnsi="Times New Roman"/>
                <w:sz w:val="2"/>
                <w:szCs w:val="2"/>
                <w:color w:val="auto"/>
              </w:rPr>
              <w:t>31,801</w:t>
            </w:r>
          </w:p>
        </w:tc>
        <w:tc>
          <w:tcPr>
            <w:tcW w:w="1600" w:type="dxa"/>
            <w:vAlign w:val="bottom"/>
            <w:gridSpan w:val="2"/>
            <w:shd w:val="clear" w:color="auto" w:fill="CCEEFF"/>
          </w:tcPr>
          <w:p>
            <w:pPr>
              <w:jc w:val="right"/>
              <w:ind w:right="380"/>
              <w:spacing w:after="0" w:line="22" w:lineRule="exact"/>
              <w:rPr>
                <w:sz w:val="20"/>
                <w:szCs w:val="20"/>
                <w:color w:val="auto"/>
              </w:rPr>
            </w:pPr>
            <w:r>
              <w:rPr>
                <w:rFonts w:ascii="Times New Roman" w:cs="Times New Roman" w:eastAsia="Times New Roman" w:hAnsi="Times New Roman"/>
                <w:sz w:val="2"/>
                <w:szCs w:val="2"/>
                <w:color w:val="auto"/>
              </w:rPr>
              <w:t>31,801</w:t>
            </w:r>
          </w:p>
        </w:tc>
        <w:tc>
          <w:tcPr>
            <w:tcW w:w="260" w:type="dxa"/>
            <w:vAlign w:val="bottom"/>
            <w:shd w:val="clear" w:color="auto" w:fill="CCEEFF"/>
          </w:tcPr>
          <w:p>
            <w:pPr>
              <w:spacing w:after="0" w:line="22" w:lineRule="exact"/>
              <w:rPr>
                <w:sz w:val="20"/>
                <w:szCs w:val="20"/>
                <w:color w:val="auto"/>
              </w:rPr>
            </w:pPr>
            <w:r>
              <w:rPr>
                <w:rFonts w:ascii="Times New Roman" w:cs="Times New Roman" w:eastAsia="Times New Roman" w:hAnsi="Times New Roman"/>
                <w:sz w:val="2"/>
                <w:szCs w:val="2"/>
                <w:color w:val="auto"/>
              </w:rPr>
              <w:t>$</w:t>
            </w:r>
          </w:p>
        </w:tc>
        <w:tc>
          <w:tcPr>
            <w:tcW w:w="1300" w:type="dxa"/>
            <w:vAlign w:val="bottom"/>
            <w:gridSpan w:val="2"/>
            <w:shd w:val="clear" w:color="auto" w:fill="CCEEFF"/>
          </w:tcPr>
          <w:p>
            <w:pPr>
              <w:jc w:val="right"/>
              <w:ind w:right="320"/>
              <w:spacing w:after="0" w:line="22" w:lineRule="exact"/>
              <w:rPr>
                <w:sz w:val="20"/>
                <w:szCs w:val="20"/>
                <w:color w:val="auto"/>
              </w:rPr>
            </w:pPr>
            <w:r>
              <w:rPr>
                <w:rFonts w:ascii="Times New Roman" w:cs="Times New Roman" w:eastAsia="Times New Roman" w:hAnsi="Times New Roman"/>
                <w:sz w:val="2"/>
                <w:szCs w:val="2"/>
                <w:color w:val="auto"/>
              </w:rPr>
              <w:t>1.04</w:t>
            </w:r>
          </w:p>
        </w:tc>
        <w:tc>
          <w:tcPr>
            <w:tcW w:w="1340" w:type="dxa"/>
            <w:vAlign w:val="bottom"/>
            <w:shd w:val="clear" w:color="auto" w:fill="CCEEFF"/>
          </w:tcPr>
          <w:p>
            <w:pPr>
              <w:jc w:val="center"/>
              <w:spacing w:after="0" w:line="22" w:lineRule="exact"/>
              <w:rPr>
                <w:sz w:val="20"/>
                <w:szCs w:val="20"/>
                <w:color w:val="auto"/>
              </w:rPr>
            </w:pPr>
            <w:r>
              <w:rPr>
                <w:rFonts w:ascii="Times New Roman" w:cs="Times New Roman" w:eastAsia="Times New Roman" w:hAnsi="Times New Roman"/>
                <w:sz w:val="2"/>
                <w:szCs w:val="2"/>
                <w:color w:val="auto"/>
              </w:rPr>
              <w:t>9/6/2034</w:t>
            </w:r>
          </w:p>
        </w:tc>
        <w:tc>
          <w:tcPr>
            <w:tcW w:w="0" w:type="dxa"/>
            <w:vAlign w:val="bottom"/>
          </w:tcPr>
          <w:p>
            <w:pPr>
              <w:spacing w:after="0" w:line="20" w:lineRule="exact"/>
              <w:rPr>
                <w:sz w:val="1"/>
                <w:szCs w:val="1"/>
                <w:color w:val="auto"/>
              </w:rPr>
            </w:pPr>
          </w:p>
        </w:tc>
      </w:tr>
      <w:tr>
        <w:trPr>
          <w:trHeight w:val="192"/>
        </w:trPr>
        <w:tc>
          <w:tcPr>
            <w:tcW w:w="1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60" w:type="dxa"/>
            <w:vAlign w:val="bottom"/>
            <w:shd w:val="clear" w:color="auto" w:fill="CCEEFF"/>
          </w:tcPr>
          <w:p>
            <w:pPr>
              <w:jc w:val="center"/>
              <w:spacing w:after="0" w:line="154" w:lineRule="exact"/>
              <w:rPr>
                <w:sz w:val="20"/>
                <w:szCs w:val="20"/>
                <w:color w:val="auto"/>
              </w:rPr>
            </w:pPr>
            <w:r>
              <w:rPr>
                <w:rFonts w:ascii="Times New Roman" w:cs="Times New Roman" w:eastAsia="Times New Roman" w:hAnsi="Times New Roman"/>
                <w:sz w:val="17"/>
                <w:szCs w:val="17"/>
                <w:color w:val="auto"/>
              </w:rPr>
              <w:t>9/6/2024</w:t>
            </w:r>
          </w:p>
        </w:tc>
        <w:tc>
          <w:tcPr>
            <w:tcW w:w="2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7"/>
                <w:szCs w:val="17"/>
                <w:color w:val="auto"/>
              </w:rPr>
              <w:t>25,000</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(3)</w:t>
            </w:r>
          </w:p>
        </w:tc>
        <w:tc>
          <w:tcPr>
            <w:tcW w:w="2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148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146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34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vMerge w:val="continue"/>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34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1220" w:type="dxa"/>
            <w:vAlign w:val="bottom"/>
            <w:tcBorders>
              <w:bottom w:val="single" w:sz="8" w:color="CCEEFF"/>
            </w:tcBorders>
            <w:shd w:val="clear" w:color="auto" w:fill="CCEEFF"/>
          </w:tcPr>
          <w:p>
            <w:pPr>
              <w:spacing w:after="0"/>
              <w:rPr>
                <w:sz w:val="4"/>
                <w:szCs w:val="4"/>
                <w:color w:val="auto"/>
              </w:rPr>
            </w:pPr>
          </w:p>
        </w:tc>
        <w:tc>
          <w:tcPr>
            <w:tcW w:w="380" w:type="dxa"/>
            <w:vAlign w:val="bottom"/>
            <w:tcBorders>
              <w:bottom w:val="single" w:sz="8" w:color="CCEEFF"/>
            </w:tcBorders>
            <w:shd w:val="clear" w:color="auto" w:fill="CCEEFF"/>
          </w:tcPr>
          <w:p>
            <w:pPr>
              <w:spacing w:after="0"/>
              <w:rPr>
                <w:sz w:val="4"/>
                <w:szCs w:val="4"/>
                <w:color w:val="auto"/>
              </w:rPr>
            </w:pPr>
          </w:p>
        </w:tc>
        <w:tc>
          <w:tcPr>
            <w:tcW w:w="260" w:type="dxa"/>
            <w:vAlign w:val="bottom"/>
            <w:tcBorders>
              <w:bottom w:val="single" w:sz="8" w:color="CCEEFF"/>
            </w:tcBorders>
            <w:shd w:val="clear" w:color="auto" w:fill="CCEEFF"/>
          </w:tcPr>
          <w:p>
            <w:pPr>
              <w:spacing w:after="0"/>
              <w:rPr>
                <w:sz w:val="4"/>
                <w:szCs w:val="4"/>
                <w:color w:val="auto"/>
              </w:rPr>
            </w:pPr>
          </w:p>
        </w:tc>
        <w:tc>
          <w:tcPr>
            <w:tcW w:w="98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134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1480" w:type="dxa"/>
            <w:vAlign w:val="bottom"/>
          </w:tcPr>
          <w:p>
            <w:pPr>
              <w:spacing w:after="0"/>
              <w:rPr>
                <w:sz w:val="18"/>
                <w:szCs w:val="18"/>
                <w:color w:val="auto"/>
              </w:rPr>
            </w:pPr>
          </w:p>
        </w:tc>
        <w:tc>
          <w:tcPr>
            <w:tcW w:w="16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720" w:type="dxa"/>
            <w:vAlign w:val="bottom"/>
            <w:gridSpan w:val="3"/>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Church</w:t>
            </w:r>
          </w:p>
        </w:tc>
        <w:tc>
          <w:tcPr>
            <w:tcW w:w="1660" w:type="dxa"/>
            <w:vAlign w:val="bottom"/>
            <w:gridSpan w:val="2"/>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98"/>
              </w:rPr>
              <w:t>10/3/2019</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10/3/2029</w:t>
            </w:r>
          </w:p>
        </w:tc>
        <w:tc>
          <w:tcPr>
            <w:tcW w:w="0" w:type="dxa"/>
            <w:vAlign w:val="bottom"/>
          </w:tcPr>
          <w:p>
            <w:pPr>
              <w:spacing w:after="0"/>
              <w:rPr>
                <w:sz w:val="1"/>
                <w:szCs w:val="1"/>
                <w:color w:val="auto"/>
              </w:rPr>
            </w:pPr>
          </w:p>
        </w:tc>
      </w:tr>
      <w:tr>
        <w:trPr>
          <w:trHeight w:val="213"/>
        </w:trPr>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6/13/2022</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4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33,333</w:t>
            </w:r>
          </w:p>
        </w:tc>
        <w:tc>
          <w:tcPr>
            <w:tcW w:w="16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1.93</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6/13/2032</w:t>
            </w:r>
          </w:p>
        </w:tc>
        <w:tc>
          <w:tcPr>
            <w:tcW w:w="0" w:type="dxa"/>
            <w:vAlign w:val="bottom"/>
          </w:tcPr>
          <w:p>
            <w:pPr>
              <w:spacing w:after="0"/>
              <w:rPr>
                <w:sz w:val="1"/>
                <w:szCs w:val="1"/>
                <w:color w:val="auto"/>
              </w:rPr>
            </w:pPr>
          </w:p>
        </w:tc>
      </w:tr>
      <w:tr>
        <w:trPr>
          <w:trHeight w:val="213"/>
        </w:trPr>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3/17/2023</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4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26,667</w:t>
            </w:r>
          </w:p>
        </w:tc>
        <w:tc>
          <w:tcPr>
            <w:tcW w:w="16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1.32</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3/17/2033</w:t>
            </w:r>
          </w:p>
        </w:tc>
        <w:tc>
          <w:tcPr>
            <w:tcW w:w="0" w:type="dxa"/>
            <w:vAlign w:val="bottom"/>
          </w:tcPr>
          <w:p>
            <w:pPr>
              <w:spacing w:after="0"/>
              <w:rPr>
                <w:sz w:val="1"/>
                <w:szCs w:val="1"/>
                <w:color w:val="auto"/>
              </w:rPr>
            </w:pPr>
          </w:p>
        </w:tc>
      </w:tr>
      <w:tr>
        <w:trPr>
          <w:trHeight w:val="213"/>
        </w:trPr>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3/15/2024</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4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12,500</w:t>
            </w:r>
          </w:p>
        </w:tc>
        <w:tc>
          <w:tcPr>
            <w:tcW w:w="16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0.86</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3/15/2034</w:t>
            </w:r>
          </w:p>
        </w:tc>
        <w:tc>
          <w:tcPr>
            <w:tcW w:w="0" w:type="dxa"/>
            <w:vAlign w:val="bottom"/>
          </w:tcPr>
          <w:p>
            <w:pPr>
              <w:spacing w:after="0"/>
              <w:rPr>
                <w:sz w:val="1"/>
                <w:szCs w:val="1"/>
                <w:color w:val="auto"/>
              </w:rPr>
            </w:pPr>
          </w:p>
        </w:tc>
      </w:tr>
      <w:tr>
        <w:trPr>
          <w:trHeight w:val="213"/>
        </w:trPr>
        <w:tc>
          <w:tcPr>
            <w:tcW w:w="1480" w:type="dxa"/>
            <w:vAlign w:val="bottom"/>
          </w:tcPr>
          <w:p>
            <w:pPr>
              <w:spacing w:after="0"/>
              <w:rPr>
                <w:sz w:val="18"/>
                <w:szCs w:val="18"/>
                <w:color w:val="auto"/>
              </w:rPr>
            </w:pPr>
          </w:p>
        </w:tc>
        <w:tc>
          <w:tcPr>
            <w:tcW w:w="16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720" w:type="dxa"/>
            <w:vAlign w:val="bottom"/>
            <w:gridSpan w:val="3"/>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Khursheed Anwer</w:t>
            </w:r>
          </w:p>
        </w:tc>
        <w:tc>
          <w:tcPr>
            <w:tcW w:w="1660" w:type="dxa"/>
            <w:vAlign w:val="bottom"/>
            <w:gridSpan w:val="2"/>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98"/>
              </w:rPr>
              <w:t>10/3/2019</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10/3/2029</w:t>
            </w:r>
          </w:p>
        </w:tc>
        <w:tc>
          <w:tcPr>
            <w:tcW w:w="0" w:type="dxa"/>
            <w:vAlign w:val="bottom"/>
          </w:tcPr>
          <w:p>
            <w:pPr>
              <w:spacing w:after="0"/>
              <w:rPr>
                <w:sz w:val="1"/>
                <w:szCs w:val="1"/>
                <w:color w:val="auto"/>
              </w:rPr>
            </w:pPr>
          </w:p>
        </w:tc>
      </w:tr>
      <w:tr>
        <w:trPr>
          <w:trHeight w:val="213"/>
        </w:trPr>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3/04/2022</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4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20,000</w:t>
            </w:r>
          </w:p>
        </w:tc>
        <w:tc>
          <w:tcPr>
            <w:tcW w:w="16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4.60</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3/04/2032</w:t>
            </w:r>
          </w:p>
        </w:tc>
        <w:tc>
          <w:tcPr>
            <w:tcW w:w="0" w:type="dxa"/>
            <w:vAlign w:val="bottom"/>
          </w:tcPr>
          <w:p>
            <w:pPr>
              <w:spacing w:after="0"/>
              <w:rPr>
                <w:sz w:val="1"/>
                <w:szCs w:val="1"/>
                <w:color w:val="auto"/>
              </w:rPr>
            </w:pPr>
          </w:p>
        </w:tc>
      </w:tr>
      <w:tr>
        <w:trPr>
          <w:trHeight w:val="213"/>
        </w:trPr>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6/13/2022</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4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20,000</w:t>
            </w:r>
          </w:p>
        </w:tc>
        <w:tc>
          <w:tcPr>
            <w:tcW w:w="16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1.93</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6/13/2032</w:t>
            </w:r>
          </w:p>
        </w:tc>
        <w:tc>
          <w:tcPr>
            <w:tcW w:w="0" w:type="dxa"/>
            <w:vAlign w:val="bottom"/>
          </w:tcPr>
          <w:p>
            <w:pPr>
              <w:spacing w:after="0"/>
              <w:rPr>
                <w:sz w:val="1"/>
                <w:szCs w:val="1"/>
                <w:color w:val="auto"/>
              </w:rPr>
            </w:pPr>
          </w:p>
        </w:tc>
      </w:tr>
      <w:tr>
        <w:trPr>
          <w:trHeight w:val="15"/>
        </w:trPr>
        <w:tc>
          <w:tcPr>
            <w:tcW w:w="14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
                <w:szCs w:val="1"/>
                <w:color w:val="auto"/>
              </w:rPr>
              <w:t>3/17/2023</w:t>
            </w:r>
          </w:p>
        </w:tc>
        <w:tc>
          <w:tcPr>
            <w:tcW w:w="2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204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
                <w:szCs w:val="1"/>
                <w:color w:val="auto"/>
              </w:rPr>
              <w:t>26,667</w:t>
            </w:r>
          </w:p>
        </w:tc>
        <w:tc>
          <w:tcPr>
            <w:tcW w:w="16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
                <w:szCs w:val="1"/>
                <w:color w:val="auto"/>
              </w:rPr>
              <w:t>13,333</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
                <w:szCs w:val="1"/>
                <w:color w:val="auto"/>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
                <w:szCs w:val="1"/>
                <w:color w:val="auto"/>
              </w:rPr>
              <w:t>1.32</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
                <w:szCs w:val="1"/>
                <w:color w:val="auto"/>
              </w:rPr>
              <w:t>3/17/2033</w:t>
            </w:r>
          </w:p>
        </w:tc>
        <w:tc>
          <w:tcPr>
            <w:tcW w:w="0" w:type="dxa"/>
            <w:vAlign w:val="bottom"/>
          </w:tcPr>
          <w:p>
            <w:pPr>
              <w:spacing w:after="0" w:line="20" w:lineRule="exact"/>
              <w:rPr>
                <w:sz w:val="1"/>
                <w:szCs w:val="1"/>
                <w:color w:val="auto"/>
              </w:rPr>
            </w:pPr>
          </w:p>
        </w:tc>
      </w:tr>
      <w:tr>
        <w:trPr>
          <w:trHeight w:val="192"/>
        </w:trPr>
        <w:tc>
          <w:tcPr>
            <w:tcW w:w="1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4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jc w:val="center"/>
              <w:spacing w:after="0" w:line="22" w:lineRule="exact"/>
              <w:rPr>
                <w:sz w:val="20"/>
                <w:szCs w:val="20"/>
                <w:color w:val="auto"/>
              </w:rPr>
            </w:pPr>
            <w:r>
              <w:rPr>
                <w:rFonts w:ascii="Times New Roman" w:cs="Times New Roman" w:eastAsia="Times New Roman" w:hAnsi="Times New Roman"/>
                <w:sz w:val="2"/>
                <w:szCs w:val="2"/>
                <w:color w:val="auto"/>
              </w:rPr>
              <w:t>3/15/2024</w:t>
            </w:r>
          </w:p>
        </w:tc>
        <w:tc>
          <w:tcPr>
            <w:tcW w:w="2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2040" w:type="dxa"/>
            <w:vAlign w:val="bottom"/>
            <w:gridSpan w:val="4"/>
            <w:shd w:val="clear" w:color="auto" w:fill="CCEEFF"/>
          </w:tcPr>
          <w:p>
            <w:pPr>
              <w:jc w:val="right"/>
              <w:ind w:right="320"/>
              <w:spacing w:after="0" w:line="22" w:lineRule="exact"/>
              <w:rPr>
                <w:sz w:val="20"/>
                <w:szCs w:val="20"/>
                <w:color w:val="auto"/>
              </w:rPr>
            </w:pPr>
            <w:r>
              <w:rPr>
                <w:rFonts w:ascii="Times New Roman" w:cs="Times New Roman" w:eastAsia="Times New Roman" w:hAnsi="Times New Roman"/>
                <w:sz w:val="2"/>
                <w:szCs w:val="2"/>
                <w:color w:val="auto"/>
              </w:rPr>
              <w:t>12,500</w:t>
            </w:r>
          </w:p>
        </w:tc>
        <w:tc>
          <w:tcPr>
            <w:tcW w:w="1600" w:type="dxa"/>
            <w:vAlign w:val="bottom"/>
            <w:gridSpan w:val="2"/>
            <w:shd w:val="clear" w:color="auto" w:fill="CCEEFF"/>
          </w:tcPr>
          <w:p>
            <w:pPr>
              <w:jc w:val="right"/>
              <w:ind w:right="380"/>
              <w:spacing w:after="0" w:line="22" w:lineRule="exact"/>
              <w:rPr>
                <w:sz w:val="20"/>
                <w:szCs w:val="20"/>
                <w:color w:val="auto"/>
              </w:rPr>
            </w:pPr>
            <w:r>
              <w:rPr>
                <w:rFonts w:ascii="Times New Roman" w:cs="Times New Roman" w:eastAsia="Times New Roman" w:hAnsi="Times New Roman"/>
                <w:sz w:val="2"/>
                <w:szCs w:val="2"/>
                <w:color w:val="auto"/>
              </w:rPr>
              <w:t>12,500</w:t>
            </w:r>
          </w:p>
        </w:tc>
        <w:tc>
          <w:tcPr>
            <w:tcW w:w="260" w:type="dxa"/>
            <w:vAlign w:val="bottom"/>
            <w:shd w:val="clear" w:color="auto" w:fill="CCEEFF"/>
          </w:tcPr>
          <w:p>
            <w:pPr>
              <w:spacing w:after="0" w:line="22" w:lineRule="exact"/>
              <w:rPr>
                <w:sz w:val="20"/>
                <w:szCs w:val="20"/>
                <w:color w:val="auto"/>
              </w:rPr>
            </w:pPr>
            <w:r>
              <w:rPr>
                <w:rFonts w:ascii="Times New Roman" w:cs="Times New Roman" w:eastAsia="Times New Roman" w:hAnsi="Times New Roman"/>
                <w:sz w:val="2"/>
                <w:szCs w:val="2"/>
                <w:color w:val="auto"/>
              </w:rPr>
              <w:t>$</w:t>
            </w:r>
          </w:p>
        </w:tc>
        <w:tc>
          <w:tcPr>
            <w:tcW w:w="1300" w:type="dxa"/>
            <w:vAlign w:val="bottom"/>
            <w:gridSpan w:val="2"/>
            <w:shd w:val="clear" w:color="auto" w:fill="CCEEFF"/>
          </w:tcPr>
          <w:p>
            <w:pPr>
              <w:jc w:val="right"/>
              <w:ind w:right="320"/>
              <w:spacing w:after="0" w:line="22" w:lineRule="exact"/>
              <w:rPr>
                <w:sz w:val="20"/>
                <w:szCs w:val="20"/>
                <w:color w:val="auto"/>
              </w:rPr>
            </w:pPr>
            <w:r>
              <w:rPr>
                <w:rFonts w:ascii="Times New Roman" w:cs="Times New Roman" w:eastAsia="Times New Roman" w:hAnsi="Times New Roman"/>
                <w:sz w:val="2"/>
                <w:szCs w:val="2"/>
                <w:color w:val="auto"/>
              </w:rPr>
              <w:t>0.86</w:t>
            </w:r>
          </w:p>
        </w:tc>
        <w:tc>
          <w:tcPr>
            <w:tcW w:w="1340" w:type="dxa"/>
            <w:vAlign w:val="bottom"/>
            <w:shd w:val="clear" w:color="auto" w:fill="CCEEFF"/>
          </w:tcPr>
          <w:p>
            <w:pPr>
              <w:jc w:val="center"/>
              <w:spacing w:after="0" w:line="22" w:lineRule="exact"/>
              <w:rPr>
                <w:sz w:val="20"/>
                <w:szCs w:val="20"/>
                <w:color w:val="auto"/>
              </w:rPr>
            </w:pPr>
            <w:r>
              <w:rPr>
                <w:rFonts w:ascii="Times New Roman" w:cs="Times New Roman" w:eastAsia="Times New Roman" w:hAnsi="Times New Roman"/>
                <w:sz w:val="2"/>
                <w:szCs w:val="2"/>
                <w:color w:val="auto"/>
              </w:rPr>
              <w:t>3/15/2034</w:t>
            </w:r>
          </w:p>
        </w:tc>
        <w:tc>
          <w:tcPr>
            <w:tcW w:w="0" w:type="dxa"/>
            <w:vAlign w:val="bottom"/>
          </w:tcPr>
          <w:p>
            <w:pPr>
              <w:spacing w:after="0" w:line="20" w:lineRule="exact"/>
              <w:rPr>
                <w:sz w:val="1"/>
                <w:szCs w:val="1"/>
                <w:color w:val="auto"/>
              </w:rPr>
            </w:pPr>
          </w:p>
        </w:tc>
      </w:tr>
      <w:tr>
        <w:trPr>
          <w:trHeight w:val="192"/>
        </w:trPr>
        <w:tc>
          <w:tcPr>
            <w:tcW w:w="1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4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jc w:val="center"/>
              <w:spacing w:after="0" w:line="22" w:lineRule="exact"/>
              <w:rPr>
                <w:sz w:val="20"/>
                <w:szCs w:val="20"/>
                <w:color w:val="auto"/>
              </w:rPr>
            </w:pPr>
            <w:r>
              <w:rPr>
                <w:rFonts w:ascii="Times New Roman" w:cs="Times New Roman" w:eastAsia="Times New Roman" w:hAnsi="Times New Roman"/>
                <w:sz w:val="2"/>
                <w:szCs w:val="2"/>
                <w:color w:val="auto"/>
              </w:rPr>
              <w:t>6/12/2024</w:t>
            </w:r>
          </w:p>
        </w:tc>
        <w:tc>
          <w:tcPr>
            <w:tcW w:w="2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2040" w:type="dxa"/>
            <w:vAlign w:val="bottom"/>
            <w:gridSpan w:val="4"/>
            <w:shd w:val="clear" w:color="auto" w:fill="CCEEFF"/>
          </w:tcPr>
          <w:p>
            <w:pPr>
              <w:jc w:val="right"/>
              <w:ind w:right="320"/>
              <w:spacing w:after="0" w:line="22" w:lineRule="exact"/>
              <w:rPr>
                <w:sz w:val="20"/>
                <w:szCs w:val="20"/>
                <w:color w:val="auto"/>
              </w:rPr>
            </w:pPr>
            <w:r>
              <w:rPr>
                <w:rFonts w:ascii="Times New Roman" w:cs="Times New Roman" w:eastAsia="Times New Roman" w:hAnsi="Times New Roman"/>
                <w:sz w:val="2"/>
                <w:szCs w:val="2"/>
                <w:color w:val="auto"/>
              </w:rPr>
              <w:t>12,500</w:t>
            </w:r>
          </w:p>
        </w:tc>
        <w:tc>
          <w:tcPr>
            <w:tcW w:w="1600" w:type="dxa"/>
            <w:vAlign w:val="bottom"/>
            <w:gridSpan w:val="2"/>
            <w:shd w:val="clear" w:color="auto" w:fill="CCEEFF"/>
          </w:tcPr>
          <w:p>
            <w:pPr>
              <w:jc w:val="right"/>
              <w:ind w:right="380"/>
              <w:spacing w:after="0" w:line="22" w:lineRule="exact"/>
              <w:rPr>
                <w:sz w:val="20"/>
                <w:szCs w:val="20"/>
                <w:color w:val="auto"/>
              </w:rPr>
            </w:pPr>
            <w:r>
              <w:rPr>
                <w:rFonts w:ascii="Times New Roman" w:cs="Times New Roman" w:eastAsia="Times New Roman" w:hAnsi="Times New Roman"/>
                <w:sz w:val="2"/>
                <w:szCs w:val="2"/>
                <w:color w:val="auto"/>
              </w:rPr>
              <w:t>12,500</w:t>
            </w:r>
          </w:p>
        </w:tc>
        <w:tc>
          <w:tcPr>
            <w:tcW w:w="260" w:type="dxa"/>
            <w:vAlign w:val="bottom"/>
            <w:shd w:val="clear" w:color="auto" w:fill="CCEEFF"/>
          </w:tcPr>
          <w:p>
            <w:pPr>
              <w:spacing w:after="0" w:line="22" w:lineRule="exact"/>
              <w:rPr>
                <w:sz w:val="20"/>
                <w:szCs w:val="20"/>
                <w:color w:val="auto"/>
              </w:rPr>
            </w:pPr>
            <w:r>
              <w:rPr>
                <w:rFonts w:ascii="Times New Roman" w:cs="Times New Roman" w:eastAsia="Times New Roman" w:hAnsi="Times New Roman"/>
                <w:sz w:val="2"/>
                <w:szCs w:val="2"/>
                <w:color w:val="auto"/>
              </w:rPr>
              <w:t>$</w:t>
            </w:r>
          </w:p>
        </w:tc>
        <w:tc>
          <w:tcPr>
            <w:tcW w:w="1300" w:type="dxa"/>
            <w:vAlign w:val="bottom"/>
            <w:gridSpan w:val="2"/>
            <w:shd w:val="clear" w:color="auto" w:fill="CCEEFF"/>
          </w:tcPr>
          <w:p>
            <w:pPr>
              <w:jc w:val="right"/>
              <w:ind w:right="320"/>
              <w:spacing w:after="0" w:line="22" w:lineRule="exact"/>
              <w:rPr>
                <w:sz w:val="20"/>
                <w:szCs w:val="20"/>
                <w:color w:val="auto"/>
              </w:rPr>
            </w:pPr>
            <w:r>
              <w:rPr>
                <w:rFonts w:ascii="Times New Roman" w:cs="Times New Roman" w:eastAsia="Times New Roman" w:hAnsi="Times New Roman"/>
                <w:sz w:val="2"/>
                <w:szCs w:val="2"/>
                <w:color w:val="auto"/>
              </w:rPr>
              <w:t>1.22</w:t>
            </w:r>
          </w:p>
        </w:tc>
        <w:tc>
          <w:tcPr>
            <w:tcW w:w="1340" w:type="dxa"/>
            <w:vAlign w:val="bottom"/>
            <w:shd w:val="clear" w:color="auto" w:fill="CCEEFF"/>
          </w:tcPr>
          <w:p>
            <w:pPr>
              <w:jc w:val="center"/>
              <w:spacing w:after="0" w:line="22" w:lineRule="exact"/>
              <w:rPr>
                <w:sz w:val="20"/>
                <w:szCs w:val="20"/>
                <w:color w:val="auto"/>
              </w:rPr>
            </w:pPr>
            <w:r>
              <w:rPr>
                <w:rFonts w:ascii="Times New Roman" w:cs="Times New Roman" w:eastAsia="Times New Roman" w:hAnsi="Times New Roman"/>
                <w:sz w:val="2"/>
                <w:szCs w:val="2"/>
                <w:color w:val="auto"/>
              </w:rPr>
              <w:t>6/12/2034</w:t>
            </w:r>
          </w:p>
        </w:tc>
        <w:tc>
          <w:tcPr>
            <w:tcW w:w="0" w:type="dxa"/>
            <w:vAlign w:val="bottom"/>
          </w:tcPr>
          <w:p>
            <w:pPr>
              <w:spacing w:after="0" w:line="20" w:lineRule="exact"/>
              <w:rPr>
                <w:sz w:val="1"/>
                <w:szCs w:val="1"/>
                <w:color w:val="auto"/>
              </w:rPr>
            </w:pPr>
          </w:p>
        </w:tc>
      </w:tr>
      <w:tr>
        <w:trPr>
          <w:trHeight w:val="192"/>
        </w:trPr>
        <w:tc>
          <w:tcPr>
            <w:tcW w:w="1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4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jc w:val="center"/>
              <w:spacing w:after="0" w:line="22" w:lineRule="exact"/>
              <w:rPr>
                <w:sz w:val="20"/>
                <w:szCs w:val="20"/>
                <w:color w:val="auto"/>
              </w:rPr>
            </w:pPr>
            <w:r>
              <w:rPr>
                <w:rFonts w:ascii="Times New Roman" w:cs="Times New Roman" w:eastAsia="Times New Roman" w:hAnsi="Times New Roman"/>
                <w:sz w:val="2"/>
                <w:szCs w:val="2"/>
                <w:color w:val="auto"/>
              </w:rPr>
              <w:t>9/6/2024</w:t>
            </w:r>
          </w:p>
        </w:tc>
        <w:tc>
          <w:tcPr>
            <w:tcW w:w="2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2040" w:type="dxa"/>
            <w:vAlign w:val="bottom"/>
            <w:gridSpan w:val="4"/>
            <w:shd w:val="clear" w:color="auto" w:fill="CCEEFF"/>
          </w:tcPr>
          <w:p>
            <w:pPr>
              <w:jc w:val="right"/>
              <w:ind w:right="320"/>
              <w:spacing w:after="0" w:line="22" w:lineRule="exact"/>
              <w:rPr>
                <w:sz w:val="20"/>
                <w:szCs w:val="20"/>
                <w:color w:val="auto"/>
              </w:rPr>
            </w:pPr>
            <w:r>
              <w:rPr>
                <w:rFonts w:ascii="Times New Roman" w:cs="Times New Roman" w:eastAsia="Times New Roman" w:hAnsi="Times New Roman"/>
                <w:sz w:val="2"/>
                <w:szCs w:val="2"/>
                <w:color w:val="auto"/>
              </w:rPr>
              <w:t>20,327</w:t>
            </w:r>
          </w:p>
        </w:tc>
        <w:tc>
          <w:tcPr>
            <w:tcW w:w="1600" w:type="dxa"/>
            <w:vAlign w:val="bottom"/>
            <w:gridSpan w:val="2"/>
            <w:shd w:val="clear" w:color="auto" w:fill="CCEEFF"/>
          </w:tcPr>
          <w:p>
            <w:pPr>
              <w:jc w:val="right"/>
              <w:ind w:right="380"/>
              <w:spacing w:after="0" w:line="22" w:lineRule="exact"/>
              <w:rPr>
                <w:sz w:val="20"/>
                <w:szCs w:val="20"/>
                <w:color w:val="auto"/>
              </w:rPr>
            </w:pPr>
            <w:r>
              <w:rPr>
                <w:rFonts w:ascii="Times New Roman" w:cs="Times New Roman" w:eastAsia="Times New Roman" w:hAnsi="Times New Roman"/>
                <w:sz w:val="2"/>
                <w:szCs w:val="2"/>
                <w:color w:val="auto"/>
              </w:rPr>
              <w:t>20,327</w:t>
            </w:r>
          </w:p>
        </w:tc>
        <w:tc>
          <w:tcPr>
            <w:tcW w:w="260" w:type="dxa"/>
            <w:vAlign w:val="bottom"/>
            <w:shd w:val="clear" w:color="auto" w:fill="CCEEFF"/>
          </w:tcPr>
          <w:p>
            <w:pPr>
              <w:spacing w:after="0" w:line="22" w:lineRule="exact"/>
              <w:rPr>
                <w:sz w:val="20"/>
                <w:szCs w:val="20"/>
                <w:color w:val="auto"/>
              </w:rPr>
            </w:pPr>
            <w:r>
              <w:rPr>
                <w:rFonts w:ascii="Times New Roman" w:cs="Times New Roman" w:eastAsia="Times New Roman" w:hAnsi="Times New Roman"/>
                <w:sz w:val="2"/>
                <w:szCs w:val="2"/>
                <w:color w:val="auto"/>
              </w:rPr>
              <w:t>$</w:t>
            </w:r>
          </w:p>
        </w:tc>
        <w:tc>
          <w:tcPr>
            <w:tcW w:w="1300" w:type="dxa"/>
            <w:vAlign w:val="bottom"/>
            <w:gridSpan w:val="2"/>
            <w:shd w:val="clear" w:color="auto" w:fill="CCEEFF"/>
          </w:tcPr>
          <w:p>
            <w:pPr>
              <w:jc w:val="right"/>
              <w:ind w:right="320"/>
              <w:spacing w:after="0" w:line="22" w:lineRule="exact"/>
              <w:rPr>
                <w:sz w:val="20"/>
                <w:szCs w:val="20"/>
                <w:color w:val="auto"/>
              </w:rPr>
            </w:pPr>
            <w:r>
              <w:rPr>
                <w:rFonts w:ascii="Times New Roman" w:cs="Times New Roman" w:eastAsia="Times New Roman" w:hAnsi="Times New Roman"/>
                <w:sz w:val="2"/>
                <w:szCs w:val="2"/>
                <w:color w:val="auto"/>
              </w:rPr>
              <w:t>1.04</w:t>
            </w:r>
          </w:p>
        </w:tc>
        <w:tc>
          <w:tcPr>
            <w:tcW w:w="1340" w:type="dxa"/>
            <w:vAlign w:val="bottom"/>
            <w:shd w:val="clear" w:color="auto" w:fill="CCEEFF"/>
          </w:tcPr>
          <w:p>
            <w:pPr>
              <w:jc w:val="center"/>
              <w:spacing w:after="0" w:line="22" w:lineRule="exact"/>
              <w:rPr>
                <w:sz w:val="20"/>
                <w:szCs w:val="20"/>
                <w:color w:val="auto"/>
              </w:rPr>
            </w:pPr>
            <w:r>
              <w:rPr>
                <w:rFonts w:ascii="Times New Roman" w:cs="Times New Roman" w:eastAsia="Times New Roman" w:hAnsi="Times New Roman"/>
                <w:sz w:val="2"/>
                <w:szCs w:val="2"/>
                <w:color w:val="auto"/>
              </w:rPr>
              <w:t>9/6/2034</w:t>
            </w:r>
          </w:p>
        </w:tc>
        <w:tc>
          <w:tcPr>
            <w:tcW w:w="0" w:type="dxa"/>
            <w:vAlign w:val="bottom"/>
          </w:tcPr>
          <w:p>
            <w:pPr>
              <w:spacing w:after="0" w:line="20" w:lineRule="exact"/>
              <w:rPr>
                <w:sz w:val="1"/>
                <w:szCs w:val="1"/>
                <w:color w:val="auto"/>
              </w:rPr>
            </w:pPr>
          </w:p>
        </w:tc>
      </w:tr>
      <w:tr>
        <w:trPr>
          <w:trHeight w:val="199"/>
        </w:trPr>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320" w:hanging="313"/>
        <w:spacing w:after="0" w:line="258" w:lineRule="auto"/>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these stock option grants vest in three equal installments, with one-third of the grant vesting each immediately, on the first anniversary, and on the second anniversary of the date of grant.</w:t>
      </w:r>
    </w:p>
    <w:p>
      <w:pPr>
        <w:ind w:left="320" w:hanging="313"/>
        <w:spacing w:after="0" w:line="247" w:lineRule="auto"/>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these stock option grants vest one half of the grant vesting on date of grant and one-fourth on the first and second anniversary of the date of grant.</w:t>
      </w:r>
    </w:p>
    <w:p>
      <w:pPr>
        <w:ind w:left="320" w:hanging="313"/>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Lindborg received a restricted stock grant, which vests fully on the first anniversary of date of the grant.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Option Exercises and Stock Vested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2024, none of the Named Executive Officers exercised any of their vested stock options.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4"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color w:val="auto"/>
        </w:rPr>
        <w:t>The following table reports the compensation of our principal executive officer (PEO) and the average compensation of the other named executive officers (Other NEOs) as reported in the Summary Compensation Table for the past three fiscal years, as well as their “compensation actually paid” as calculated pursuant to recently adopted SEC rules and certain performance measures required by the rules, including total stockholder return (“TSR”).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5"/>
              </w:rPr>
              <w:t>Value of</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Summary</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Summary</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Initial</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580" w:type="dxa"/>
            <w:vAlign w:val="bottom"/>
          </w:tcPr>
          <w:p>
            <w:pPr>
              <w:spacing w:after="0"/>
              <w:rPr>
                <w:sz w:val="18"/>
                <w:szCs w:val="18"/>
                <w:color w:val="auto"/>
              </w:rPr>
            </w:pPr>
          </w:p>
        </w:tc>
        <w:tc>
          <w:tcPr>
            <w:tcW w:w="118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color w:val="auto"/>
                <w:w w:val="98"/>
              </w:rPr>
              <w:t>Compensation</w:t>
            </w:r>
          </w:p>
        </w:tc>
        <w:tc>
          <w:tcPr>
            <w:tcW w:w="140" w:type="dxa"/>
            <w:vAlign w:val="bottom"/>
          </w:tcPr>
          <w:p>
            <w:pPr>
              <w:spacing w:after="0"/>
              <w:rPr>
                <w:sz w:val="18"/>
                <w:szCs w:val="18"/>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Summary</w:t>
            </w:r>
          </w:p>
        </w:tc>
        <w:tc>
          <w:tcPr>
            <w:tcW w:w="11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8"/>
              </w:rPr>
              <w:t>Compensation</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Average</w:t>
            </w:r>
          </w:p>
        </w:tc>
        <w:tc>
          <w:tcPr>
            <w:tcW w:w="16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Average</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Fixed</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7"/>
              </w:rPr>
              <w:t>Table (SCT)</w:t>
            </w: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60" w:type="dxa"/>
            <w:vAlign w:val="bottom"/>
          </w:tcPr>
          <w:p>
            <w:pPr>
              <w:spacing w:after="0"/>
              <w:rPr>
                <w:sz w:val="18"/>
                <w:szCs w:val="18"/>
                <w:color w:val="auto"/>
              </w:rPr>
            </w:pPr>
          </w:p>
        </w:tc>
        <w:tc>
          <w:tcPr>
            <w:tcW w:w="10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7"/>
              </w:rPr>
              <w:t>Table (SCT)</w:t>
            </w:r>
          </w:p>
        </w:tc>
        <w:tc>
          <w:tcPr>
            <w:tcW w:w="12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Compensation</w:t>
            </w: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2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Compensation</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SCT</w:t>
            </w: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Total for PEO</w:t>
            </w:r>
          </w:p>
        </w:tc>
        <w:tc>
          <w:tcPr>
            <w:tcW w:w="10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7"/>
              </w:rPr>
              <w:t>Table (SCT)</w:t>
            </w:r>
          </w:p>
        </w:tc>
        <w:tc>
          <w:tcPr>
            <w:tcW w:w="60" w:type="dxa"/>
            <w:vAlign w:val="bottom"/>
          </w:tcPr>
          <w:p>
            <w:pPr>
              <w:spacing w:after="0"/>
              <w:rPr>
                <w:sz w:val="18"/>
                <w:szCs w:val="18"/>
                <w:color w:val="auto"/>
              </w:rPr>
            </w:pPr>
          </w:p>
        </w:tc>
        <w:tc>
          <w:tcPr>
            <w:tcW w:w="10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8"/>
              </w:rPr>
              <w:t>Total for PEO</w:t>
            </w:r>
          </w:p>
        </w:tc>
        <w:tc>
          <w:tcPr>
            <w:tcW w:w="60" w:type="dxa"/>
            <w:vAlign w:val="bottom"/>
          </w:tcPr>
          <w:p>
            <w:pPr>
              <w:spacing w:after="0"/>
              <w:rPr>
                <w:sz w:val="18"/>
                <w:szCs w:val="18"/>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Actually Paid</w:t>
            </w: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Actually Paid</w:t>
            </w:r>
          </w:p>
        </w:tc>
        <w:tc>
          <w:tcPr>
            <w:tcW w:w="60" w:type="dxa"/>
            <w:vAlign w:val="bottom"/>
          </w:tcPr>
          <w:p>
            <w:pPr>
              <w:spacing w:after="0"/>
              <w:rPr>
                <w:sz w:val="18"/>
                <w:szCs w:val="18"/>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Actually Paid</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Total for</w:t>
            </w: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Actual Paid to</w:t>
            </w:r>
          </w:p>
        </w:tc>
        <w:tc>
          <w:tcPr>
            <w:tcW w:w="9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Investment</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760" w:type="dxa"/>
            <w:vAlign w:val="bottom"/>
            <w:gridSpan w:val="3"/>
          </w:tcPr>
          <w:p>
            <w:pPr>
              <w:jc w:val="right"/>
              <w:ind w:right="214"/>
              <w:spacing w:after="0"/>
              <w:rPr>
                <w:sz w:val="20"/>
                <w:szCs w:val="20"/>
                <w:color w:val="auto"/>
              </w:rPr>
            </w:pPr>
            <w:r>
              <w:rPr>
                <w:rFonts w:ascii="Times New Roman" w:cs="Times New Roman" w:eastAsia="Times New Roman" w:hAnsi="Times New Roman"/>
                <w:sz w:val="18"/>
                <w:szCs w:val="18"/>
                <w:color w:val="auto"/>
              </w:rPr>
              <w:t>Year</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2"/>
              </w:rPr>
              <w:t>(Mr.</w:t>
            </w: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for PEO</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4"/>
              </w:rPr>
              <w:t>(Dr.</w:t>
            </w:r>
          </w:p>
        </w:tc>
        <w:tc>
          <w:tcPr>
            <w:tcW w:w="60" w:type="dxa"/>
            <w:vAlign w:val="bottom"/>
          </w:tcPr>
          <w:p>
            <w:pPr>
              <w:spacing w:after="0"/>
              <w:rPr>
                <w:sz w:val="18"/>
                <w:szCs w:val="18"/>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6"/>
              </w:rPr>
              <w:t>to PEO (Mr.</w:t>
            </w:r>
          </w:p>
        </w:tc>
        <w:tc>
          <w:tcPr>
            <w:tcW w:w="8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 PEO (Dr.</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to PEO (Dr.</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8"/>
              </w:rPr>
              <w:t>Other NEOs</w:t>
            </w:r>
          </w:p>
        </w:tc>
        <w:tc>
          <w:tcPr>
            <w:tcW w:w="60" w:type="dxa"/>
            <w:vAlign w:val="bottom"/>
          </w:tcPr>
          <w:p>
            <w:pPr>
              <w:spacing w:after="0"/>
              <w:rPr>
                <w:sz w:val="18"/>
                <w:szCs w:val="18"/>
                <w:color w:val="auto"/>
              </w:rPr>
            </w:pP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Based on</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2"/>
        </w:trPr>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Tardugno)</w:t>
            </w:r>
          </w:p>
        </w:tc>
        <w:tc>
          <w:tcPr>
            <w:tcW w:w="10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8"/>
              </w:rPr>
              <w:t>(Dr. Le Goff)</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Lindborg)</w:t>
            </w:r>
          </w:p>
        </w:tc>
        <w:tc>
          <w:tcPr>
            <w:tcW w:w="60" w:type="dxa"/>
            <w:vAlign w:val="bottom"/>
          </w:tcPr>
          <w:p>
            <w:pPr>
              <w:spacing w:after="0"/>
              <w:rPr>
                <w:sz w:val="20"/>
                <w:szCs w:val="20"/>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Tardugno) (3)</w:t>
            </w: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Le Goff) (3)</w:t>
            </w:r>
          </w:p>
        </w:tc>
        <w:tc>
          <w:tcPr>
            <w:tcW w:w="60" w:type="dxa"/>
            <w:vAlign w:val="bottom"/>
          </w:tcPr>
          <w:p>
            <w:pPr>
              <w:spacing w:after="0"/>
              <w:rPr>
                <w:sz w:val="20"/>
                <w:szCs w:val="20"/>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Lindborg) (3)</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NEOs</w:t>
            </w:r>
          </w:p>
        </w:tc>
        <w:tc>
          <w:tcPr>
            <w:tcW w:w="160" w:type="dxa"/>
            <w:vAlign w:val="bottom"/>
          </w:tcPr>
          <w:p>
            <w:pPr>
              <w:spacing w:after="0"/>
              <w:rPr>
                <w:sz w:val="20"/>
                <w:szCs w:val="20"/>
                <w:color w:val="auto"/>
              </w:rPr>
            </w:pPr>
          </w:p>
        </w:tc>
        <w:tc>
          <w:tcPr>
            <w:tcW w:w="86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gridSpan w:val="4"/>
          </w:tcPr>
          <w:p>
            <w:pPr>
              <w:jc w:val="right"/>
              <w:ind w:right="22"/>
              <w:spacing w:after="0"/>
              <w:rPr>
                <w:sz w:val="20"/>
                <w:szCs w:val="20"/>
                <w:color w:val="auto"/>
              </w:rPr>
            </w:pPr>
            <w:r>
              <w:rPr>
                <w:rFonts w:ascii="Times New Roman" w:cs="Times New Roman" w:eastAsia="Times New Roman" w:hAnsi="Times New Roman"/>
                <w:sz w:val="18"/>
                <w:szCs w:val="18"/>
                <w:color w:val="auto"/>
              </w:rPr>
              <w:t>TSR (4)   Net Loss (5)</w:t>
            </w:r>
          </w:p>
        </w:tc>
      </w:tr>
      <w:tr>
        <w:trPr>
          <w:trHeight w:val="220"/>
        </w:trPr>
        <w:tc>
          <w:tcPr>
            <w:tcW w:w="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2024(a)</w:t>
            </w: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734,810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148,869</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1,189,339</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690,584</w:t>
            </w: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(6,685</w:t>
            </w:r>
          </w:p>
        </w:tc>
        <w:tc>
          <w:tcPr>
            <w:tcW w:w="1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1,129,602</w:t>
            </w:r>
          </w:p>
        </w:tc>
        <w:tc>
          <w:tcPr>
            <w:tcW w:w="1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567,201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684,636</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(18,620,242</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7"/>
        </w:trPr>
        <w:tc>
          <w:tcPr>
            <w:tcW w:w="64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2023(b)</w:t>
            </w: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1,055,814</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910,533</w:t>
            </w: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680,040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612,061</w:t>
            </w: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(19,514,977</w:t>
            </w:r>
          </w:p>
        </w:tc>
        <w:tc>
          <w:tcPr>
            <w:tcW w:w="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7"/>
        </w:trPr>
        <w:tc>
          <w:tcPr>
            <w:tcW w:w="6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2,085,391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883,794</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1,876,247</w:t>
            </w: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755,144</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692,890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695,311</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(35,465,260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22" w:lineRule="exact"/>
        <w:rPr>
          <w:sz w:val="20"/>
          <w:szCs w:val="20"/>
          <w:color w:val="auto"/>
        </w:rPr>
      </w:pPr>
    </w:p>
    <w:p>
      <w:pPr>
        <w:ind w:left="320" w:hanging="313"/>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smaller reporting company and, accordingly, we have not included any information in this table for 2021 or 2020.</w:t>
      </w:r>
    </w:p>
    <w:p>
      <w:pPr>
        <w:spacing w:after="0" w:line="25"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PEOs and Other NEOs for the applicable years were as follows:</w:t>
      </w:r>
    </w:p>
    <w:p>
      <w:pPr>
        <w:spacing w:after="0" w:line="227" w:lineRule="exact"/>
        <w:rPr>
          <w:rFonts w:ascii="Times New Roman" w:cs="Times New Roman" w:eastAsia="Times New Roman" w:hAnsi="Times New Roman"/>
          <w:sz w:val="18"/>
          <w:szCs w:val="18"/>
          <w:color w:val="auto"/>
        </w:rPr>
      </w:pPr>
    </w:p>
    <w:p>
      <w:pPr>
        <w:jc w:val="both"/>
        <w:ind w:left="640" w:right="60" w:hanging="313"/>
        <w:spacing w:after="0" w:line="254" w:lineRule="auto"/>
        <w:tabs>
          <w:tab w:leader="none" w:pos="6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2024: Dr. Le Goff served as the PEO until March 2024, Mr. Tardugno served as the PEO until May 2024, and Dr. Lindborg joined in May 2024 as the PEO. Although Mr. Tardugno was an executive officer but not the PEO for the latter part of 2024, since he served as the PEO for a portion of the year he is not included as an Other NEO for any portion of 2024. Dr. Anwer, Mr. Gaiero and Mr. Church served as the Other NEO’s for 2024.</w:t>
      </w:r>
    </w:p>
    <w:p>
      <w:pPr>
        <w:spacing w:after="0" w:line="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2023: Dr. Le Goff served as the PEO, and Dr. Anwer and Mr. Church as the Other NEO’s for 2023.</w:t>
      </w:r>
    </w:p>
    <w:p>
      <w:pPr>
        <w:spacing w:after="0" w:line="6" w:lineRule="exact"/>
        <w:rPr>
          <w:rFonts w:ascii="Times New Roman" w:cs="Times New Roman" w:eastAsia="Times New Roman" w:hAnsi="Times New Roman"/>
          <w:sz w:val="18"/>
          <w:szCs w:val="18"/>
          <w:color w:val="auto"/>
        </w:rPr>
      </w:pPr>
    </w:p>
    <w:p>
      <w:pPr>
        <w:jc w:val="both"/>
        <w:ind w:left="640" w:right="60" w:hanging="313"/>
        <w:spacing w:after="0" w:line="251" w:lineRule="auto"/>
        <w:tabs>
          <w:tab w:leader="none" w:pos="6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2022: Mr. Tardugno served as the PEO until July 2022 and Dr. Le Goff joined in July 2022 as the PEO, and Dr. Anwer and Dr. Nicholas Borys as the Other NEO’s for 2022. Although Mr. Tardugno was an executive officer but not the PEO for the latter part of 2022, since he served as the PEO for a portion of the year he is not included as an Other NEO for any portion of 2022.</w:t>
      </w:r>
    </w:p>
    <w:p>
      <w:pPr>
        <w:spacing w:after="0" w:line="185" w:lineRule="exact"/>
        <w:rPr>
          <w:rFonts w:ascii="Times New Roman" w:cs="Times New Roman" w:eastAsia="Times New Roman" w:hAnsi="Times New Roman"/>
          <w:sz w:val="18"/>
          <w:szCs w:val="18"/>
          <w:color w:val="auto"/>
        </w:rPr>
      </w:pPr>
    </w:p>
    <w:p>
      <w:pPr>
        <w:ind w:left="320" w:right="60" w:hanging="313"/>
        <w:spacing w:after="0" w:line="277" w:lineRule="auto"/>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2024 Summary Compensation Table totals reported for the PEOs and the average of the Other NEOs for each year were subject to the following adjustments per item 402(v)(2)(iii) of Regulations S-K to calculate “compensation actually paid”: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color w:val="auto"/>
                <w:w w:val="99"/>
              </w:rPr>
              <w:t>2024</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240" w:type="dxa"/>
            <w:vAlign w:val="bottom"/>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2024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color w:val="auto"/>
                <w:w w:val="99"/>
              </w:rPr>
              <w:t>2024</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22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220" w:type="dxa"/>
            <w:vAlign w:val="bottom"/>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tcPr>
          <w:p>
            <w:pPr>
              <w:spacing w:after="0"/>
              <w:rPr>
                <w:sz w:val="20"/>
                <w:szCs w:val="20"/>
                <w:color w:val="auto"/>
              </w:rPr>
            </w:pPr>
          </w:p>
        </w:tc>
      </w:tr>
      <w:tr>
        <w:trPr>
          <w:trHeight w:val="188"/>
        </w:trPr>
        <w:tc>
          <w:tcPr>
            <w:tcW w:w="2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center"/>
              <w:ind w:right="31"/>
              <w:spacing w:after="0" w:line="189" w:lineRule="exact"/>
              <w:rPr>
                <w:sz w:val="20"/>
                <w:szCs w:val="20"/>
                <w:color w:val="auto"/>
              </w:rPr>
            </w:pPr>
            <w:r>
              <w:rPr>
                <w:rFonts w:ascii="Times New Roman" w:cs="Times New Roman" w:eastAsia="Times New Roman" w:hAnsi="Times New Roman"/>
                <w:sz w:val="18"/>
                <w:szCs w:val="18"/>
                <w:color w:val="auto"/>
                <w:w w:val="98"/>
              </w:rPr>
              <w:t>Average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center"/>
              <w:ind w:right="11"/>
              <w:spacing w:after="0" w:line="189" w:lineRule="exact"/>
              <w:rPr>
                <w:sz w:val="20"/>
                <w:szCs w:val="20"/>
                <w:color w:val="auto"/>
              </w:rPr>
            </w:pPr>
            <w:r>
              <w:rPr>
                <w:rFonts w:ascii="Times New Roman" w:cs="Times New Roman" w:eastAsia="Times New Roman" w:hAnsi="Times New Roman"/>
                <w:sz w:val="18"/>
                <w:szCs w:val="18"/>
                <w:color w:val="auto"/>
                <w:w w:val="95"/>
              </w:rPr>
              <w:t>Average</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Average</w:t>
            </w:r>
          </w:p>
        </w:tc>
        <w:tc>
          <w:tcPr>
            <w:tcW w:w="100" w:type="dxa"/>
            <w:vAlign w:val="bottom"/>
          </w:tcPr>
          <w:p>
            <w:pPr>
              <w:spacing w:after="0"/>
              <w:rPr>
                <w:sz w:val="16"/>
                <w:szCs w:val="16"/>
                <w:color w:val="auto"/>
              </w:rPr>
            </w:pPr>
          </w:p>
        </w:tc>
      </w:tr>
      <w:tr>
        <w:trPr>
          <w:trHeight w:val="213"/>
        </w:trPr>
        <w:tc>
          <w:tcPr>
            <w:tcW w:w="2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5"/>
              </w:rPr>
              <w:t>PEO (Mr.</w:t>
            </w:r>
          </w:p>
        </w:tc>
        <w:tc>
          <w:tcPr>
            <w:tcW w:w="9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7"/>
              </w:rPr>
              <w:t>PEO (Dr.</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PEO (Dr.</w:t>
            </w:r>
          </w:p>
        </w:tc>
        <w:tc>
          <w:tcPr>
            <w:tcW w:w="100" w:type="dxa"/>
            <w:vAlign w:val="bottom"/>
          </w:tcPr>
          <w:p>
            <w:pPr>
              <w:spacing w:after="0"/>
              <w:rPr>
                <w:sz w:val="18"/>
                <w:szCs w:val="18"/>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for Other</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for Other</w:t>
            </w: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PEO (Mr.</w:t>
            </w: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PEO (Dr.</w:t>
            </w: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6"/>
              </w:rPr>
              <w:t>for Other</w:t>
            </w:r>
          </w:p>
        </w:tc>
      </w:tr>
      <w:tr>
        <w:trPr>
          <w:trHeight w:val="232"/>
        </w:trPr>
        <w:tc>
          <w:tcPr>
            <w:tcW w:w="2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7"/>
              </w:rPr>
              <w:t>Tardugno)</w:t>
            </w:r>
          </w:p>
        </w:tc>
        <w:tc>
          <w:tcPr>
            <w:tcW w:w="9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7"/>
              </w:rPr>
              <w:t>Le Goff)</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Lindborg)</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NEOs</w:t>
            </w:r>
          </w:p>
        </w:tc>
        <w:tc>
          <w:tcPr>
            <w:tcW w:w="100" w:type="dxa"/>
            <w:vAlign w:val="bottom"/>
          </w:tcPr>
          <w:p>
            <w:pPr>
              <w:spacing w:after="0"/>
              <w:rPr>
                <w:sz w:val="20"/>
                <w:szCs w:val="20"/>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PEO</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5"/>
              </w:rPr>
              <w:t>NEOs</w:t>
            </w: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4"/>
              </w:rPr>
              <w:t>Tardugno)</w:t>
            </w: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Le Goff)</w:t>
            </w:r>
          </w:p>
        </w:tc>
        <w:tc>
          <w:tcPr>
            <w:tcW w:w="80" w:type="dxa"/>
            <w:vAlign w:val="bottom"/>
          </w:tcPr>
          <w:p>
            <w:pPr>
              <w:spacing w:after="0"/>
              <w:rPr>
                <w:sz w:val="20"/>
                <w:szCs w:val="20"/>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NEOs</w:t>
            </w:r>
          </w:p>
        </w:tc>
      </w:tr>
      <w:tr>
        <w:trPr>
          <w:trHeight w:val="175"/>
        </w:trPr>
        <w:tc>
          <w:tcPr>
            <w:tcW w:w="2140" w:type="dxa"/>
            <w:vAlign w:val="bottom"/>
            <w:tcBorders>
              <w:top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Summary Compensation</w:t>
            </w: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2"/>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Table Total</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734,810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148,869</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3"/>
              </w:rPr>
              <w:t>$ 1,189,339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567,201</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1,055,814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680,040</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$ 2,085,391</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9"/>
              </w:rPr>
              <w:t>$ 883,794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692,890</w:t>
            </w:r>
          </w:p>
        </w:tc>
      </w:tr>
      <w:tr>
        <w:trPr>
          <w:trHeight w:val="213"/>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21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Deductions for amounts</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3"/>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 under the “Stock</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Awards” and “Option</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Awards” columns of the</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Summary Compensation</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2"/>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Table(a)</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(213,072)</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(362,141)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90,950</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(107,775)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(83,100)</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(506,500)</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(406,064)</w:t>
            </w:r>
          </w:p>
        </w:tc>
        <w:tc>
          <w:tcPr>
            <w:tcW w:w="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(68,893)</w:t>
            </w:r>
          </w:p>
        </w:tc>
      </w:tr>
      <w:tr>
        <w:trPr>
          <w:trHeight w:val="195"/>
        </w:trPr>
        <w:tc>
          <w:tcPr>
            <w:tcW w:w="21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Increase for the inclusion of</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2"/>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Rule 402(v) Equity Value (a)</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168,846</w:t>
            </w:r>
          </w:p>
        </w:tc>
        <w:tc>
          <w:tcPr>
            <w:tcW w:w="10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(155,554)</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302,404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26,486</w:t>
            </w: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(37,506)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15,120</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297,356</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277,414</w:t>
            </w:r>
          </w:p>
        </w:tc>
        <w:tc>
          <w:tcPr>
            <w:tcW w:w="8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71,314</w:t>
            </w:r>
          </w:p>
        </w:tc>
      </w:tr>
      <w:tr>
        <w:trPr>
          <w:trHeight w:val="213"/>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Actually Paid</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690,584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(6,685)</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3"/>
              </w:rPr>
              <w:t>$ 1,129,602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684,636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910,533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612,061</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$ 1,876,247</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9"/>
              </w:rPr>
              <w:t>$ 755,144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695,311</w:t>
            </w:r>
          </w:p>
        </w:tc>
      </w:tr>
    </w:tbl>
    <w:p>
      <w:pPr>
        <w:spacing w:after="0" w:line="195" w:lineRule="exact"/>
        <w:rPr>
          <w:sz w:val="20"/>
          <w:szCs w:val="20"/>
          <w:color w:val="auto"/>
        </w:rPr>
      </w:pPr>
    </w:p>
    <w:p>
      <w:pPr>
        <w:jc w:val="both"/>
        <w:ind w:left="360" w:right="60" w:hanging="224"/>
        <w:spacing w:after="0" w:line="251" w:lineRule="auto"/>
        <w:tabs>
          <w:tab w:leader="none" w:pos="3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Actually Paid excludes the Stock Awards and Option Awards columns from the relevant fiscal year’s Summary Compensation Table total. The Rule 402(v) Equity Values instead reflect the aggregate of the following components, as applicable: (i) the fair value as of the end of the listed fiscal year of unvested equity awards granted in that year; (ii) the change in fair value during the listed fiscal year of equity awards granted in prior years that remained outstanding and unvested at the end of the listed fiscal year; and (iii) the change in fair value during the listed fiscal year through the vesting date of equity awards granted in prior years that vested during the listed fiscal year, less the fair value at the end of the prior year of awards granted prior to the listed fiscal year that failed to meet applicable vesting conditions during the listed fiscal year. Equity values are calculated in accordance with FASB ASC Topic 718, and the valuation assumptions used to calculate fair values did not materially differ from those disclosed at the time of the grant.</w:t>
      </w:r>
    </w:p>
    <w:p>
      <w:pPr>
        <w:spacing w:after="0" w:line="29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300"/>
          </w:cols>
          <w:pgMar w:left="320" w:top="677" w:right="279" w:bottom="1440" w:gutter="0" w:footer="0" w:header="0"/>
        </w:sectPr>
      </w:pPr>
    </w:p>
    <w:bookmarkStart w:id="31" w:name="page32"/>
    <w:bookmarkEnd w:id="31"/>
    <w:p>
      <w:pPr>
        <w:ind w:left="320" w:hanging="313"/>
        <w:spacing w:after="0" w:line="258" w:lineRule="auto"/>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Measured as the value of a $100 investment in Imunon common stock at market close on December 31, 2021, the last trading day in 2021, through and including the end of the indicated year.</w:t>
      </w:r>
    </w:p>
    <w:p>
      <w:pPr>
        <w:ind w:left="320" w:hanging="313"/>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in accordance with U.S. GAAP.</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Performance Measures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do not currently use financial performance measures to link executive compensation actually paid to our NEOs to our performance. However, as discussed above under “Executive Compensation,” we do utilize non-financial measures such as clinical development progress and timelines, manufacturing measures and progress towards commercialization.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the Information Presented in the Pay Versus Performance Table</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described in more detail above under “Compensation Discussion and Analysis” our executive compensation is designed to (1) attract, motivate and retain talented executives with total compensation that is competitive in our industry; (2) align the interests of our executives and our stockholders; and (3) award behavior which results in optimizing the commercial potential of our development program. We use various performance measures to align executive compensation with our performance which are not presented in the Pay Versus Performance table. In accordance with Item 402(v) of Regulation S-K, we are providing the following description of the relationships between the information presented in the Pay Versus Performance table.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Table Compensation Actually Paid and Cumulative TSR</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amount of compensation actually paid to Dr. Lindborg, Mr. Tardugno and Dr. Le Goff in 2024, Dr. Le Goff in 2023, and Mr. Tardugno and Dr. Le Goff in 2022 is aligned with our TSR over the two years presented in the table, reflecting the impact of (i) the hiring of Dr. Lindborg as President and Chief Executive Officer in 2024 and the termination of Dr. Le Goff in 2024 and cash payments made in connection therewith and (ii) the hiring of Dr. Le Goff as President and Chief Executive Officer and the transition of Mr. Tardugno from those roles to the role of Executive Chairman during 2022 and cash payments made in connection therewith. Notwithstanding those payments, a substantial amount of Dr. Lindborg’s compensation was in the form of stock option awards that vest in four equal installments, with one-fourth of the grant vesting each on the first, second, third and fourth anniversary of the date of grant. A substantial amount of Mr. Tardugno’s compensation was in the form of stock option awards that vest one-half immediately and one-fourth on each of the first and second anniversary of the date of grant. A substantial amount of Dr. Le Goff’s compensation was in the form of stock option awards that vest in three equal installments, with one-third of the grant vesting each on the first, second and third anniversary of the date of grant. As the trading price of our common stock fluctuates so does the value of the stock options and, accordingly, the amount of the compensation actually paid to the PEO.</w:t>
      </w:r>
    </w:p>
    <w:p>
      <w:pPr>
        <w:spacing w:after="0" w:line="19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amount of compensation actually paid to the Other NEOs is aligned with our TSR over the three years presented in the table. A significant portion of the compensation actually paid to the Other NEOs is composed of stock option awards which vest either (i) in three installments, commencing one-third immediately and one-third on each of the first and second anniversary of the date of grant or (iii) one-half immediately and one-fourth on each of the first and second anniversary of the date of grant.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Actually Paid and Net Income</w:t>
      </w:r>
    </w:p>
    <w:p>
      <w:pPr>
        <w:spacing w:after="0" w:line="22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amount of compensation actually paid to Dr. Lindborg, Mr. Tardugno and Dr. Le Goff in 2024, Dr. Le Goff in 2023, and Mr. Tardugno and Dr. Le Goff in 2022 and to the Other NEOs is not aligned with our net income over the three years presented in the table. As a clinical stage biotechnology company, we have incurred substantial operating losses, principally from expenses associated with the Company’s research and development programs, clinical trials conducted in connection with the Company’s drug candidates, and applications and submissions to the U.S. Food and Drug Administration. We have substantial future capital requirements to continue our research and development activities and advance our drug candidates through various development stages. Accordingly, net income is not a performance measure we use in determining executive compensation. As discussed above, under “Compensation Discussion and Analysis,” we use a number of corporate goals that may include research and development, regulatory, manufacturing, organization and financial goals which we believe are important to building stockholder value.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For the year ended December 31, 2024, our net loss was $18.6 million compared to a net loss of $19.5 million for the year ended December 31, 2023.</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 as of December 31,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13"/>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r>
      <w:tr>
        <w:trPr>
          <w:trHeight w:val="213"/>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remaining</w:t>
            </w:r>
          </w:p>
        </w:tc>
      </w:tr>
      <w:tr>
        <w:trPr>
          <w:trHeight w:val="213"/>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available for</w:t>
            </w:r>
          </w:p>
        </w:tc>
      </w:tr>
      <w:tr>
        <w:trPr>
          <w:trHeight w:val="213"/>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securities to be</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future issuance</w:t>
            </w:r>
          </w:p>
        </w:tc>
      </w:tr>
      <w:tr>
        <w:trPr>
          <w:trHeight w:val="213"/>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issued upon</w:t>
            </w:r>
          </w:p>
        </w:tc>
        <w:tc>
          <w:tcPr>
            <w:tcW w:w="160" w:type="dxa"/>
            <w:vAlign w:val="bottom"/>
          </w:tcPr>
          <w:p>
            <w:pPr>
              <w:spacing w:after="0"/>
              <w:rPr>
                <w:sz w:val="18"/>
                <w:szCs w:val="18"/>
                <w:color w:val="auto"/>
              </w:rPr>
            </w:pPr>
          </w:p>
        </w:tc>
        <w:tc>
          <w:tcPr>
            <w:tcW w:w="20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2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under equity</w:t>
            </w:r>
          </w:p>
        </w:tc>
      </w:tr>
      <w:tr>
        <w:trPr>
          <w:trHeight w:val="213"/>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exercise of</w:t>
            </w:r>
          </w:p>
        </w:tc>
        <w:tc>
          <w:tcPr>
            <w:tcW w:w="160" w:type="dxa"/>
            <w:vAlign w:val="bottom"/>
          </w:tcPr>
          <w:p>
            <w:pPr>
              <w:spacing w:after="0"/>
              <w:rPr>
                <w:sz w:val="18"/>
                <w:szCs w:val="18"/>
                <w:color w:val="auto"/>
              </w:rPr>
            </w:pPr>
          </w:p>
        </w:tc>
        <w:tc>
          <w:tcPr>
            <w:tcW w:w="20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7"/>
              </w:rPr>
              <w:t>exercise price</w:t>
            </w:r>
          </w:p>
        </w:tc>
        <w:tc>
          <w:tcPr>
            <w:tcW w:w="2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compensation</w:t>
            </w:r>
          </w:p>
        </w:tc>
      </w:tr>
      <w:tr>
        <w:trPr>
          <w:trHeight w:val="213"/>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160" w:type="dxa"/>
            <w:vAlign w:val="bottom"/>
          </w:tcPr>
          <w:p>
            <w:pPr>
              <w:spacing w:after="0"/>
              <w:rPr>
                <w:sz w:val="18"/>
                <w:szCs w:val="18"/>
                <w:color w:val="auto"/>
              </w:rPr>
            </w:pPr>
          </w:p>
        </w:tc>
        <w:tc>
          <w:tcPr>
            <w:tcW w:w="20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of outstanding</w:t>
            </w:r>
          </w:p>
        </w:tc>
        <w:tc>
          <w:tcPr>
            <w:tcW w:w="2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plans (excluding</w:t>
            </w:r>
          </w:p>
        </w:tc>
      </w:tr>
      <w:tr>
        <w:trPr>
          <w:trHeight w:val="213"/>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options, warrants</w:t>
            </w:r>
          </w:p>
        </w:tc>
        <w:tc>
          <w:tcPr>
            <w:tcW w:w="160" w:type="dxa"/>
            <w:vAlign w:val="bottom"/>
          </w:tcPr>
          <w:p>
            <w:pPr>
              <w:spacing w:after="0"/>
              <w:rPr>
                <w:sz w:val="18"/>
                <w:szCs w:val="18"/>
                <w:color w:val="auto"/>
              </w:rPr>
            </w:pPr>
          </w:p>
        </w:tc>
        <w:tc>
          <w:tcPr>
            <w:tcW w:w="20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options, warrants</w:t>
            </w:r>
          </w:p>
        </w:tc>
        <w:tc>
          <w:tcPr>
            <w:tcW w:w="2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securities reflected</w:t>
            </w:r>
          </w:p>
        </w:tc>
      </w:tr>
      <w:tr>
        <w:trPr>
          <w:trHeight w:val="23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and rights</w:t>
            </w:r>
          </w:p>
        </w:tc>
        <w:tc>
          <w:tcPr>
            <w:tcW w:w="160" w:type="dxa"/>
            <w:vAlign w:val="bottom"/>
          </w:tcPr>
          <w:p>
            <w:pPr>
              <w:spacing w:after="0"/>
              <w:rPr>
                <w:sz w:val="20"/>
                <w:szCs w:val="20"/>
                <w:color w:val="auto"/>
              </w:rPr>
            </w:pPr>
          </w:p>
        </w:tc>
        <w:tc>
          <w:tcPr>
            <w:tcW w:w="20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and rights (1)</w:t>
            </w:r>
          </w:p>
        </w:tc>
        <w:tc>
          <w:tcPr>
            <w:tcW w:w="2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 first column)</w:t>
            </w:r>
          </w:p>
        </w:tc>
      </w:tr>
      <w:tr>
        <w:trPr>
          <w:trHeight w:val="207"/>
        </w:trPr>
        <w:tc>
          <w:tcPr>
            <w:tcW w:w="44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254"/>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securityholders</w:t>
            </w:r>
          </w:p>
        </w:tc>
        <w:tc>
          <w:tcPr>
            <w:tcW w:w="2340" w:type="dxa"/>
            <w:vAlign w:val="bottom"/>
            <w:gridSpan w:val="2"/>
            <w:shd w:val="clear" w:color="auto" w:fill="CCEEFF"/>
          </w:tcPr>
          <w:p>
            <w:pPr>
              <w:jc w:val="right"/>
              <w:ind w:right="280"/>
              <w:spacing w:after="0" w:line="253" w:lineRule="exact"/>
              <w:rPr>
                <w:sz w:val="20"/>
                <w:szCs w:val="20"/>
                <w:color w:val="auto"/>
              </w:rPr>
            </w:pPr>
            <w:r>
              <w:rPr>
                <w:rFonts w:ascii="Times New Roman" w:cs="Times New Roman" w:eastAsia="Times New Roman" w:hAnsi="Times New Roman"/>
                <w:sz w:val="18"/>
                <w:szCs w:val="18"/>
                <w:color w:val="auto"/>
              </w:rPr>
              <w:t>1,555,073</w:t>
            </w:r>
            <w:r>
              <w:rPr>
                <w:rFonts w:ascii="Times New Roman" w:cs="Times New Roman" w:eastAsia="Times New Roman" w:hAnsi="Times New Roman"/>
                <w:sz w:val="29"/>
                <w:szCs w:val="29"/>
                <w:color w:val="auto"/>
                <w:vertAlign w:val="superscript"/>
              </w:rPr>
              <w:t>(2)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2.03</w:t>
            </w:r>
          </w:p>
        </w:tc>
        <w:tc>
          <w:tcPr>
            <w:tcW w:w="2100" w:type="dxa"/>
            <w:vAlign w:val="bottom"/>
            <w:gridSpan w:val="2"/>
            <w:shd w:val="clear" w:color="auto" w:fill="CCEEFF"/>
          </w:tcPr>
          <w:p>
            <w:pPr>
              <w:jc w:val="right"/>
              <w:ind w:right="60"/>
              <w:spacing w:after="0" w:line="253" w:lineRule="exact"/>
              <w:rPr>
                <w:sz w:val="20"/>
                <w:szCs w:val="20"/>
                <w:color w:val="auto"/>
              </w:rPr>
            </w:pPr>
            <w:r>
              <w:rPr>
                <w:rFonts w:ascii="Times New Roman" w:cs="Times New Roman" w:eastAsia="Times New Roman" w:hAnsi="Times New Roman"/>
                <w:sz w:val="18"/>
                <w:szCs w:val="18"/>
                <w:color w:val="auto"/>
              </w:rPr>
              <w:t>420,000</w:t>
            </w:r>
            <w:r>
              <w:rPr>
                <w:rFonts w:ascii="Times New Roman" w:cs="Times New Roman" w:eastAsia="Times New Roman" w:hAnsi="Times New Roman"/>
                <w:sz w:val="29"/>
                <w:szCs w:val="29"/>
                <w:color w:val="auto"/>
                <w:vertAlign w:val="superscript"/>
              </w:rPr>
              <w:t>(3)</w:t>
            </w:r>
          </w:p>
        </w:tc>
      </w:tr>
      <w:tr>
        <w:trPr>
          <w:trHeight w:val="254"/>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securityholders</w:t>
            </w:r>
          </w:p>
        </w:tc>
        <w:tc>
          <w:tcPr>
            <w:tcW w:w="2340" w:type="dxa"/>
            <w:vAlign w:val="bottom"/>
            <w:gridSpan w:val="2"/>
          </w:tcPr>
          <w:p>
            <w:pPr>
              <w:jc w:val="right"/>
              <w:ind w:right="280"/>
              <w:spacing w:after="0" w:line="253" w:lineRule="exact"/>
              <w:rPr>
                <w:sz w:val="20"/>
                <w:szCs w:val="20"/>
                <w:color w:val="auto"/>
              </w:rPr>
            </w:pPr>
            <w:r>
              <w:rPr>
                <w:rFonts w:ascii="Times New Roman" w:cs="Times New Roman" w:eastAsia="Times New Roman" w:hAnsi="Times New Roman"/>
                <w:sz w:val="18"/>
                <w:szCs w:val="18"/>
                <w:color w:val="auto"/>
              </w:rPr>
              <w:t>130,500</w:t>
            </w:r>
            <w:r>
              <w:rPr>
                <w:rFonts w:ascii="Times New Roman" w:cs="Times New Roman" w:eastAsia="Times New Roman" w:hAnsi="Times New Roman"/>
                <w:sz w:val="29"/>
                <w:szCs w:val="29"/>
                <w:color w:val="auto"/>
                <w:vertAlign w:val="superscript"/>
              </w:rPr>
              <w:t>(4)</w:t>
            </w:r>
          </w:p>
        </w:tc>
        <w:tc>
          <w:tcPr>
            <w:tcW w:w="160" w:type="dxa"/>
            <w:vAlign w:val="bottom"/>
          </w:tcPr>
          <w:p>
            <w:pPr>
              <w:spacing w:after="0"/>
              <w:rPr>
                <w:sz w:val="22"/>
                <w:szCs w:val="22"/>
                <w:color w:val="auto"/>
              </w:rPr>
            </w:pP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1.07</w:t>
            </w:r>
          </w:p>
        </w:tc>
        <w:tc>
          <w:tcPr>
            <w:tcW w:w="2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07"/>
        </w:trPr>
        <w:tc>
          <w:tcPr>
            <w:tcW w:w="4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1,685,573</w:t>
            </w:r>
          </w:p>
        </w:tc>
        <w:tc>
          <w:tcPr>
            <w:tcW w:w="4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420,000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4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5" w:lineRule="exact"/>
        <w:rPr>
          <w:sz w:val="20"/>
          <w:szCs w:val="20"/>
          <w:color w:val="auto"/>
        </w:rPr>
      </w:pPr>
    </w:p>
    <w:p>
      <w:pPr>
        <w:ind w:left="320" w:hanging="313"/>
        <w:spacing w:after="0" w:line="277" w:lineRule="auto"/>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weighted average exercise price of outstanding stock options and does not take into account restricted stock awards, which do not have an exercise price.</w:t>
      </w:r>
    </w:p>
    <w:p>
      <w:pPr>
        <w:spacing w:after="0" w:line="162"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both vested and unvested options to purchase common stock and unvested stock grants under the 2018 Plan. These awards have a weighted average remaining term of 8.7 years.</w:t>
      </w:r>
    </w:p>
    <w:p>
      <w:pPr>
        <w:spacing w:after="0" w:line="162" w:lineRule="exact"/>
        <w:rPr>
          <w:rFonts w:ascii="Times New Roman" w:cs="Times New Roman" w:eastAsia="Times New Roman" w:hAnsi="Times New Roman"/>
          <w:sz w:val="18"/>
          <w:szCs w:val="18"/>
          <w:color w:val="auto"/>
        </w:rPr>
      </w:pPr>
    </w:p>
    <w:p>
      <w:pPr>
        <w:jc w:val="both"/>
        <w:ind w:left="320" w:hanging="313"/>
        <w:spacing w:after="0" w:line="262" w:lineRule="auto"/>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available for award grant purposes under the 2018 Plan. Subject to certain express limits of the plan, shares available under the plan generally may be used for any type of award authorized under that plan including options, stock appreciation rights, restricted stock and other forms of awards granted or denominated in shares of our common stock or units of our common stock.</w:t>
      </w:r>
    </w:p>
    <w:p>
      <w:pPr>
        <w:spacing w:after="0" w:line="176" w:lineRule="exact"/>
        <w:rPr>
          <w:rFonts w:ascii="Times New Roman" w:cs="Times New Roman" w:eastAsia="Times New Roman" w:hAnsi="Times New Roman"/>
          <w:sz w:val="18"/>
          <w:szCs w:val="18"/>
          <w:color w:val="auto"/>
        </w:rPr>
      </w:pPr>
    </w:p>
    <w:p>
      <w:pPr>
        <w:jc w:val="both"/>
        <w:ind w:left="320" w:hanging="313"/>
        <w:spacing w:after="0" w:line="262" w:lineRule="auto"/>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both vested and unvested options to purchase common stock and unvested stock grants under inducement grants provided certain employees as an inducement to accept employment with the Company. These awards have a weighted average remaining term of 9.5 years. These grants are similar to those granted under the 2018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Non-Employee Director Compensation Table</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table sets forth the cash and non-cash compensation paid to the Company’s directors who were not employed by the Company or any of its subsidiaries (“Non-Employee Directors”) for the year ended December 31, 2024. Other than as set forth in the table, we did not pay any compensation, make any equity awards or non-equity awards to, or pay any other compensation to any of the Non-Employee Directors in 2024. The compensation paid to any director who was also one of our employees during fiscal year 2024 is presented in the “2024 Summary Compensation Table” and the information that follows that table. Such employee directors did not receive separate compensation for their service on the Board of Directors or any of its Committees (other than Dr. Lindborg prior to her appointment as CEO and President of the Company as described in Footnote (1) below).</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13"/>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center"/>
              <w:ind w:left="391"/>
              <w:spacing w:after="0"/>
              <w:rPr>
                <w:sz w:val="20"/>
                <w:szCs w:val="20"/>
                <w:color w:val="auto"/>
              </w:rPr>
            </w:pPr>
            <w:r>
              <w:rPr>
                <w:rFonts w:ascii="Times New Roman" w:cs="Times New Roman" w:eastAsia="Times New Roman" w:hAnsi="Times New Roman"/>
                <w:sz w:val="18"/>
                <w:szCs w:val="18"/>
                <w:b w:val="1"/>
                <w:bCs w:val="1"/>
                <w:color w:val="auto"/>
                <w:w w:val="98"/>
              </w:rPr>
              <w:t>Fees Earned</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4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200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(1)</w:t>
            </w:r>
          </w:p>
        </w:tc>
        <w:tc>
          <w:tcPr>
            <w:tcW w:w="142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jc w:val="right"/>
              <w:ind w:right="651"/>
              <w:spacing w:after="0"/>
              <w:rPr>
                <w:sz w:val="20"/>
                <w:szCs w:val="20"/>
                <w:color w:val="auto"/>
              </w:rPr>
            </w:pPr>
            <w:r>
              <w:rPr>
                <w:rFonts w:ascii="Times New Roman" w:cs="Times New Roman" w:eastAsia="Times New Roman" w:hAnsi="Times New Roman"/>
                <w:sz w:val="18"/>
                <w:szCs w:val="18"/>
                <w:b w:val="1"/>
                <w:bCs w:val="1"/>
                <w:color w:val="auto"/>
              </w:rPr>
              <w:t>($) (2)</w:t>
            </w:r>
          </w:p>
        </w:tc>
        <w:tc>
          <w:tcPr>
            <w:tcW w:w="320" w:type="dxa"/>
            <w:vAlign w:val="bottom"/>
          </w:tcPr>
          <w:p>
            <w:pPr>
              <w:spacing w:after="0"/>
              <w:rPr>
                <w:sz w:val="20"/>
                <w:szCs w:val="20"/>
                <w:color w:val="auto"/>
              </w:rPr>
            </w:pPr>
          </w:p>
        </w:tc>
        <w:tc>
          <w:tcPr>
            <w:tcW w:w="1900" w:type="dxa"/>
            <w:vAlign w:val="bottom"/>
          </w:tcPr>
          <w:p>
            <w:pPr>
              <w:jc w:val="right"/>
              <w:ind w:right="75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07"/>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E. Dentzer</w:t>
            </w:r>
          </w:p>
        </w:tc>
        <w:tc>
          <w:tcPr>
            <w:tcW w:w="24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51,839</w:t>
            </w:r>
          </w:p>
        </w:tc>
        <w:tc>
          <w:tcPr>
            <w:tcW w:w="340" w:type="dxa"/>
            <w:vAlign w:val="bottom"/>
            <w:tcBorders>
              <w:top w:val="single" w:sz="8" w:color="CCEEFF"/>
            </w:tcBorders>
            <w:shd w:val="clear" w:color="auto" w:fill="CCEEFF"/>
          </w:tcPr>
          <w:p>
            <w:pPr>
              <w:spacing w:after="0"/>
              <w:rPr>
                <w:sz w:val="17"/>
                <w:szCs w:val="17"/>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12,144</w:t>
            </w:r>
          </w:p>
        </w:tc>
        <w:tc>
          <w:tcPr>
            <w:tcW w:w="32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63,983</w:t>
            </w:r>
          </w:p>
        </w:tc>
        <w:tc>
          <w:tcPr>
            <w:tcW w:w="100" w:type="dxa"/>
            <w:vAlign w:val="bottom"/>
            <w:tcBorders>
              <w:top w:val="single" w:sz="8" w:color="CCEEFF"/>
            </w:tcBorders>
            <w:shd w:val="clear" w:color="auto" w:fill="CCEEFF"/>
          </w:tcPr>
          <w:p>
            <w:pPr>
              <w:spacing w:after="0"/>
              <w:rPr>
                <w:sz w:val="17"/>
                <w:szCs w:val="17"/>
                <w:color w:val="auto"/>
              </w:rPr>
            </w:pPr>
          </w:p>
        </w:tc>
      </w:tr>
      <w:tr>
        <w:trPr>
          <w:trHeight w:val="213"/>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Frederick J. Fritz</w:t>
            </w:r>
          </w:p>
        </w:tc>
        <w:tc>
          <w:tcPr>
            <w:tcW w:w="14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6"/>
              </w:rPr>
              <w:t>93,419</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13,309</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106,728</w:t>
            </w:r>
          </w:p>
        </w:tc>
      </w:tr>
      <w:tr>
        <w:trPr>
          <w:trHeight w:val="213"/>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Donald P. Braun</w:t>
            </w:r>
          </w:p>
        </w:tc>
        <w:tc>
          <w:tcPr>
            <w:tcW w:w="1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6"/>
              </w:rPr>
              <w:t>58,949</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12.651</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71,600</w:t>
            </w:r>
          </w:p>
        </w:tc>
      </w:tr>
      <w:tr>
        <w:trPr>
          <w:trHeight w:val="232"/>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Christine A. Pellizzari</w:t>
            </w:r>
          </w:p>
        </w:tc>
        <w:tc>
          <w:tcPr>
            <w:tcW w:w="1420" w:type="dxa"/>
            <w:vAlign w:val="bottom"/>
          </w:tcPr>
          <w:p>
            <w:pPr>
              <w:spacing w:after="0"/>
              <w:rPr>
                <w:sz w:val="20"/>
                <w:szCs w:val="20"/>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6"/>
              </w:rPr>
              <w:t>41,039</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13,456</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54,495</w:t>
            </w:r>
          </w:p>
        </w:tc>
      </w:tr>
    </w:tbl>
    <w:p>
      <w:pPr>
        <w:spacing w:after="0" w:line="176" w:lineRule="exact"/>
        <w:rPr>
          <w:sz w:val="20"/>
          <w:szCs w:val="20"/>
          <w:color w:val="auto"/>
        </w:rPr>
      </w:pPr>
    </w:p>
    <w:p>
      <w:pPr>
        <w:jc w:val="both"/>
        <w:ind w:left="400" w:hanging="393"/>
        <w:spacing w:after="0" w:line="262" w:lineRule="auto"/>
        <w:tabs>
          <w:tab w:leader="none" w:pos="4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Lindborg did not participate in the non-employee director compensation program following her appointment as CEO and President of the Company. The compensation received by Dr. Lindborg during 2024, including the compensation received solely for her service as a non-employee director, is reported in the Summary Compensation Table above.</w:t>
      </w:r>
    </w:p>
    <w:p>
      <w:pPr>
        <w:spacing w:after="0" w:line="176" w:lineRule="exact"/>
        <w:rPr>
          <w:rFonts w:ascii="Times New Roman" w:cs="Times New Roman" w:eastAsia="Times New Roman" w:hAnsi="Times New Roman"/>
          <w:sz w:val="18"/>
          <w:szCs w:val="18"/>
          <w:color w:val="auto"/>
        </w:rPr>
      </w:pPr>
    </w:p>
    <w:p>
      <w:pPr>
        <w:jc w:val="both"/>
        <w:ind w:left="320" w:hanging="313"/>
        <w:spacing w:after="0" w:line="277" w:lineRule="auto"/>
        <w:tabs>
          <w:tab w:leader="none" w:pos="3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value reported for Option Awards is the aggregate grant date fair value of stock options granted to each Director in 2024, determined in accordance with FASB ASC Topic 718. The assumptions for making the valuation determinations are set forth in Note 11 to our financial statements included in our Annual Report on Form 10-K for the year ended December 31, 2024. As of December 31, 2024, Mr. Dentzer had 17,301 option awards outstanding; Mr. Fritz had 32,070 option awards outstanding; Dr. Braun had 28,905 option awards outstanding; and Ms. Pellizzari had 23,630 option awards outstanding.</w:t>
      </w:r>
    </w:p>
    <w:p>
      <w:pPr>
        <w:spacing w:after="0" w:line="16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following table sets forth stock option grants awarded to the Company’s Non-Employee Directors for the year ended December 31, 2024. Employee directors do not receive separate equity awards for service on the Board of Directors or any of the Board committees. Dr. Lindborg did not participate in the non-employee director compensation program following her appointment as CEO and President of the Company. Equity awards received by Dr. Lindborg during 2024 for her service as a non-employee director are reported in the Summary Compensation Table above.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80" w:type="dxa"/>
            <w:vAlign w:val="bottom"/>
            <w:tcBorders>
              <w:bottom w:val="single" w:sz="8" w:color="auto"/>
            </w:tcBorders>
            <w:gridSpan w:val="7"/>
          </w:tcPr>
          <w:p>
            <w:pPr>
              <w:ind w:left="140"/>
              <w:spacing w:after="0"/>
              <w:rPr>
                <w:sz w:val="20"/>
                <w:szCs w:val="20"/>
                <w:color w:val="auto"/>
              </w:rPr>
            </w:pPr>
            <w:r>
              <w:rPr>
                <w:rFonts w:ascii="Times New Roman" w:cs="Times New Roman" w:eastAsia="Times New Roman" w:hAnsi="Times New Roman"/>
                <w:sz w:val="18"/>
                <w:szCs w:val="18"/>
                <w:b w:val="1"/>
                <w:bCs w:val="1"/>
                <w:color w:val="auto"/>
              </w:rPr>
              <w:t>Non-Employee Director Stock Option and Grant Awards Table</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c>
          <w:tcPr>
            <w:tcW w:w="0" w:type="dxa"/>
            <w:vAlign w:val="bottom"/>
          </w:tcPr>
          <w:p>
            <w:pPr>
              <w:spacing w:after="0"/>
              <w:rPr>
                <w:sz w:val="1"/>
                <w:szCs w:val="1"/>
                <w:color w:val="auto"/>
              </w:rPr>
            </w:pPr>
          </w:p>
        </w:tc>
      </w:tr>
      <w:tr>
        <w:trPr>
          <w:trHeight w:val="184"/>
        </w:trPr>
        <w:tc>
          <w:tcPr>
            <w:tcW w:w="2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Options Granted</w:t>
            </w:r>
          </w:p>
        </w:tc>
        <w:tc>
          <w:tcPr>
            <w:tcW w:w="14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36"/>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00" w:type="dxa"/>
            <w:vAlign w:val="bottom"/>
            <w:gridSpan w:val="2"/>
          </w:tcPr>
          <w:p>
            <w:pPr>
              <w:jc w:val="center"/>
              <w:ind w:left="51"/>
              <w:spacing w:after="0"/>
              <w:rPr>
                <w:sz w:val="20"/>
                <w:szCs w:val="20"/>
                <w:color w:val="auto"/>
              </w:rPr>
            </w:pPr>
            <w:r>
              <w:rPr>
                <w:rFonts w:ascii="Times New Roman" w:cs="Times New Roman" w:eastAsia="Times New Roman" w:hAnsi="Times New Roman"/>
                <w:sz w:val="18"/>
                <w:szCs w:val="18"/>
                <w:b w:val="1"/>
                <w:bCs w:val="1"/>
                <w:color w:val="auto"/>
                <w:w w:val="98"/>
              </w:rPr>
              <w:t>(#) (1)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16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200" w:type="dxa"/>
            <w:vAlign w:val="bottom"/>
          </w:tcPr>
          <w:p>
            <w:pPr>
              <w:spacing w:after="0"/>
              <w:rPr>
                <w:sz w:val="20"/>
                <w:szCs w:val="20"/>
                <w:color w:val="auto"/>
              </w:rPr>
            </w:pPr>
          </w:p>
        </w:tc>
        <w:tc>
          <w:tcPr>
            <w:tcW w:w="126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E. Dentzer</w:t>
            </w:r>
          </w:p>
        </w:tc>
        <w:tc>
          <w:tcPr>
            <w:tcW w:w="18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0.86</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3/15/2024</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3/15/2034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0.79</w:t>
            </w:r>
          </w:p>
        </w:tc>
        <w:tc>
          <w:tcPr>
            <w:tcW w:w="0" w:type="dxa"/>
            <w:vAlign w:val="bottom"/>
          </w:tcPr>
          <w:p>
            <w:pPr>
              <w:spacing w:after="0"/>
              <w:rPr>
                <w:sz w:val="1"/>
                <w:szCs w:val="1"/>
                <w:color w:val="auto"/>
              </w:rPr>
            </w:pPr>
          </w:p>
        </w:tc>
      </w:tr>
      <w:tr>
        <w:trPr>
          <w:trHeight w:val="213"/>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1.22</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6/12/2024</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6/12/2034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3"/>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3,634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1.04</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9/6/2024</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9/6/2034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0.99</w:t>
            </w:r>
          </w:p>
        </w:tc>
        <w:tc>
          <w:tcPr>
            <w:tcW w:w="0" w:type="dxa"/>
            <w:vAlign w:val="bottom"/>
          </w:tcPr>
          <w:p>
            <w:pPr>
              <w:spacing w:after="0"/>
              <w:rPr>
                <w:sz w:val="1"/>
                <w:szCs w:val="1"/>
                <w:color w:val="auto"/>
              </w:rPr>
            </w:pPr>
          </w:p>
        </w:tc>
      </w:tr>
      <w:tr>
        <w:trPr>
          <w:trHeight w:val="213"/>
        </w:trPr>
        <w:tc>
          <w:tcPr>
            <w:tcW w:w="2820" w:type="dxa"/>
            <w:vAlign w:val="bottom"/>
          </w:tcPr>
          <w:p>
            <w:pPr>
              <w:spacing w:after="0"/>
              <w:rPr>
                <w:sz w:val="18"/>
                <w:szCs w:val="18"/>
                <w:color w:val="auto"/>
              </w:rPr>
            </w:pPr>
          </w:p>
        </w:tc>
        <w:tc>
          <w:tcPr>
            <w:tcW w:w="16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Frederick J. Fritz</w:t>
            </w:r>
          </w:p>
        </w:tc>
        <w:tc>
          <w:tcPr>
            <w:tcW w:w="18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0.86</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3/15/2024</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3/15/2034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0.79</w:t>
            </w:r>
          </w:p>
        </w:tc>
        <w:tc>
          <w:tcPr>
            <w:tcW w:w="0" w:type="dxa"/>
            <w:vAlign w:val="bottom"/>
          </w:tcPr>
          <w:p>
            <w:pPr>
              <w:spacing w:after="0"/>
              <w:rPr>
                <w:sz w:val="1"/>
                <w:szCs w:val="1"/>
                <w:color w:val="auto"/>
              </w:rPr>
            </w:pPr>
          </w:p>
        </w:tc>
      </w:tr>
      <w:tr>
        <w:trPr>
          <w:trHeight w:val="213"/>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1.22</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6/12/2024</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6/12/2034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3"/>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6,737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1.04</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9/6/2024</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9/6/2034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0.99</w:t>
            </w:r>
          </w:p>
        </w:tc>
        <w:tc>
          <w:tcPr>
            <w:tcW w:w="0" w:type="dxa"/>
            <w:vAlign w:val="bottom"/>
          </w:tcPr>
          <w:p>
            <w:pPr>
              <w:spacing w:after="0"/>
              <w:rPr>
                <w:sz w:val="1"/>
                <w:szCs w:val="1"/>
                <w:color w:val="auto"/>
              </w:rPr>
            </w:pPr>
          </w:p>
        </w:tc>
      </w:tr>
      <w:tr>
        <w:trPr>
          <w:trHeight w:val="213"/>
        </w:trPr>
        <w:tc>
          <w:tcPr>
            <w:tcW w:w="2820" w:type="dxa"/>
            <w:vAlign w:val="bottom"/>
          </w:tcPr>
          <w:p>
            <w:pPr>
              <w:spacing w:after="0"/>
              <w:rPr>
                <w:sz w:val="18"/>
                <w:szCs w:val="18"/>
                <w:color w:val="auto"/>
              </w:rPr>
            </w:pPr>
          </w:p>
        </w:tc>
        <w:tc>
          <w:tcPr>
            <w:tcW w:w="16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Donald P. Braun</w:t>
            </w:r>
          </w:p>
        </w:tc>
        <w:tc>
          <w:tcPr>
            <w:tcW w:w="18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0.86</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3/15/2024</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3/15/2034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0.79</w:t>
            </w:r>
          </w:p>
        </w:tc>
        <w:tc>
          <w:tcPr>
            <w:tcW w:w="0" w:type="dxa"/>
            <w:vAlign w:val="bottom"/>
          </w:tcPr>
          <w:p>
            <w:pPr>
              <w:spacing w:after="0"/>
              <w:rPr>
                <w:sz w:val="1"/>
                <w:szCs w:val="1"/>
                <w:color w:val="auto"/>
              </w:rPr>
            </w:pPr>
          </w:p>
        </w:tc>
      </w:tr>
      <w:tr>
        <w:trPr>
          <w:trHeight w:val="213"/>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1.22</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6/12/2024</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6/12/2034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3"/>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6,072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1.04</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9/6/2024</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9/6/2034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0.99</w:t>
            </w:r>
          </w:p>
        </w:tc>
        <w:tc>
          <w:tcPr>
            <w:tcW w:w="0" w:type="dxa"/>
            <w:vAlign w:val="bottom"/>
          </w:tcPr>
          <w:p>
            <w:pPr>
              <w:spacing w:after="0"/>
              <w:rPr>
                <w:sz w:val="1"/>
                <w:szCs w:val="1"/>
                <w:color w:val="auto"/>
              </w:rPr>
            </w:pPr>
          </w:p>
        </w:tc>
      </w:tr>
      <w:tr>
        <w:trPr>
          <w:trHeight w:val="213"/>
        </w:trPr>
        <w:tc>
          <w:tcPr>
            <w:tcW w:w="2820" w:type="dxa"/>
            <w:vAlign w:val="bottom"/>
          </w:tcPr>
          <w:p>
            <w:pPr>
              <w:spacing w:after="0"/>
              <w:rPr>
                <w:sz w:val="18"/>
                <w:szCs w:val="18"/>
                <w:color w:val="auto"/>
              </w:rPr>
            </w:pPr>
          </w:p>
        </w:tc>
        <w:tc>
          <w:tcPr>
            <w:tcW w:w="16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Christine A. Pellizzari</w:t>
            </w:r>
          </w:p>
        </w:tc>
        <w:tc>
          <w:tcPr>
            <w:tcW w:w="18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0.86</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3/15/2024</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3/15/2034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0.79</w:t>
            </w:r>
          </w:p>
        </w:tc>
        <w:tc>
          <w:tcPr>
            <w:tcW w:w="0" w:type="dxa"/>
            <w:vAlign w:val="bottom"/>
          </w:tcPr>
          <w:p>
            <w:pPr>
              <w:spacing w:after="0"/>
              <w:rPr>
                <w:sz w:val="1"/>
                <w:szCs w:val="1"/>
                <w:color w:val="auto"/>
              </w:rPr>
            </w:pPr>
          </w:p>
        </w:tc>
      </w:tr>
      <w:tr>
        <w:trPr>
          <w:trHeight w:val="213"/>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1.22</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6/12/2024</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6/12/2034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3"/>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4,964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1.04</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9/6/2024</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9/6/2034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0.99</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left="320" w:hanging="313"/>
        <w:spacing w:after="0" w:line="262" w:lineRule="auto"/>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these stock option grants vests with one-half of the grant vesting on the date of grant and one fourth of the grant vesting on each of the first and second anniversary of the date of grant, subject to the applicable director’s continued service as a member of our Board through each applicable vesting date.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34" w:name="page35"/>
    <w:bookmarkEnd w:id="34"/>
    <w:p>
      <w:pPr>
        <w:jc w:val="both"/>
        <w:spacing w:after="0" w:line="253" w:lineRule="auto"/>
        <w:rPr>
          <w:sz w:val="20"/>
          <w:szCs w:val="20"/>
          <w:color w:val="auto"/>
        </w:rPr>
      </w:pPr>
      <w:r>
        <w:rPr>
          <w:rFonts w:ascii="Times New Roman" w:cs="Times New Roman" w:eastAsia="Times New Roman" w:hAnsi="Times New Roman"/>
          <w:sz w:val="18"/>
          <w:szCs w:val="18"/>
          <w:color w:val="auto"/>
        </w:rPr>
        <w:t>During the year ended December 31, 2024, each Non-Employee Director of the Company received annual cash compensation in the amount of $27,450 payable in quarterly installments, and an additional $1,980 for attendance at regular meetings of the Board of Directors and $1,080 for each meeting of a committee of the Board of Directors that was not held in conjunction with a meeting of the Board of Directors. Each Non-Employee director is reimbursed for the out-of-pocket costs of attending meetings of the Board of Directors and of committees of the Board of Directors. In 2024, the Chairman of the Audit Committee received an additional annual cash fee of $12,150 and the Chairman of the Compensation Committee received an additional annual cash fee of $9,450.</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Acting on behalf of the Board of Directors, Mr. Fritz also received fees totaling $43,200 in 2024 for his role as a Board Liaison to our Board of Directors. Mr. Fritz’s responsibilities as Board Liaison include the following: (i) serve as an initial sounding board for our management regarding issues, matters, or communications to be brought or potentially to be brought before the Board of Directors; (ii) provide input and feedback to management regarding strategic matters, business matters, major scientific, clinical, collaboration, or corporate development matters, key personnel matters, or other items of significance regarding which management would like to obtain initial or further Board guidance, including, but not limited to, guidance regarding timing and content of communications regarding such matters or items with the full Board or any of its committees; (iii) remain accessible to management to provide guidance on business or strategy issues or other issues of significance on an as-needed basis; (iv) participate in meetings and relevant discussions as requested by management; (v) conduct general advisory or liaison services to the Board, including relaying to management requests from other members of the Board regarding desired additional information or clarification or suggestions or feedback regarding improvement in Board processes or communications; (vi) serve as a conduit for informal communications between management and the Board; and (vii) any other such services established by the Board from time to time.</w:t>
      </w:r>
    </w:p>
    <w:p>
      <w:pPr>
        <w:spacing w:after="0" w:line="17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Acting on behalf of our Board of Directors, Dr. Braun also received fees totaling $22,500 in 2024 for his role as a strategic advisor to our Executive Chairman and our Chief Executive Officer. Dr. Braun’s responsibilities as a strategic advisor include the following: (i) provide strategic and tactical advice to our Chief Executive Officer; (ii) evaluate international subsidiary options; (iii) develop strategies to secure business relationships other than in the U.S.; and</w:t>
      </w:r>
    </w:p>
    <w:p>
      <w:pPr>
        <w:spacing w:after="0" w:line="2" w:lineRule="exact"/>
        <w:rPr>
          <w:sz w:val="20"/>
          <w:szCs w:val="20"/>
          <w:color w:val="auto"/>
        </w:rPr>
      </w:pPr>
    </w:p>
    <w:p>
      <w:pPr>
        <w:ind w:firstLine="7"/>
        <w:spacing w:after="0" w:line="255" w:lineRule="auto"/>
        <w:tabs>
          <w:tab w:leader="none" w:pos="30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done both (ii) and (iii), develop high potential ex-US market strategies that address the objectives for broad and profitable sales of its commercial products.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Guidelines for Non-Employee and Executive Directors</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Board of Directors believes that, as a matter of sound corporate governance, non-employee and executive directors should have a significant personal financial stake in our performance. Consequently, in February 2011, our Board of Directors adopted stock ownership guidelines for non-employee and executive directors. Our corporate governance guidelines require that each non-employee director acquire and hold shares of our common stock having an aggregate value equal to two times the director’s total compensation in the first year of service and that our executive director acquire and hold shares of our common stock having an aggregate value equal to the executive director’s total compensation in the first year of service. Each director is expected to satisfy the applicable ownership guideline within three years after his or her appointment to the Board.</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Shares of our common stock that count toward satisfaction of these ownership guidelines include, unless beneficial ownership therein is disclaimed: (i) shares owned outright by the director or executive officer or their immediate family members residing in the same household, whether held individually or jointly; (ii) shares held in a trust, family limited partnership or similar entity solely for the benefit of the director or executive officer and/or their immediate family members; (iii) shares of restricted stock and restricted stock units awarded under our equity incentive plans, including vested and unvested awards; and (iv) shares acquired upon stock option exercise, but not shares underlying unexercised stock options.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Code of Ethics requires all of our directors, officers and employees to give their complete loyalty to the best interests of the Company and to avoid any action that may involve, or that even may appear to involve, a conflict of interest with the Company. The Code of Ethics also requires any of our directors, officers or employees who become aware of a conflict or potential conflict to bring it to the attention of supervisor, manager or other appropriate personnel or consult the compliance procedures provided in the Code of Ethics. The Board of Directors reviews and approves or ratifies all relationships and transactions between us and (i) any of our directors or executive officers, (ii) any nominee for election as a director, (iii) any securityholder who is known to us to own beneficially or of record more than five percent of our common stock or (iv) any member of the immediate family of any of the foregoing.</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16, 2022, the Company entered into a Convertible Note Purchase Agreement with Transomic Technologies, Inc. (“Transomic”) whereby the Company purchased $375,000 of convertible notes secured by certain assets held by Transomic and warrants. As a result of this investment in Transomic, Imunon’s executive chairman, Mr. Michael Tardugno, was appointed to the Board of Directors of Transomic. The Company is disclosing the notes receivable as a related party transaction. In December 2023, Transomic filed a formal certificate of dissolution of the company resulting in a complete write off of the convertible note and related warrants.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number of directors that constitutes the Board of Directors is to be fixed by, or in the manner provided in, our Amended and Restated Bylaws, as amended (the “Bylaws”). The Amended and Restated Certificate of Incorporation also provides that the Board of Directors is to be divided into three classes, designated as Class I, Class II and Class III, and it is our practice to have such classes as even in size as possible. The Bylaws provide that the Board of Directors is to consist of between three and eight directors, with the exact number to be fixed by action of the Board of Directors. The current number of directors has been fixed by the Board of Directors at six. Currently, no Board seats remain vacant, and the Board of Directors consists of six directors, four of which are independent under applicable SEC and Nasdaq rules.</w:t>
      </w:r>
    </w:p>
    <w:p>
      <w:pPr>
        <w:spacing w:after="0" w:line="185"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Our Board of Directors has nominated each of Mr. Michael H. Tardugno and Dr. Donald P. Braun to stand for re-election to the Board of Directors as a Class III Director, with a term expiring at the Annual Meeting of Stockholders to be held in 2028 or with the election and qualification of a successor.</w:t>
      </w:r>
    </w:p>
    <w:p>
      <w:pPr>
        <w:spacing w:after="0" w:line="1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In the event that Mr. Michael H. Tardugno or Dr. Donald P. Braun become unavailable for election as a result of an unexpected occurrence, the designated proxies will vote in their discretion for a substitute nominee, or our Board of Directors may reduce the number of directors serving on the Board.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election of Class III Directors at the Annual Meeting will be by a plurality of the votes cast. This means that the director nominee receiving the greatest number of votes cast, via the live webcast or by proxy, by the holders of our common stock in the election of the Class III Director, will be elected. Stockholders may not cumulate their votes in electing directors. Stockholders entitled to vote at the Annual Meeting may either vote “FOR” the nominee for election as a director or may “WITHHOLD” authority for the nominee. Shares represented by executed proxies will be voted, if authority to do so is not withheld, for the election of the nominee named above in Proposal No. 1. If a stockholder withholds authority to vote with respect to the nominee for director, the shares held by that stockholder will be counted for purposes of establishing a quorum but will have no effect on the election of the nominee. Broker non-votes will have no effect on the election of the nominee.</w:t>
      </w:r>
    </w:p>
    <w:p>
      <w:pPr>
        <w:spacing w:after="0" w:line="183" w:lineRule="exact"/>
        <w:rPr>
          <w:sz w:val="20"/>
          <w:szCs w:val="20"/>
          <w:color w:val="auto"/>
        </w:rPr>
      </w:pPr>
    </w:p>
    <w:p>
      <w:pPr>
        <w:jc w:val="center"/>
        <w:ind w:left="340" w:right="360"/>
        <w:spacing w:after="0" w:line="281" w:lineRule="auto"/>
        <w:rPr>
          <w:sz w:val="20"/>
          <w:szCs w:val="20"/>
          <w:color w:val="auto"/>
        </w:rPr>
      </w:pPr>
      <w:r>
        <w:rPr>
          <w:rFonts w:ascii="Times New Roman" w:cs="Times New Roman" w:eastAsia="Times New Roman" w:hAnsi="Times New Roman"/>
          <w:sz w:val="18"/>
          <w:szCs w:val="18"/>
          <w:b w:val="1"/>
          <w:bCs w:val="1"/>
          <w:color w:val="auto"/>
        </w:rPr>
        <w:t>OUR BOARD OF DIRECTORS UNANIMOUSLY RECOMMENDS A VOTE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b w:val="1"/>
          <w:bCs w:val="1"/>
          <w:color w:val="auto"/>
        </w:rPr>
        <w:t xml:space="preserve"> THE ELECTION OF EACH OF THE DIRECTOR NOMINEES NAMED ABOVE.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SELECTION OF INDEPENDENT REGISTERED PUBLIC ACCOUNTING FIRM</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Audit Committee has appointed WithumSmith+Brown, PC (“Withum”) as the independent registered public accounting firm of the Company to audit our financial statements for the fiscal year ending December 31, 2025, and our Board requests stockholder ratification of such selection. Withum, Brown + Smith PC (“Withum”) has served as our independent accountants since 2017 and has advised us that neither Withum nor any of its members has, or has had in the past three years, any financial interest in the Company or any relation to the Company other than as auditors and accountants.</w:t>
      </w:r>
    </w:p>
    <w:p>
      <w:pPr>
        <w:spacing w:after="0" w:line="1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Representatives of Withum are expected to be present at the 2025 Annual Meeting and will be given the opportunity to make a statement if they so desire and respond to appropriate questions.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following table presents fees as invoiced for professional audit services rendered for the fiscal years ended December 31, 2024 and December 31, 2023, and fees for other services rendered during those periods: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Borders>
              <w:bottom w:val="single" w:sz="8" w:color="auto"/>
            </w:tcBorders>
          </w:tcPr>
          <w:p>
            <w:pPr>
              <w:jc w:val="center"/>
              <w:ind w:left="191"/>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2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0"/>
                <w:szCs w:val="20"/>
                <w:color w:val="auto"/>
              </w:rPr>
            </w:pPr>
          </w:p>
        </w:tc>
      </w:tr>
      <w:tr>
        <w:trPr>
          <w:trHeight w:val="184"/>
        </w:trPr>
        <w:tc>
          <w:tcPr>
            <w:tcW w:w="4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center"/>
              <w:ind w:left="151"/>
              <w:spacing w:after="0" w:line="184"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551"/>
              <w:spacing w:after="0" w:line="184"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6"/>
                <w:szCs w:val="16"/>
                <w:color w:val="auto"/>
              </w:rPr>
            </w:pPr>
          </w:p>
        </w:tc>
      </w:tr>
      <w:tr>
        <w:trPr>
          <w:trHeight w:val="236"/>
        </w:trPr>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FEE CATEGORY</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2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center"/>
              <w:ind w:left="191"/>
              <w:spacing w:after="0"/>
              <w:rPr>
                <w:sz w:val="20"/>
                <w:szCs w:val="20"/>
                <w:color w:val="auto"/>
              </w:rPr>
            </w:pPr>
            <w:r>
              <w:rPr>
                <w:rFonts w:ascii="Times New Roman" w:cs="Times New Roman" w:eastAsia="Times New Roman" w:hAnsi="Times New Roman"/>
                <w:sz w:val="18"/>
                <w:szCs w:val="18"/>
                <w:b w:val="1"/>
                <w:bCs w:val="1"/>
                <w:color w:val="auto"/>
                <w:w w:val="97"/>
              </w:rPr>
              <w:t>OF TOTAL</w:t>
            </w:r>
          </w:p>
        </w:tc>
        <w:tc>
          <w:tcPr>
            <w:tcW w:w="28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OF TOTAL</w:t>
            </w:r>
          </w:p>
        </w:tc>
        <w:tc>
          <w:tcPr>
            <w:tcW w:w="160" w:type="dxa"/>
            <w:vAlign w:val="bottom"/>
            <w:tcBorders>
              <w:bottom w:val="single" w:sz="8" w:color="CCEEFF"/>
            </w:tcBorders>
          </w:tcPr>
          <w:p>
            <w:pPr>
              <w:spacing w:after="0"/>
              <w:rPr>
                <w:sz w:val="20"/>
                <w:szCs w:val="20"/>
                <w:color w:val="auto"/>
              </w:rPr>
            </w:pPr>
          </w:p>
        </w:tc>
      </w:tr>
      <w:tr>
        <w:trPr>
          <w:trHeight w:val="207"/>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144,240</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3"/>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 Related Fees</w:t>
            </w:r>
          </w:p>
        </w:tc>
        <w:tc>
          <w:tcPr>
            <w:tcW w:w="22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10,200</w:t>
            </w:r>
          </w:p>
        </w:tc>
        <w:tc>
          <w:tcPr>
            <w:tcW w:w="1180" w:type="dxa"/>
            <w:vAlign w:val="bottom"/>
          </w:tcPr>
          <w:p>
            <w:pPr>
              <w:spacing w:after="0"/>
              <w:rPr>
                <w:sz w:val="18"/>
                <w:szCs w:val="18"/>
                <w:color w:val="auto"/>
              </w:rPr>
            </w:pPr>
          </w:p>
        </w:tc>
        <w:tc>
          <w:tcPr>
            <w:tcW w:w="540" w:type="dxa"/>
            <w:vAlign w:val="bottom"/>
            <w:gridSpan w:val="2"/>
          </w:tcPr>
          <w:p>
            <w:pPr>
              <w:jc w:val="right"/>
              <w:ind w:right="171"/>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9,705</w:t>
            </w:r>
          </w:p>
        </w:tc>
        <w:tc>
          <w:tcPr>
            <w:tcW w:w="200" w:type="dxa"/>
            <w:vAlign w:val="bottom"/>
          </w:tcPr>
          <w:p>
            <w:pPr>
              <w:spacing w:after="0"/>
              <w:rPr>
                <w:sz w:val="18"/>
                <w:szCs w:val="18"/>
                <w:color w:val="auto"/>
              </w:rPr>
            </w:pPr>
          </w:p>
        </w:tc>
        <w:tc>
          <w:tcPr>
            <w:tcW w:w="142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4</w:t>
            </w:r>
          </w:p>
        </w:tc>
      </w:tr>
      <w:tr>
        <w:trPr>
          <w:trHeight w:val="213"/>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12,272</w:t>
            </w:r>
          </w:p>
        </w:tc>
        <w:tc>
          <w:tcPr>
            <w:tcW w:w="1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13,750</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w:t>
            </w:r>
          </w:p>
        </w:tc>
      </w:tr>
      <w:tr>
        <w:trPr>
          <w:trHeight w:val="227"/>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20" w:type="dxa"/>
            <w:vAlign w:val="bottom"/>
          </w:tcPr>
          <w:p>
            <w:pPr>
              <w:spacing w:after="0"/>
              <w:rPr>
                <w:sz w:val="19"/>
                <w:szCs w:val="19"/>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45,240</w:t>
            </w:r>
          </w:p>
        </w:tc>
        <w:tc>
          <w:tcPr>
            <w:tcW w:w="11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78,885</w:t>
            </w:r>
          </w:p>
        </w:tc>
        <w:tc>
          <w:tcPr>
            <w:tcW w:w="200" w:type="dxa"/>
            <w:vAlign w:val="bottom"/>
          </w:tcPr>
          <w:p>
            <w:pPr>
              <w:spacing w:after="0"/>
              <w:rPr>
                <w:sz w:val="19"/>
                <w:szCs w:val="19"/>
                <w:color w:val="auto"/>
              </w:rPr>
            </w:pPr>
          </w:p>
        </w:tc>
        <w:tc>
          <w:tcPr>
            <w:tcW w:w="142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31</w:t>
            </w:r>
          </w:p>
        </w:tc>
      </w:tr>
      <w:tr>
        <w:trPr>
          <w:trHeight w:val="220"/>
        </w:trPr>
        <w:tc>
          <w:tcPr>
            <w:tcW w:w="42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211,952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100</w:t>
            </w:r>
          </w:p>
        </w:tc>
        <w:tc>
          <w:tcPr>
            <w:tcW w:w="260" w:type="dxa"/>
            <w:vAlign w:val="bottom"/>
            <w:tcBorders>
              <w:top w:val="single" w:sz="8" w:color="CCEEFF"/>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252,340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4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Audit fees consist of fees for professional services rendered by Withum for the audits of our annual financial statements in our Annual Reports on Form 10-K and for reviews of the quarterly financial statements included in the Company’s Quarterly Reports on Form 10-Q. Audit-related fees pertain to the work performed during our equity offerings in 2024 and 2023. Tax fees consist of fees for preparation of the Company’s federal and state tax returns. All other fees consist of fees for attendance at the Company’s annual meetings, review of registration statements and similar matters.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Services by Employees of Withum</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No part of Withum’s engagement to audit the Company’s financial statements for the years ended December 31, 2024 and 2023 was attributable to work performed by persons other than Withum’s full-time, permanent employees.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Policy on Approval of Audit and Non-Audit Services</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It is the policy of the Audit Committee to pre-approve all audit and permissible non-audit services provided by our independent accountants, in accordance with rules prescribed by the SEC. These services may include audit services, audit-related services, tax services, and other services. Pre-approval is based on a written proposal, accompanied by a cost estimate, and estimated budget. The Audit Committee has delegated to its chairman the authority to pre-approve audit and non-audit services with an estimated cost of up to $25,000, provided the exercise of such authority is reported to the Audit Committee at its next regular meeting. The Audit Committee reserves the right, from time to time, to delegate pre-approval authority to other of its members, so long as such members are independent directors. All audit and permissible non-audit services during 2024 and 2023 were approved by the Audit Committee in accordance with its pre-approval policy and the approval requirements of the SEC.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affirmative vote of the holders of a majority of the votes cast affirmatively or negatively for this proposal will be required to ratify the selection of Withum as the Company’s independent registered public accounting firm for the year ending December 31, 2025. Abstentions will have no effect on the results of the vote on Proposal No. 2. No broker non-votes are expected to exist in connection with this vote, as ratification of the independent registered public accounting firm is considered a routine matter under applicable rules, but any broker non-votes would have no effect on Proposal No. 2.</w:t>
      </w:r>
    </w:p>
    <w:p>
      <w:pPr>
        <w:spacing w:after="0" w:line="177" w:lineRule="exact"/>
        <w:rPr>
          <w:sz w:val="20"/>
          <w:szCs w:val="20"/>
          <w:color w:val="auto"/>
        </w:rPr>
      </w:pPr>
    </w:p>
    <w:p>
      <w:pPr>
        <w:jc w:val="center"/>
        <w:ind w:left="340" w:right="1480"/>
        <w:spacing w:after="0" w:line="287" w:lineRule="auto"/>
        <w:rPr>
          <w:sz w:val="20"/>
          <w:szCs w:val="20"/>
          <w:color w:val="auto"/>
        </w:rPr>
      </w:pPr>
      <w:r>
        <w:rPr>
          <w:rFonts w:ascii="Times New Roman" w:cs="Times New Roman" w:eastAsia="Times New Roman" w:hAnsi="Times New Roman"/>
          <w:sz w:val="17"/>
          <w:szCs w:val="17"/>
          <w:b w:val="1"/>
          <w:bCs w:val="1"/>
          <w:color w:val="auto"/>
        </w:rPr>
        <w:t>THE BOARD OF DIRECTORS UNANIMOUSLY RECOMMENDS A VOTE “FOR” THE PROPOSAL TO RATIFY THE SELECTION OF WITHUM AS THE COMPANY’S INDEPENDENT REGISTERED PUBLIC ACCOUNTING FIRM FOR THE COMPANY FOR THE YEAR ENDING DECEMBER 31, 2025.</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ADVISORY VOTE TO APPROVE EXECUTIVE COMPENSATION</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Company is providing its stockholders with the opportunity to cast a non-binding, advisory vote on the compensation of our Named Executive Officers as disclosed pursuant to the SEC’s executive compensation disclosure rules and set forth in this proxy statement (including in the compensation tables and narratives accompanying those tables).</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executive compensation program is guided by the principle that the compensation of the Company’s executive officers should encourage the creation of stockholder value and achievement of strategic corporate objectives. In furtherance of this principle, the Company’s executive compensation program includes a number of features intended to reflect best practices in the market and help ensure that the program reinforces stockholder interests. These features include the following:</w:t>
      </w:r>
    </w:p>
    <w:p>
      <w:pPr>
        <w:spacing w:after="0" w:line="181" w:lineRule="exact"/>
        <w:rPr>
          <w:sz w:val="20"/>
          <w:szCs w:val="20"/>
          <w:color w:val="auto"/>
        </w:rPr>
      </w:pPr>
    </w:p>
    <w:p>
      <w:pPr>
        <w:ind w:left="640" w:hanging="313"/>
        <w:spacing w:after="0" w:line="277" w:lineRule="auto"/>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amount of the executives’ compensation is at risk. For fiscal year 2024, Approximately 30% of Dr. Lindborg’s target total direct compensation was performance-based and/or linked to the value of the Company’s stock price.</w:t>
      </w:r>
    </w:p>
    <w:p>
      <w:pPr>
        <w:spacing w:after="0" w:line="162"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bonuses under our annual incentive program are principally based on the achievement of specific performance objectives established at the beginning of the fiscal year by the Compensation Committee.</w:t>
      </w:r>
    </w:p>
    <w:p>
      <w:pPr>
        <w:spacing w:after="0" w:line="162"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equity awards are granted in the form of stock options that help to align the executives’ interests with those of our stockholders as the options will not have value unless there is appreciation in the Company’s stock price after the option is granted.</w:t>
      </w:r>
    </w:p>
    <w:p>
      <w:pPr>
        <w:spacing w:after="0" w:line="163"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In accordance with the requirements of Section 14A of the Exchange Act (which was added by the Dodd-Frank Wall Street Reform and Consumer Protection Act) and the related rules of the SEC, the Board of Directors will request your advisory vote on the following resolution at the Annual Meeting:</w:t>
      </w:r>
    </w:p>
    <w:p>
      <w:pPr>
        <w:spacing w:after="0" w:line="159" w:lineRule="exact"/>
        <w:rPr>
          <w:sz w:val="20"/>
          <w:szCs w:val="20"/>
          <w:color w:val="auto"/>
        </w:rPr>
      </w:pPr>
    </w:p>
    <w:p>
      <w:pPr>
        <w:jc w:val="both"/>
        <w:ind w:left="64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RESOLVED, </w:t>
      </w:r>
      <w:r>
        <w:rPr>
          <w:rFonts w:ascii="Times New Roman" w:cs="Times New Roman" w:eastAsia="Times New Roman" w:hAnsi="Times New Roman"/>
          <w:sz w:val="18"/>
          <w:szCs w:val="18"/>
          <w:color w:val="auto"/>
        </w:rPr>
        <w:t>that the compensation paid to the Company’s Named Executive Officers, as disclosed in this proxy statement pursuant to the SEC’s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compensation disclosure rules (which disclosure includes the compensation tables and the narrative discussion that accompanies the compensation tables), is hereby approved.</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vote is an advisory vote only and is non-binding on the Company, the Board of Directors or the Compensation Committee, and will not be construed as overruling a decision by, or creating or implying any additional fiduciary duty for, the Board of Directors or the Compensation Committee. However, the Compensation Committee, which is responsible for designing and administering the Company’s executive compensation program, values the opinions expressed by stockholders in their vote on this proposal, and will consider the outcome of the vote when making future compensation decisions for Named Executive Officers.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affirmative vote of a majority of the votes cast affirmatively or negatively for this proposal will be required to approve, on an advisory basis, the 2024 executive compensation for the Company’s Named Executive Officers. Abstentions and broker non-votes will have no effect on Proposal No. 3.</w:t>
      </w:r>
    </w:p>
    <w:p>
      <w:pPr>
        <w:spacing w:after="0" w:line="159" w:lineRule="exact"/>
        <w:rPr>
          <w:sz w:val="20"/>
          <w:szCs w:val="20"/>
          <w:color w:val="auto"/>
        </w:rPr>
      </w:pPr>
    </w:p>
    <w:p>
      <w:pPr>
        <w:jc w:val="center"/>
        <w:spacing w:after="0" w:line="281"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THAT STOCKHOLDERS VOTE “FOR” THE ADVISORY VOTE TO APPROVE EXECUTIVE COMPENSATION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PROPOSAL NO. 4:</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THE ISSUANCE PROPOSAL</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Our Board is asking stockholders to consider and vote upon a proposal to approve the issuance of shares of our common stock underlying certain warrants issued in May 2025, in accordance with Nasdaq Listing Rule 5635(d).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Private Placement</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23, 2025, we entered into a securities purchase agreement (the “Purchase Agreement”) with certain institutional and accredited investors for the issuance and sale in a private placement (the “Private Placement”) of (i) 2,777,779 shares (the “Shares”) of the Company’s common stock, (ii) pre-funded warrants (the “Pre-Funded Warrants”) to purchase up to 4,444,444 shares of common stock at an exercise price of $0.0001 per share, and (iii) warrants (the “Common Warrants”) to purchase up to 14,444,446 shares of common stock at an exercise price of $0.45 per share. The purchase price per Share and accompanying Common Warrant was $0.45 and the purchase price per Pre-Funded Warrant and accompanying Common Warrant was $0.4499.</w:t>
      </w:r>
    </w:p>
    <w:p>
      <w:pPr>
        <w:spacing w:after="0" w:line="18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Pre-Funded Warrants were exercisable immediately, may be exercised at any time until all of the Pre-Funded Warrants are exercised in full, and have an exercise price of $0.0001 per share. The Common Warrants will be exercisable beginning on the effective date of Stockholder Approval (as defined below) of the issuance of the Warrant Shares (as defined below). The Common Warrants will expire three years from the effective date of Stockholder Approval.</w:t>
      </w:r>
    </w:p>
    <w:p>
      <w:pPr>
        <w:spacing w:after="0" w:line="16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A holder of the Pre-Funded Warrants and the Common Warrants may not exercise any portion of such holder’s Pre-Funded Warrants or Common Warrants to the extent that the holder, together with its affiliates, would beneficially own more than 4.99% (or, at the election of the holder, 9.99%) of our outstanding shares of common stock immediately after exercise, except that upon at least 61 days’ prior notice from the holder to the Company, the holder may increase the beneficial ownership limitation to up to 9.99% of the number of shares of common stock outstanding immediately after giving effect to the exercise. In the event of certain fundamental transactions, the holders of Common Warrants have the right to require the Company or a successor entity to purchase the Common Warrants from the holder for an amount of consideration equal to the Black Scholes Value (as defined in the Common Warrants) of the remaining unexercised portion of the Common Warrants concurrently with or within 30 days following the consummation of a fundamental transaction.</w:t>
      </w:r>
    </w:p>
    <w:p>
      <w:pPr>
        <w:spacing w:after="0" w:line="1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connection with the Private Placement, we entered into a registration rights agreement (“Registration Rights Agreement”), dated as of May 23, 2025, with the investors, pursuant to which we agreed to prepare and file a registration statement with the SEC registering the resale of the Shares and the shares of common stock underlying the Pre-Funded Warrants and the Common Warrants no later than 15 days after the date of the Registration Rights Agreement (the “Registration Statement”).</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H.C. Wainwright &amp; Co., LLC (“Wainwright”) acted as our lead placement agent, and Brookline Capital Markets, a division of Arcadia Securities, LLC, acted as co-placement agent, in connection with the Private Placement, pursuant to the Engagement Letter dated as of May 22, 2025 (the “Engagement Letter”), between us and Wainwright. In addition, we issued to Wainwright, or its designees, warrants (the “Placement Agent Warrants” and together with the Common Warrants, the “Warrants”) to purchase up to an aggregate of 361,111 shares of common stock at an exercise price equal to $0.5625 per share (the “Placement Agent Warrant Shares” and together with the Common Warrant Shares, the “Warrant Shares”). The Placement Agent Warrants have substantially the same terms as the Common Warrants.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Nasdaq Listing Rule 5635 requires that a listed company seek stockholder approval in certain circumstances, including prior to the issuance, in a transaction other than a public offering, of 20% or more of the company’s outstanding common stock or voting power outstanding before the issuance at a price that is less than the lower of (i) the Nasdaq Official Closing Price (as reflected on Nasdaq.com) immediately preceding the signing of the binding agreement in connection with such transaction, or (ii) the average Nasdaq Official Closing Price of the common stock (as reflected on Nasdaq.com) for the five trading days immediately preceding the signing of such binding agreement (the “Minimum Price”).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the Private Placement</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of March 31, 2025 and December 31, 2024, we had cash and cash equivalents of $2.9 million and $5.9 million, respectively. We previously received a delisting notice from Nasdaq, as we are not in compliance with certain listing requirements. On May 29, 2025, the Company appealed the Nasdaq staff’s determination to a Nasdaq Hearings Panel, which will stay the delisting and suspension of the Company’s common stock pending a decision by the Nasdaq Hearings Panel. There can be no assurance that our request for continued listing will be granted. We believe that the Private Placement, which yielded gross proceeds of approximately $3.25 million, was necessary in light of our cash and funding requirements at the time. In addition, at the time of the Private Placement, our Board considered numerous other alternatives to the transaction, none of which proved to be feasible or, in the opinion of our Board, would have resulted in aggregate terms equivalent to, or more favorable than, the terms obtained in the Private Placement.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The Purchase Agreement</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Purchase Agreement contains representations and warranties of us and the institutional and accredited investors, which are typical for transactions of this type. In addition, the Purchase Agreement contains customary covenants on our part that are typical for transactions of this type, including the following (each as set forth more fully in the Purchase Agreement):</w:t>
      </w:r>
    </w:p>
    <w:p>
      <w:pPr>
        <w:spacing w:after="0" w:line="176" w:lineRule="exact"/>
        <w:rPr>
          <w:sz w:val="20"/>
          <w:szCs w:val="20"/>
          <w:color w:val="auto"/>
        </w:rPr>
      </w:pPr>
    </w:p>
    <w:p>
      <w:pPr>
        <w:ind w:left="960" w:hanging="313"/>
        <w:spacing w:after="0" w:line="277" w:lineRule="auto"/>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agreed not to effect or agree to effect any variable rate transactions until one year after the effective date of the Registration Statement, subject to certain exceptions;</w:t>
      </w:r>
    </w:p>
    <w:p>
      <w:pPr>
        <w:spacing w:after="0" w:line="162" w:lineRule="exact"/>
        <w:rPr>
          <w:rFonts w:ascii="Times New Roman" w:cs="Times New Roman" w:eastAsia="Times New Roman" w:hAnsi="Times New Roman"/>
          <w:sz w:val="18"/>
          <w:szCs w:val="18"/>
          <w:color w:val="auto"/>
        </w:rPr>
      </w:pPr>
    </w:p>
    <w:p>
      <w:pPr>
        <w:ind w:left="960" w:hanging="313"/>
        <w:spacing w:after="0" w:line="277" w:lineRule="auto"/>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agreed not to issue any shares of common stock or common stock equivalents or to file any other registration statement with the SEC (in each case, subject to certain exceptions) until 30 days after the effective date of the Registration Statement; and</w:t>
      </w:r>
    </w:p>
    <w:p>
      <w:pPr>
        <w:spacing w:after="0" w:line="162" w:lineRule="exact"/>
        <w:rPr>
          <w:rFonts w:ascii="Times New Roman" w:cs="Times New Roman" w:eastAsia="Times New Roman" w:hAnsi="Times New Roman"/>
          <w:sz w:val="18"/>
          <w:szCs w:val="18"/>
          <w:color w:val="auto"/>
        </w:rPr>
      </w:pPr>
    </w:p>
    <w:p>
      <w:pPr>
        <w:jc w:val="both"/>
        <w:ind w:left="960" w:hanging="313"/>
        <w:spacing w:after="0" w:line="254" w:lineRule="auto"/>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agreed to seek stockholder approval in accordance with the applicable rules and regulations of Nasdaq (“Stockholder Approval”) of, and to solicit our stockholders’ affirmative vote for approval of, the issuance of the Warrant Shares at our Annual Meeting, and, if Stockholder Approval is not obtained at the Annual Meeting, to call a meeting every 90 days thereafter to seek such Stockholder Approval until the earlier of the date on which Stockholder Approval is obtained or the Warrants are no longer outstanding. This Issuance Proposal is intended to fulfill this final covenant.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Engagement Letter</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Pursuant to the Engagement Letter, we paid Wainwright a total cash fee equal to 7.0% of the aggregate gross proceeds of the Private Placement, as well as certain expenses, and Brookline received up to 15% of the cash fee. In addition, the Company issued to Wainwright, or its designees, the Placement Agent Warrants to purchase up to an aggregate of 361,111 shares of common stock at an exercise price equal to $0.5625 per share.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Common Warrants</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Common Warrants are exercisable on or after Stockholder Approval until the three-year anniversary of the Stockholder Approval. The Common Warrants have an exercise price of $0.45 per share. The exercise price and number of shares issuable upon exercise of the Common Warrants is subject to appropriate adjustment in the event of stock dividends, stock splits, subsequent rights offerings, pro rata distributions, reorganizations, or similar events affecting the common stock and the exercise price. Upon any such price-based adjustment to the exercise price, the number of shares issuable upon exercise of the Common Warrants will be adjusted proportionately. The Common Warrants may be exercised for cash, provided that, if there is no effective registration statement available registering resale of the Common Warrant Shares, the Common Warrants may be exercised on a cashless basis. The Placement Agent Warrants have substantially the same terms as the Common Warrants.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the Issuance of the Common Stock Underlying the Pre-Funded Warrants and Warrants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potential issuance of the shares of common stock underlying the Pre-Funded Warrants and Warrants would result in an increase in the number of shares of common stock outstanding, and our stockholders would incur dilution of their percentage ownership to the extent that the holders thereof exercise their warrants.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Nasdaq Stockholder Approval</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Nasdaq Listing Rule 5635(d) requires us to obtain stockholder approval prior to the issuance of securities in connection with a transaction other than a public offering involving the sale, issuance or potential issuance by us of our common stock (or securities convertible into or exercisable for our common stock) at a price less than the Minimum Price. In the case of the Private Placement, the 20% threshold is determined based on the shares of our common stock outstanding immediately preceding the signing of the Purchase Agreement, which we signed on May 23, 2025.</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41" w:name="page42"/>
    <w:bookmarkEnd w:id="41"/>
    <w:p>
      <w:pPr>
        <w:jc w:val="both"/>
        <w:spacing w:after="0" w:line="252" w:lineRule="auto"/>
        <w:rPr>
          <w:sz w:val="20"/>
          <w:szCs w:val="20"/>
          <w:color w:val="auto"/>
        </w:rPr>
      </w:pPr>
      <w:r>
        <w:rPr>
          <w:rFonts w:ascii="Times New Roman" w:cs="Times New Roman" w:eastAsia="Times New Roman" w:hAnsi="Times New Roman"/>
          <w:sz w:val="18"/>
          <w:szCs w:val="18"/>
          <w:color w:val="auto"/>
        </w:rPr>
        <w:t>Immediately prior to the execution of the Purchase Agreement, we had 17,541,732 shares of common stock issued and outstanding, including 2,921,000 shares of common stock issued on May 13, 2025, pursuant to an exchange agreement entered into with holders of certain warrants issued on August 1, 2024. Therefore, the potential issuance of 14,805,557 Warrant Shares (consisting of 14,444,446 Common Warrant Shares and 361,111 Placement Agent Warrant Shares) would have constituted greater than 20% of the shares of common stock outstanding immediately prior to the execution of the Purchase Agreement. We are seeking stockholder approval under Nasdaq Listing Rule 5635(d) for the sale, issuance or potential issuance by us of our common stock (or securities exercisable for our common stock) in excess of 20% of the shares of common stock outstanding immediately prior to the execution of the Purchase Agreement.</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cannot predict whether or when the Warrant holders will exercise their Warrants. For these reasons, we are unable to accurately forecast or predict with any certainty the total amount of Warrant Shares that may ultimately be issued. Under certain circumstances, however, it is possible, that we will issue more than 20% of our outstanding shares of common stock to the Warrant holders. Therefore, we are seeking stockholder approval under this proposal to issue more than 20% of our outstanding shares of common stock, if necessary, to the Warrant holders.</w:t>
      </w:r>
    </w:p>
    <w:p>
      <w:pPr>
        <w:spacing w:after="0" w:line="1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Approval by our stockholders of this Issuance Proposal is also one of the conditions for us to receive up to an additional approximately $6.7 million upon the exercise of the Warrants, if exercised for cash. Loss of these potential funds could jeopardize our ability to execute our business plan.</w:t>
      </w:r>
    </w:p>
    <w:p>
      <w:pPr>
        <w:spacing w:after="0" w:line="163" w:lineRule="exact"/>
        <w:rPr>
          <w:sz w:val="20"/>
          <w:szCs w:val="20"/>
          <w:color w:val="auto"/>
        </w:rPr>
      </w:pPr>
    </w:p>
    <w:p>
      <w:pPr>
        <w:jc w:val="both"/>
        <w:ind w:right="20"/>
        <w:spacing w:after="0" w:line="307" w:lineRule="auto"/>
        <w:rPr>
          <w:sz w:val="20"/>
          <w:szCs w:val="20"/>
          <w:color w:val="auto"/>
        </w:rPr>
      </w:pPr>
      <w:r>
        <w:rPr>
          <w:rFonts w:ascii="Times New Roman" w:cs="Times New Roman" w:eastAsia="Times New Roman" w:hAnsi="Times New Roman"/>
          <w:sz w:val="17"/>
          <w:szCs w:val="17"/>
          <w:color w:val="auto"/>
        </w:rPr>
        <w:t>Any transaction requiring approval by our stockholders under Nasdaq Listing Rule 5635(d) would likely result in a significant increase in the number of shares of our common stock outstanding, and, as a result, our current stockholders will own a smaller percentage of our outstanding shares of common stock.</w:t>
      </w:r>
    </w:p>
    <w:p>
      <w:pPr>
        <w:spacing w:after="0" w:line="1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Nasdaq Listing Rules, we are not permitted (without risk of delisting) to undertake a transaction that could result in a change in control of us without seeking and obtaining separate stockholder approval. We are not required to obtain stockholder approval for the Private Placement under Nasdaq Listing Rule 5635(b) because the terms of the Warrants include beneficial ownership limitations that prohibit the exercise of the Warrants to the extent that such exercise would result in the holder and its affiliates, collectively, beneficially owning or controlling more than 4.99% (which percentage can be increased to 9.99%) of the total outstanding shares of our common stock.</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Consequences of Not Approving the Issuance Proposal</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Board is not seeking the approval of our stockholders to authorize our entry into or consummation of the transactions contemplated by the Purchase Agreement, as the Private Placement has already been completed, and the Warrants have already been issued. We are only asking for approval to issue the shares of common stock underlying the Warrants upon exercise thereof.</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failure of our stockholders to approve the Issuance Proposal will mean that: (i) we cannot permit the exercise of the Warrants and (ii) may incur substantial additional costs and expenses, including the costs and expense of seeking stockholder approval until our stockholders approve the issuance of the shares underlying the Warrants pursuant to the Purchase Agreement.</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We would realize an aggregate of up to approximately $6.7 million in gross proceeds if all the Warrants were exercised for cash. If the Warrants cannot be exercised, we will not receive any such proceeds, which could adversely impact our ability to fund our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Further Information</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terms of the Private Placement, including the Warrants, are complex and the material terms thereof are only briefly summarized above. For further information regarding the Private Placement and the Warrants, please refer to our Current Report on Form 8-K filed with the SEC May 27, 2025. The discussion herein is qualified in its entirety by reference to such filed transaction documents.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affirmative vote of the holders of a majority of the votes cast affirmatively or negatively for this proposal will be required to approve the Issuance Proposal. Abstentions and broker non-votes will have no effect on the results of the vote on Proposal No. 4.</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UNANIMOUSLY RECOMMENDS THAT THE STOCKHOLDERS VOTE “FOR” THE ISSUANCE PROPOSAL</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PROPOSAL NO. 5:</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THE AUTHORIZED SHARE INCREASE PROPOSAL</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Board has approved, subject to stockholder approval, an amendment to our Amended and Restated Certificate of Incorporation to increase the number of authorized shares of common stock from 112,500,000 to 350,000,000 and to make a corresponding change to the number of authorized shares of capital stock. The form of this proposed certificate of amendment to the Amended and Restated Certificate of Incorporation (the “Authorized Share Increase Amendment”) is attached to this Proxy Statement as an exhibit. We currently have a total of 112,600,000 shares of capital stock authorized under our Amended and Restated Certificate of Incorporation, consisting of 112,500,000 shares of common stock and 100,000 shares of preferred stock. If the Authorized Share Increase proposal is approved by our stockholders, our Board of Directors will be authorized, in its discretion, to file the Authorized Share Increase Amendment with the office of the Secretary of State of the State of Delaware, which would have the effect of increasing the number of authorized shares of common stock from 112,500,000 to 350,000,000 and increasing the number of authorized shares of all classes of stock from 112,600,000 to 350,100,000. The number of shares of authorized preferred stock would remain unchanged. Each additional authorized share of common stock would have the same rights and privileges as each share of currently authorized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the Authorized Share Increase</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Board of Directors believes it to be in our best interests to have sufficient additional authorized but unissued shares of common stock available in order to provide flexibility for corporate action in the future. Management believes that the availability of additional authorized shares for issuance from time-to-time in our Board of Directors’ discretion in connection with future financings, investment opportunities, stock splits or dividends, equity incentive plan arrangements or for other corporate purposes is desirable in order to avoid repeated separate amendments to our Amended and Restated Certificate of Incorporation and the delay and expense incurred in holding meetings of the stockholders to approve such amendments.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Adverse Effects of the Authorized Share Increase</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authorization of additional shares of common stock sought by this proposal would not have any immediate dilutive effect upon the proportionate voting power or rights of our existing stockholders; however, to the extent that the additional authorized shares of common stock are issued in the future, including in connection with future capital raising transactions or strategic transactions, such issuance will likely decrease existing stockholders’ percentage equity ownership, be dilutive to existing stockholders and have a negative effect upon the market price of the common stock. Our stockholders do not have any preemptive right to purchase or subscribe for any part of any new or additional issuance of our securities by virtue of their holding shares of our common stock.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increased proportion of unissued authorized shares compared to issued shares could, under certain circumstances, have an anti-takeover effect (for example, by permitting issuances that would dilute the stock ownership of a person seeking to effect a change in the composition of our Board of Directors or contemplating a tender offer or other transaction for our combination with another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Current Plans, Proposals or Arrangements to Issue Shares of Common Stock</w:t>
      </w:r>
    </w:p>
    <w:p>
      <w:pPr>
        <w:spacing w:after="0" w:line="22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of June 4, 2025, there were (i) 21,303,358 shares of our common stock were issued and outstanding, (ii) 1,942,351 shares of common stock issuable upon the exercise of outstanding stock options, having a weighted average exercise price of $1.78 per share, (iii) 39,700 shares of common stock issuable upon the vesting of common stock awards, having a weighted average grant date fair value of $0.99 per share, (iv) 1,250,213 shares of common stock issuable upon the exercise of outstanding warrants (other than the Pre-Funded Warrants and Warrants), having a weighted average exercise price of $4.12 per share, (v) 223,522 shares of common stock reserved for future issuance pursuant to our 2018 Plan, (vi) 4,444,444 shares of common stock issuable upon exercise of the outstanding Pre-Funded Warrants, and (vii) up to 14,805,557 of our authorized shares were reserved for issuance upon the exercise of the Warrants issued in the Private Placement assuming approval of the Issuance Proposal in Proposal No. 4. Pursuant to Proposal No. 7, we are also seeking approval of an amendment to our 2018 Plan to increase the number of shares authorized for the issuance of awards by 2,000,000.</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Following the approval and filing of the Certificate of Amendment relating to the Authorized Share Increase, we may explore additional financing opportunities or strategic transactions that would require the issuance of additional shares of our common stock. If we issue additional shares, the ownership interest of holders of our capital stock will be diluted. Other than as set forth above or elsewhere in this proxy statement, we have no current plans, proposals or arrangements to issue any of the additional authorized shares of common stock that would become available as a result of the filing of the Certificate of Amendment relating to the Authorized Share Increase.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of Certain Persons in Matters to Be Acted Upon</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Except with respect to their continued employment as officers or directors of the Company, no director or executive officer has any substantial interest, direct or indirect, by security holdings or otherwise, in this proposal that is not shared by all of our other stockholders.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 for Implementing the Amendment</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increase in our authorized shares of common stock will become effective upon the filing of the Certificate of Amendment relating to the Authorized Share Increase or such later time as specified in the filing with the Secretary of State of Delaware. The timing of the filing of the Certificate of Amendment will be determined by the Board of Directors based on its evaluation as to when such action will be the most advantageous to the Company and our stockholders. The Board reserves the right to abandon the Authorized Share Increase without further action by our stockholders at any time before the proposed amendment becomes effective, even if stockholders approve such amendment at the Annual Meeting.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the Authorized Share Increase proposal to be approved, the number of votes cast “FOR” the proposal must exceed the number of votes cast “AGAINST” the proposal; provided that our common stock meets the Listing Condition, in which case, abstentions with respect to the proposal will not be considered “votes cast” and will have no effect on the proposal. If the Listing Condition is not met, the proposal must receive the affirmative vote of the holders of a majority of our issued and outstanding shares of common stock as of the Record Date, and any abstentions with respect to the proposal would have the same effect as a vote “AGAINST” the proposal. Brokerage firms have authority to vote customers’ unvoted shares held by the firms in street name on this proposal. If the Listing Condition is met, any broker non-votes (if any) will have no effect on the proposal. If the Listing Condition is not met, any broker non-votes (if any) will be treated as a vote “AGAINST” the proposal.</w:t>
      </w:r>
    </w:p>
    <w:p>
      <w:pPr>
        <w:spacing w:after="0" w:line="183" w:lineRule="exact"/>
        <w:rPr>
          <w:sz w:val="20"/>
          <w:szCs w:val="20"/>
          <w:color w:val="auto"/>
        </w:rPr>
      </w:pPr>
    </w:p>
    <w:p>
      <w:pPr>
        <w:jc w:val="center"/>
        <w:ind w:left="340" w:right="280"/>
        <w:spacing w:after="0" w:line="264"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TO APPROVE THE AMENDMENT OF OUR AMENDED AND RESTATED CERTIFICATE OF INCORPORATION TO INCREASE THE TOTAL SHARES OF COMMON STOCK AUTHORIZED FOR ISSUANCE THEREUNDER FROM 112,500,000 SHARES TO 350,000,000 SHARES.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PROPOSAL NO. 6:</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APPROVAL OF AN AMENDMENT TO THE COMPANY’S AMENDED AND RESTATED CERTIFICATE OF INCORPORATION TO EFFECT</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REVERSE STOCK SPLIT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 A RATIO BETWEEN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AND INCLUDING, 1:5 AND 1:18, WITH THE EXACT RATIO TO BE SET WITHIN THAT RANGE AT THE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DISCRETION OF OUR BOARD OF DIRECTORS WITHOUT FURTHER APPROVAL OR AUTHORIZATION OF OUR STOCKHOLDERS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“REVERSE STOCK SPLIT”)</w:t>
      </w:r>
    </w:p>
    <w:p>
      <w:pPr>
        <w:spacing w:after="0" w:line="20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Board has adopted a resolution approving and recommending to the Company’s stockholders for their approval a proposal to amend the Amended and Restated Certificate of Incorporation to effect a reverse stock split of outstanding shares of common stock at a ratio between, and including, 1:5 and 1:18, with the exact ratio to be set within that range at the discretion of our Board of Directors without further approval or authorization of our stockholders. If the Reverse Stock Split is implemented, pursuant to the amendment to the Company’s Amended and Restated Certificate of Incorporation that gives effect to the Reverse Stock Split, the total number of authorized shares of common stock will not change, as the Reverse Stock Split will not have any effect on the authorized number of shares of our common stock. The form of this proposed certificate of amendment to the Amended and Restated Certificate of Incorporation (the “Reverse Stock Split Amendment”) is attached to this Proxy Statement as an exhibit.</w:t>
      </w:r>
    </w:p>
    <w:p>
      <w:pPr>
        <w:spacing w:after="0" w:line="18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If this proposal is approved by the stockholders, the Board of Directors may subsequently effect, in its sole discretion, the Reverse Stock Split using a ratio between, and including, 1:5 and 1:18. Approval of this proposal by the stockholders would give the Board of Directors authority to implement the Reverse Stock Split at any time.</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Board of Directors believes that stockholder approval of a range of potential ratios (rather than a single ratio) provides the Board of Directors with the flexibility to achieve the desired results of the Reverse Stock Split. If the stockholders approve this proposal, the Reverse Stock Split will be effected only upon a determination by the Board of Directors that the Reverse Stock Split is in the best interests of the stockholders at that time, and the Board of Directors, in its discretion, may determine not to proceed with the Reverse Stock Split. In connection with any determination to effect the Reverse Stock Split, the Board of Directors will set the timing for such a split and select the specific ratio from within the range of ratios set forth herein. The Board reserves the right to abandon the Reverse Stock Split without further action by our stockholders at any time before the proposed amendment becomes effective, even if stockholders approve such amendment at the Annual Meeting.</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Reverse Stock Split would affect all holders of our outstanding common stock uniformly and would not affect any stockholder’s percentage ownership or proportionate voting and other rights in our common stock, except for adjustments that might result from the treatment of fractional shares as described below. Pursuant to the Reverse Stock Split Amendment, the number of authorized shares of our common stock would not change and the par value of our common stock would remain unchanged at $0.01 per share. The Reverse Stock Split Amendment would not impact the total authorized number of shares of Preferred Stock or the par value thereof.</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Shares</w:t>
      </w:r>
    </w:p>
    <w:p>
      <w:pPr>
        <w:spacing w:after="0" w:line="224"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7"/>
          <w:szCs w:val="17"/>
          <w:color w:val="auto"/>
        </w:rPr>
        <w:t>Our Certificate of Incorporation currently authorizes us to issue a maximum of 112,500,000 shares of common stock, par value $0.01 per share, and 100,000 shares of preferred stock, $0.01 par value per share. Our issued and outstanding securities as of June 4, 2025 are 21,303,358 shares of common stock.</w:t>
      </w:r>
      <w:r>
        <w:rPr>
          <w:rFonts w:ascii="Times New Roman" w:cs="Times New Roman" w:eastAsia="Times New Roman" w:hAnsi="Times New Roman"/>
          <w:sz w:val="28"/>
          <w:szCs w:val="28"/>
          <w:color w:val="auto"/>
          <w:vertAlign w:val="superscript"/>
        </w:rPr>
        <w:t>1</w:t>
      </w:r>
    </w:p>
    <w:p>
      <w:pPr>
        <w:spacing w:after="0" w:line="59" w:lineRule="exact"/>
        <w:rPr>
          <w:sz w:val="20"/>
          <w:szCs w:val="20"/>
          <w:color w:val="auto"/>
        </w:rPr>
      </w:pPr>
    </w:p>
    <w:p>
      <w:pPr>
        <w:ind w:firstLine="7"/>
        <w:spacing w:after="0" w:line="193" w:lineRule="auto"/>
        <w:tabs>
          <w:tab w:leader="none" w:pos="111" w:val="left"/>
        </w:tabs>
        <w:numPr>
          <w:ilvl w:val="0"/>
          <w:numId w:val="3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Excluding 22 shares of treasury stock; 20,500,214 shares of common stock for outstanding warrants to purchase common stock; and 2,205,573 shares of common stock have been reserved for options and stock grants either granted or remaining to be granted.</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As of the Record Date, no shares of the Company’s preferred stock were issued and outstanding.</w:t>
      </w:r>
    </w:p>
    <w:p>
      <w:pPr>
        <w:spacing w:after="0" w:line="2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table below illustrates the effect of the Reverse Stock Split on the number of shares of our common stock that would be issued and outstanding, authorized and reserved for issuance and authorized and unreserved for issuance based on our capitalization as of June 4, 2025:</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Shares Authorized</w:t>
            </w: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Shares Authorized</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280" w:type="dxa"/>
            <w:vAlign w:val="bottom"/>
          </w:tcPr>
          <w:p>
            <w:pPr>
              <w:spacing w:after="0"/>
              <w:rPr>
                <w:sz w:val="18"/>
                <w:szCs w:val="18"/>
                <w:color w:val="auto"/>
              </w:rPr>
            </w:pPr>
          </w:p>
        </w:tc>
        <w:tc>
          <w:tcPr>
            <w:tcW w:w="18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Shares Issued and</w:t>
            </w: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and Reserved for</w:t>
            </w: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and Unreserved</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280" w:type="dxa"/>
            <w:vAlign w:val="bottom"/>
          </w:tcPr>
          <w:p>
            <w:pPr>
              <w:spacing w:after="0"/>
              <w:rPr>
                <w:sz w:val="20"/>
                <w:szCs w:val="20"/>
                <w:color w:val="auto"/>
              </w:rPr>
            </w:pPr>
          </w:p>
        </w:tc>
        <w:tc>
          <w:tcPr>
            <w:tcW w:w="18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Outstanding</w:t>
            </w: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Issuance</w:t>
            </w:r>
          </w:p>
        </w:tc>
        <w:tc>
          <w:tcPr>
            <w:tcW w:w="17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for Issuance</w:t>
            </w: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 Authorized</w:t>
            </w:r>
          </w:p>
        </w:tc>
      </w:tr>
      <w:tr>
        <w:trPr>
          <w:trHeight w:val="207"/>
        </w:trPr>
        <w:tc>
          <w:tcPr>
            <w:tcW w:w="428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June 4, 2025</w:t>
            </w:r>
          </w:p>
        </w:tc>
        <w:tc>
          <w:tcPr>
            <w:tcW w:w="1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21,303,358</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22,705,809</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68,490,833</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112,500,000</w:t>
            </w:r>
          </w:p>
        </w:tc>
      </w:tr>
      <w:tr>
        <w:trPr>
          <w:trHeight w:val="213"/>
        </w:trPr>
        <w:tc>
          <w:tcPr>
            <w:tcW w:w="4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Following 5-for-1 Reverse Stock Split</w:t>
            </w:r>
          </w:p>
        </w:tc>
        <w:tc>
          <w:tcPr>
            <w:tcW w:w="1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4,260,672</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4,541,162</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103,698,167</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112,500,000</w:t>
            </w:r>
          </w:p>
        </w:tc>
      </w:tr>
      <w:tr>
        <w:trPr>
          <w:trHeight w:val="213"/>
        </w:trPr>
        <w:tc>
          <w:tcPr>
            <w:tcW w:w="4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Following 10-for-1 Reverse Stock Split</w:t>
            </w:r>
          </w:p>
        </w:tc>
        <w:tc>
          <w:tcPr>
            <w:tcW w:w="1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2,130,336</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2,270,581</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108,099,083</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112,500,000</w:t>
            </w:r>
          </w:p>
        </w:tc>
      </w:tr>
      <w:tr>
        <w:trPr>
          <w:trHeight w:val="213"/>
        </w:trPr>
        <w:tc>
          <w:tcPr>
            <w:tcW w:w="4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Following 18-for-1 Reverse Stock Split</w:t>
            </w:r>
          </w:p>
        </w:tc>
        <w:tc>
          <w:tcPr>
            <w:tcW w:w="1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1,183,520</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1,261,434</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110,055,046</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112,500,000</w:t>
            </w: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above does not take into account the treatment of fractional shares.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the Reverse Stock Split</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Board believes that the increase in the number of available shares of common stock following the Reverse Stock Split will provide the Company with the ability to support its future anticipated growth and would provide greater flexibility to consider and respond to future business opportunities and needs as they arise, including equity financings and stock-based acquisitions of new technology and product development candidates. The availability of additional shares of common stock would permit the Company to undertake certain of the foregoing actions without delay and expense associated with holding an Annual or Special Meeting of Stockholders to obtain stockholder approval each time such an opportunity arises that would require the issuance of shares of our common stock.</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Further, the Company compensates key employees through equity-based compensation programs. This compensation program is essential to the high-risk nature of the business and provides the ability to align the interests of key employees with stockholders. Without an increase in the number of available shares of common stock, the Company will not be able to recruit, retain and reward key employees, which includes non-employee directors, officers, other employees, consultants, independent contractors and agents.</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the Reverse Stock Split will allow us to attempt to increase the bid price of our common stock by reducing the number of outstanding shares of our common stock. To continue listing on The Nasdaq Capital Market, we must comply with the applicable listing requirements under Nasdaq Marketplace Rules, which requirements include, among others, a minimum bid price of at least $1.00 per share. On November 26, 2024, we received a letter from Nasdaq indicating that the closing bid price of our common stock fell below $1.00 per share for the previous 30 consecutive business days, and that we are therefore not in compliance with the minimum bid price requirement for continued inclusion on The Nasdaq Capital Market. As the Company did not regain compliance with the minimum bid price requirement by May 27, 2025, it was determined that the Company is not eligible for another 180 calendar-day extension because it did not meet the minimum stockholders’ equity initial listing requirements of $5,000,000 for Nasdaq, as set forth under Nasdaq Listing Rule 5505(b), and the Company received a delisting determination letter on May 28, 2025. On May 29, 2025, the Company appealed the Nasdaq staff’s determination to a Nasdaq Hearings Panel, which will stay the delisting and suspension of the Company’s common stock pending a decision by the Nasdaq Hearings Panel. There can be no assurance that our request for continued listing will be granted.</w:t>
      </w:r>
    </w:p>
    <w:p>
      <w:pPr>
        <w:spacing w:after="0" w:line="1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Board has considered the potential harm to us if we are not able to regain compliance and our common stock becomes delisted from The Nasdaq Capital Market. If our common stock were delisted from The Nasdaq Capital Market, trading of our common stock would most likely take place on an over-the-counter market established for unlisted securities, such as the Pink Sheets or the OTC Bulletin Board. An investor would likely find it less convenient to sell, or to obtain accurate quotations in seeking to buy, our common stock on an over-the-counter market. As a result, many investors would likely not buy or sell our common stock due to difficulty in accessing over-the-counter markets, policies preventing them from trading in securities not listed on a national exchange or other reasons. In addition, as a delisted security, our common stock would be subject to SEC rules regarding “penny stock,” which impose additional disclosure requirements on broker-dealers. The regulations relating to penny stocks, coupled with the typically higher cost per trade to the investor of penny stocks due to factors such as broker commissions generally representing a higher percentage of the price of a penny stock than of a higher-priced stock, would further limit the ability of investors to trade in our common stock. For these reasons and others, delisting would likely adversely affect the liquidity, trading volume and price of our common stock, causing the value of an investment in us to decrease and having an adverse effect on our business, financial condition and results of operations, including our ability to attract and retain qualified employees and to raise capital.</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46" w:name="page47"/>
    <w:bookmarkEnd w:id="46"/>
    <w:p>
      <w:pPr>
        <w:jc w:val="both"/>
        <w:spacing w:after="0" w:line="257" w:lineRule="auto"/>
        <w:rPr>
          <w:sz w:val="20"/>
          <w:szCs w:val="20"/>
          <w:color w:val="auto"/>
        </w:rPr>
      </w:pPr>
      <w:r>
        <w:rPr>
          <w:rFonts w:ascii="Times New Roman" w:cs="Times New Roman" w:eastAsia="Times New Roman" w:hAnsi="Times New Roman"/>
          <w:sz w:val="18"/>
          <w:szCs w:val="18"/>
          <w:color w:val="auto"/>
        </w:rPr>
        <w:t>The Board believes that a Reverse Stock Split is a potentially effective means for the Company to regain and maintain compliance with Nasdaq Marketplace Rules and to avoid, or at least mitigate, the likely adverse consequences of common stock being delisted from The Nasdaq Capital Market by producing the immediate effect of increasing the bid price of our common stock. The Reverse Stock Split will also enable the Company to support its anticipated growth, provide greater flexibility to consider and respond to future business opportunities and to recruit, retain and reward key employees.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 for Affecting the Reverse Stock Split</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Board unanimously approved and recommended seeking shareholder approval of the Reverse Stock Split proposal on March 14, 2025. If our stockholders approve the Reverse Stock Split, the Board would determine the ratio from the range between, and including, 1:5 and 1:18 options. Based, in part, on the price of the common stock on the days leading up to the filing of the Reverse Stock Split Amendment, the Board will determine the ratio of the Reverse Stock Split. The Board will publicly announce the ratio selected for the Reverse Stock Split prior to the effectiveness of the Reverse Stock Split within the limits set forth in the Reverse Stock Split proposal.</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Reverse Stock Split Amendment would be filed with the Secretary of State of the State of Delaware. As of the effective date set forth in the Reverse Stock Split Amendment (the “Reverse Stock Split Effective Date”), the outstanding shares of our common stock would be combined and converted into a lesser number of shares of common stock calculated in accordance with the ratio set by the Board, within the specified range of potential ratios, and without further action on the part of the Company and our stockholders. For instance, if a stockholder presently holds 100 shares of our common stock, the stockholder will hold 10 shares of our common stock following a Reverse Stock Split effected at a ratio of one-for-ten.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Fractional Shares</w:t>
      </w:r>
    </w:p>
    <w:p>
      <w:pPr>
        <w:spacing w:after="0" w:line="2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No fractional shares will be issued in connection with the Reverse Stock Split. To avoid the existence of fractional shares of the Company’s common stock, any fractional shares that would otherwise be issued as a result of the Reverse Stock Split will be rounded up to the nearest whole share. For example, if the Board effects a one-for-ten split, and you held nine shares of our common stock immediately prior to the Reverse Stock Split Effective Date, you would hold one share of our common stock following the Reverse Stock Split.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Record and Beneficial Stockholders</w:t>
      </w:r>
    </w:p>
    <w:p>
      <w:pPr>
        <w:spacing w:after="0" w:line="2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After the Reverse Stock Split Effective Date, our common stock would have a new Committee on Uniform Securities Identification Procedures (“CUSIP”) number, a number used to identify our common stock. Stock certificates with the old CUSIP number would need to be exchanged for stock certificates with the new CUSIP number.</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After the Reverse Stock Split, stockholders of record holding some or all of their shares of our Common Stock electronically in book-entry form under the direct registration system for securities would receive a transaction statement at their address of record indicating the number of shares of our Common Stock they held after the Reverse Stock Split. Stockholders of record holding all of their shares in certificate form, or a combination of certificate and book-entry form, would receive transmittal letters from our transfer agent, Equiniti Trust Company (the “Transfer Agent”), as soon as practicable after the Reverse Stock Split Effective Date. The letters of transmittal would contain instructions on how the stockholders of record must surrender the certificates representing the pre-Reverse Stock Split shares to the Transfer Agent to be exchanged for stock certificates representing post-Reverse Stock Split shares.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47" w:name="page48"/>
    <w:bookmarkEnd w:id="47"/>
    <w:p>
      <w:pPr>
        <w:jc w:val="both"/>
        <w:spacing w:after="0" w:line="262" w:lineRule="auto"/>
        <w:rPr>
          <w:sz w:val="20"/>
          <w:szCs w:val="20"/>
          <w:color w:val="auto"/>
        </w:rPr>
      </w:pPr>
      <w:r>
        <w:rPr>
          <w:rFonts w:ascii="Times New Roman" w:cs="Times New Roman" w:eastAsia="Times New Roman" w:hAnsi="Times New Roman"/>
          <w:sz w:val="18"/>
          <w:szCs w:val="18"/>
          <w:color w:val="auto"/>
        </w:rPr>
        <w:t>Stockholders holding our Common Stock in “street name,” through a brokerage firm, bank, broker-dealer or other nominee, would be treated in the same manner as stockholders of record whose shares are held in their own names with the Transfer Agent. However, stockholders should contact their brokerage firm, bank, broker-dealer or other nominee for more information regarding their particular procedures for processing the Reverse Stock Split.</w:t>
      </w:r>
    </w:p>
    <w:p>
      <w:pPr>
        <w:spacing w:after="0" w:line="17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color w:val="auto"/>
        </w:rPr>
        <w:t>STOCKHOLDERS SHOULD NOT DESTROY ANY STOCK CERTIFICATE(S) AND SHOULD NOT SUBMIT ANY STOCK CERTIFICATE(S) UNTIL REQUESTED TO DO SO.</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the Reverse Stock Split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on Warrants, Stock Options and Equity Plans</w:t>
      </w:r>
    </w:p>
    <w:p>
      <w:pPr>
        <w:spacing w:after="0" w:line="2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Based on the Reverse Stock Split ratio selected by the Board, proportionate adjustments would also be made to the per share conversion price or exercise price, as the case may be, and the number of shares issuable upon the conversion or exercise of all of our warrants, options and any other similar rights or securities entitling their holders to purchase or obtain shares of our Common Stock. In addition, the number of shares of our Common Stock reserved for issuance under our equity compensation plans would be reduced by the exchange ratio selected by the Board for the Reverse Stock Split.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on Par Value and Accounting</w:t>
      </w:r>
    </w:p>
    <w:p>
      <w:pPr>
        <w:spacing w:after="0" w:line="2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Following the Reverse Stock Split, the par value per share of our Common Stock would remain at $0.01 per share. Total stockholders’ equity would remain unchanged. Net loss per share and net book value per share would be increased as a result of the Reverse Stock Split since fewer shares of our Common Stock would be outstanding. All share and per share information in our financial statements would be restated to reflect the Reverse Stock Split for all periods presented in filings after the Reverse Stock Split Effective Date with the SEC and The Nasdaq Capital Market.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Other Effects</w:t>
      </w:r>
    </w:p>
    <w:p>
      <w:pPr>
        <w:spacing w:after="0" w:line="2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After the Reverse Stock Split, we would continue to be subject to the periodic reporting requirements of the Securities Exchange Act of 1934, as amended (the “Exchange Act”), and outstanding shares of our Common Stock would remain fully paid and non-assessable. Our Common Stock would continue to be reported on The Nasdaq Capital Market under the symbol “IMNN,” or on the market on which our Common Stock is then trading, although it is likely that Nasdaq would add the letter “D” to the end of the trading symbol for a period of twenty trading days after the Reverse Stock Split Effective Date to indicate that the Reverse Stock Split had occurred. We would make all necessary filings with Nasdaq or the applicable trading market as required by SEC Rule 10b-17.</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Negative Effects of the Reverse Stock Split</w:t>
      </w:r>
    </w:p>
    <w:p>
      <w:pPr>
        <w:spacing w:after="0" w:line="22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immediate effect of the Reverse Stock Split would be to reduce the number of shares of our outstanding Common Stock and to increase the bid price of our Common Stock. However, we cannot guarantee that the Reverse Stock Split would lead to an increase in the bid price of our Common Stock in proportion to the reduction in the number of shares of our outstanding Common Stock or result in a permanent increase in the bid price of our Common Stock. Indeed, because the bid price of our Common Stock depends on our performance, prospects, general market conditions and other factors unrelated to the number of shares of our Common Stock outstanding at any given time, the bid price of our Common Stock might decline after the Reverse Stock Split (perhaps by an even greater percentage than would have occurred in the absence of the Reverse Stock Split). As a result, we might still be at risk for adverse consequences associated with lower-priced stocks generally.</w:t>
      </w:r>
    </w:p>
    <w:p>
      <w:pPr>
        <w:spacing w:after="0" w:line="1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cannot assure you that the Reverse Stock Split would have the desired effect of regaining and maintaining compliance with Nasdaq Marketplace Rules relating to our bid price and our Common Stock would not remain subject to the risk of being delisted. Furthermore, the Reverse Stock Split would make it more difficult for us to meet certain other requirements for continued listing on The Nasdaq Capital Market, including rules related to the minimum number of shares that must be in the public float, the minimum market value of the public float and the minimum number of round lot holders. Our Common Stock might experience reduced liquidity and trading volume due to the availability of fewer shares for trading after the Reverse Stock Split and certain investors could still consider the bid price of our Common Stock to be too low, including investors with express policies prohibiting transactions involving lower-priced stocks or investors who are reluctant to incur transaction costs that represent a higher percentage of the stock price of lower-priced stocks than of higher-priced stocks. In addition, customers, suppliers or employees might consider a company with a low stock price and reduced liquidity and trading volume as risky and might accordingly be less likely to transact business with us.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48" w:name="page49"/>
    <w:bookmarkEnd w:id="48"/>
    <w:p>
      <w:pPr>
        <w:jc w:val="both"/>
        <w:spacing w:after="0" w:line="254" w:lineRule="auto"/>
        <w:rPr>
          <w:sz w:val="20"/>
          <w:szCs w:val="20"/>
          <w:color w:val="auto"/>
        </w:rPr>
      </w:pPr>
      <w:r>
        <w:rPr>
          <w:rFonts w:ascii="Times New Roman" w:cs="Times New Roman" w:eastAsia="Times New Roman" w:hAnsi="Times New Roman"/>
          <w:sz w:val="18"/>
          <w:szCs w:val="18"/>
          <w:color w:val="auto"/>
        </w:rPr>
        <w:t>The Reverse Stock Split might also produce other negative effects. Investors might consider the increased proportion of unissued authorized shares to issued shares to have an anti-takeover effect under certain circumstances, since the proportion allows for dilutive issuances which could prevent certain stockholders from changing the composition of the Board or render tender offers for a combination with another entity more difficult to successfully complete. The Board does not intend for the Reverse Stock Split to have any anti-takeover effects or to be part of a “going private” transaction within the meaning of Rule 13e-3 of the Exchange Act.</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Certain stockholders might be adversely affected disproportionately by the Reverse Stock Split. Other stockholders might end up owning “odd-lots” of less than 100 shares as a result of the Reverse Stock Split, which would likely result in brokerage commissions and other transaction costs that are higher than the costs associated with transactions in even multiples of 100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Appraisal Rights</w:t>
      </w:r>
    </w:p>
    <w:p>
      <w:pPr>
        <w:spacing w:after="0" w:line="224"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Under the General Corporation Law of the State of Delaware, our stockholders are not entitled to appraisal rights with respect to the Reverse Stock Split, and we would not independently provide our stockholders with such rights if the Reverse Stock Split is effected.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United States Federal Income Tax Consequences of the Reverse Stock Split</w:t>
      </w:r>
    </w:p>
    <w:p>
      <w:pPr>
        <w:spacing w:after="0" w:line="22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following is a discussion of certain material U.S. federal income tax consequences of the Reverse Stock Split. This discussion is based on the U.S. Internal Revenue Code of 1986, as amended (the “Code”), applicable Treasury regulations promulgated under the Code, judicial decisions and administrative rulings, all as of the date hereof. Any of these authorities could be repealed, overruled or modified at any time. Any such change could be retroactive and could cause the U.S. federal income tax consequences of the Reverse Stock Split to vary substantially from those described herein. This discussion does not address U.S. federal taxes other than those pertaining to U.S. federal income taxation (such as estate or gift taxes, the alternative minimum tax or the Medicare tax on investment income). Nor does it address any aspects of U.S. state or local or non-U.S. taxation. We have not and do not intend to seek any ruling from the U.S. Internal Revenue Service (the “IRS”) regarding any U.S. federal income tax consequences described herein. There can be no assurance that the IRS will not take positions inconsistent with the consequences discussed below or that any such positions would not be sustained by a court. All stockholders are urged to consult with their tax advisors with respect to the tax consequences of the Reverse Stock Split.</w:t>
      </w:r>
    </w:p>
    <w:p>
      <w:pPr>
        <w:spacing w:after="0" w:line="1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This discussion applies only to stockholders that are U.S. Holders (as defined below) and does not address all aspects of U.S. federal income taxation that may be relevant to stockholders in light of their particular circumstances or to stockholders that may be subject to special tax rules, including (i) stockholders subject to the alternative minimum tax; (ii) banks, insurance companies, or other financial institutions; (iii) tax-exempt organizations; (iv) dealers in securities or commodities; (v) regulated investment companies or real estate investment trusts; (vi) traders in securities that elect to use a mark-to-market method of accounting; (vii) stockholders whose functional currency is not the U.S. dollar; (viii) persons holding our Common Stock as a position in a hedging transaction, straddle, conversion transaction or other risk reduction transaction; (ix) persons who acquired shares of our Common Stock in connection with employment or other performance of services; (x) U.S. expatriates; (xi) partnerships (including entities or arrangements treated as partnerships for U.S. federal income tax purposes); and (xii) S corporations. This discussion assumes that the pre-Reverse Stock Split shares of Common Stock were, and the post-Reverse Stock Split shares of Common Stock will be, held as a “capital asset,” as defined in Section 1221 of the Code. If a partnership (including any entity or arrangement treated as a partnership for U.S. federal income tax purposes) holds shares of our Common Stock, the tax treatment of a partner in the partnership generally will depend upon the status of the partner and the activities of the partnership.</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As used herein, the term “U.S. Holder” is a beneficial owner of Common Stock that is, for U.S. federal income tax purposes:</w:t>
      </w:r>
    </w:p>
    <w:p>
      <w:pPr>
        <w:spacing w:after="0" w:line="220" w:lineRule="exact"/>
        <w:rPr>
          <w:sz w:val="20"/>
          <w:szCs w:val="20"/>
          <w:color w:val="auto"/>
        </w:rPr>
      </w:pPr>
    </w:p>
    <w:p>
      <w:pPr>
        <w:ind w:left="640" w:hanging="313"/>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United States,</w:t>
      </w:r>
    </w:p>
    <w:p>
      <w:pPr>
        <w:spacing w:after="0" w:line="219"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that is treated as a corporation for U.S. federal income tax purposes) that is created or organized (or treated as created or organized) in or under the laws of the United States or any state thereof or the District of Columbia,</w:t>
      </w:r>
    </w:p>
    <w:p>
      <w:pPr>
        <w:spacing w:after="0" w:line="16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 regardless of its source, or</w:t>
      </w:r>
    </w:p>
    <w:p>
      <w:pPr>
        <w:spacing w:after="0" w:line="219"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U.S. court can exercise primary supervision over the administration of such trust and one or more U.S. persons have the authority to control all substantial decisions of the trust or (ii) it has a valid election in place to be treated as a U.S. person.</w:t>
      </w:r>
    </w:p>
    <w:p>
      <w:pPr>
        <w:spacing w:after="0" w:line="15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color w:val="auto"/>
        </w:rPr>
        <w:t>ALL STOCKHOLDERS ARE URGED TO CONSULT WITH THEIR TAX ADVISORS WITH RESPECT TO THE TAX CONSEQUENCES OF THE REVERSE STOCK SPLIT</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Reverse Stock Split is intended to be treated as a “recapitalization” for U.S. federal income tax purposes within the meaning of Section 368(a)(1)(E) of the Code that is not part of a plan to periodically increase any stockholder’s proportionate interest in the assets or earnings and profits of the Company. The remainder of this discussion assumes the Reverse Stock Split is so treated.</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 U.S. Holder should not recognize gain or loss upon the Reverse Stock Split, except possibly with respect to any additional fractions of a share of the Company’s common stock received as a result of the rounding up of any fractional shares that would otherwise be issued, as discussed below. Subject to the following discussion regarding a U.S. Holder’s receipt of a whole share of the Company’s common stock in lieu of a fractional share, a U.S. Holder’s aggregate tax basis in the shares of the Company’s common stock received pursuant to the Reverse Stock Split should equal the aggregate tax basis of the shares of the Company’s common stock surrendered (possibly, increased by any income or gain recognized on receipt of a whole share in lieu of a fractional share), and such U.S. Holder’s holding period in the shares of the Company’s common stock received should include the holding period in the shares of the Company’s common stock surrendered. Treasury regulations promulgated under the Code provide detailed rules for allocating the tax basis and holding period of the shares of the Company’s common stock surrendered to the shares of the Company’s common stock received pursuant to the Reverse Stock Split. U.S. Holders of shares of the Company’s common stock acquired on different dates and at different prices should consult their own tax advisors regarding the allocation of the tax basis and holding period of such shares.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As described above, no fractional shares of the Company’s common stock will be issued as a result of the Reverse Stock Split. Instead, if the Reverse Stock Split would result in a U.S. Holder receiving fractional shares, the number of shares to be issued to such U.S. Holder will be rounded up to the nearest whole share. The U.S. federal income tax consequences of the receipt of such additional fraction of a share of the Company’s common stock are not clear. A U.S. Holder who receives one whole share of the Company’s common stock in lieu of a fractional share may possibly recognize income or gain in an amount not to exceed the excess of the fair market value of such share over the fair market value of the fractional share to which such U.S. Holder was otherwise entitled. The holding period for the portion of a whole share of the Company’s common stock treated as a distribution or as to which a U.S. Holder recognizes gain might not include the holding period of such U.S. Holder’s pre-Reverse Stock Split shares of the Company’s common stock surrendered. The Company is not making any representation as to whether the receipt of one whole share in lieu of a fractional share will result in income or gain to any stockholder, and stockholders are urged to consult their own tax advisors as to the possible tax consequences of receiving a whole share in lieu of a fractional share in the Reverse Stock Split. In addition, backup withholding may apply to a U.S. Holder who receives a whole share of the Company’s common stock in lieu of a fractional share unless such U.S. Holder provides the Exchange Agent with appropriate documentation establishing that backup withholding is not required.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Interests of the Board</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 member of the Board has a substantial interest, directly or indirectly, in the matters set forth in the Reverse Stock Split Proposal, except to the extent of each member’s ownership of shares of our Common Stock or restricted stock or options or warrants to purchase shares of our Common Stock. The Reverse Stock Split would result in the increased number of available authorized shares of Common Stock, some of which could be used as compensation for non-employee directors or executive directors in connection with equity compensation plans. All such plans have been approved (or will be approved) by the stockholders of the Company at general meetings.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the Reverse Stock Split proposal to be approved, the number of votes cast “FOR” the proposal must exceed the number of votes cast “AGAINST” the proposal; provided that our common stock meets the Listing Condition, in which case, abstentions with respect to the proposal will not be considered “votes cast” and will have no effect on the proposal. If the Listing Condition is not met, the proposal must receive the affirmative vote of the holders of a majority of our issued and outstanding shares of common stock as of the Record Date, and any abstentions with respect to the proposal would have the same effect as a vote “AGAINST” the proposal. Brokerage firms have authority to vote customers’ unvoted shares held by the firms in street name on this proposal. If the Listing Condition is met, any broker non-votes (if any) will have no effect on the proposal. If the Listing Condition is not met, any broker non-votes (if any) will be treated as a vote “AGAINST” the proposal.</w:t>
      </w:r>
    </w:p>
    <w:p>
      <w:pPr>
        <w:spacing w:after="0" w:line="183" w:lineRule="exact"/>
        <w:rPr>
          <w:sz w:val="20"/>
          <w:szCs w:val="20"/>
          <w:color w:val="auto"/>
        </w:rPr>
      </w:pPr>
    </w:p>
    <w:p>
      <w:pPr>
        <w:jc w:val="center"/>
        <w:ind w:left="340" w:right="100"/>
        <w:spacing w:after="0" w:line="256" w:lineRule="auto"/>
        <w:rPr>
          <w:sz w:val="20"/>
          <w:szCs w:val="20"/>
          <w:color w:val="auto"/>
        </w:rPr>
      </w:pPr>
      <w:r>
        <w:rPr>
          <w:rFonts w:ascii="Times New Roman" w:cs="Times New Roman" w:eastAsia="Times New Roman" w:hAnsi="Times New Roman"/>
          <w:sz w:val="18"/>
          <w:szCs w:val="18"/>
          <w:b w:val="1"/>
          <w:bCs w:val="1"/>
          <w:color w:val="auto"/>
        </w:rPr>
        <w:t>THE BOARD UNANIMOUSLY RECOMMENDS A VOTE “FOR” THE AMENDMENT TO THE COMPANY’S AMENDED AND RESTATED CERTIFICATE OF INCORPORATION TO EFFECT A REVERSE STOCK SPLIT AT A RATIO BETWEEN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AND INCLUDING, 1:5 AND 1:18, WITH THE EXACT RATIO TO BE SET WITHIN THAT RANGE AT THE DISCRETION OF OUR BOARD OF DIRECTORS WITHOUT FURTHER APPROVAL OR AUTHORIZATION OF OUR STOCKHOLDERS (THE “REVERSE STOCK SPLIT”)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PROPOSAL NO. 7:</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OF THE IMUNON, INC. 2018 STOCK INCENTIVE PLAN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At the 2025 Annual Meeting, stockholders will be asked to approve the following amendment to the 2018 Plan, which amendment was approved by our Board of Directors on March 14, 2025.</w:t>
      </w:r>
    </w:p>
    <w:p>
      <w:pPr>
        <w:spacing w:after="0" w:line="159" w:lineRule="exact"/>
        <w:rPr>
          <w:sz w:val="20"/>
          <w:szCs w:val="20"/>
          <w:color w:val="auto"/>
        </w:rPr>
      </w:pPr>
    </w:p>
    <w:p>
      <w:pPr>
        <w:jc w:val="both"/>
        <w:ind w:left="6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Increase in Aggregate Share Limit. </w:t>
      </w:r>
      <w:r>
        <w:rPr>
          <w:rFonts w:ascii="Times New Roman" w:cs="Times New Roman" w:eastAsia="Times New Roman" w:hAnsi="Times New Roman"/>
          <w:sz w:val="18"/>
          <w:szCs w:val="18"/>
          <w:color w:val="auto"/>
        </w:rPr>
        <w:t>The 2018 Plan currently limits the aggregate number of shares of common stock that may be delivered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all awards granted under the 2018 Plan to 1,970,000 shares. As of June 4, 2025, only 223,522 shares remain available for future grants (and such amount of available shares is subject to adjustment upon the Reverse Stock Split described in Proposal 6, if approved and implemented). The proposed amendment would increase this limit by an additional 2,000,000 shares so that the new aggregate share limit for the 2018 Plan would be 3,970,000, subject to the Reverse Stock Split as described above.</w:t>
      </w:r>
    </w:p>
    <w:p>
      <w:pPr>
        <w:spacing w:after="0" w:line="1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of June 4, 2025, a total of 1,751,551 shares of common stock were subject to outstanding stock options and restricted stock awards granted under the 2018 Plan. The outstanding stock options have a weighted average strike price of $1.88 per share with a weighted average term of 8.4 years. A remainder of 223,522 shares of common stock were available for new award grants under the 2018 Plan. If the Reverse Stock Split is approved and implemented, these share numbers will be adjusted by the Reverse Stock Split. Our Board of Directors recommends the increase in the number of shares available under the 2018 Plan to provide us the ability to provide eligible officers, directors, key employees, and other individuals with additional incentives to contribute to our future success. In the judgment of the Board of Directors, awards under the 2018 Plan are a valuable and critical incentive and will serve to the ultimate benefit of the stockholders by aligning more closely the interests of the 2018 Plan participants with those of our stockholders.</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Board of Directors believes that the proposed 2018 Plan amendment is essential for our ongoing success and our ability to recruit, retain and reward key employees. The Board of Directors also believes that if the proposed amendment is not approved, our ability to align the interests of key employees with stockholders through equity-based compensation would be compromised, disrupting our compensation program, and impairing our ability to recruit and retain key employees. The Board of Directors recommends approval of the proposed 2018 Plan amendment for the following reasons:</w:t>
      </w:r>
    </w:p>
    <w:p>
      <w:pPr>
        <w:spacing w:after="0" w:line="181" w:lineRule="exact"/>
        <w:rPr>
          <w:sz w:val="20"/>
          <w:szCs w:val="20"/>
          <w:color w:val="auto"/>
        </w:rPr>
      </w:pPr>
    </w:p>
    <w:p>
      <w:pPr>
        <w:ind w:left="640" w:hanging="313"/>
        <w:spacing w:after="0" w:line="277" w:lineRule="auto"/>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align the interests of our stockholders and recipients of awards under the 2018 Plan by increasing the proprietary interest of such recipients in our growth and success;</w:t>
      </w:r>
    </w:p>
    <w:p>
      <w:pPr>
        <w:spacing w:after="0" w:line="162"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advance our interests of the Company by attracting and retaining non-employee directors, officers, other employees, consultants, independent contractors, and agents; and</w:t>
      </w:r>
    </w:p>
    <w:p>
      <w:pPr>
        <w:spacing w:after="0" w:line="16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motivate such persons to act in the long-term best interests of the Company and its stockholders.</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consider equity and equity-based compensation to be a key component of our compensation program and believe that it is essential to attract, motivate, and retain talented, experienced, and committed employees and to incentivize our employees to achieve our short- and long-term goals. On February 12, 2018, the Board of Directors, upon the recommendation of the Compensation Committee, adopted the IMUNON, INC. 2018 Stock Incentive Plan which later was approved by our stockholders at the 2018 Annual Meeting on May 15, 2018. The 2018 Plan replaced our 2007 Stock Incentive Plan (the “2007 Plan”). The 2018 Stock Incentive Plan constitutes the only plan we currently utilize to provide equity and equity-based incentive compensation to eligible employees, consultants, and directors.</w:t>
      </w:r>
    </w:p>
    <w:p>
      <w:pPr>
        <w:spacing w:after="0" w:line="183"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Historical Company Equity Usage. </w:t>
      </w:r>
      <w:r>
        <w:rPr>
          <w:rFonts w:ascii="Times New Roman" w:cs="Times New Roman" w:eastAsia="Times New Roman" w:hAnsi="Times New Roman"/>
          <w:sz w:val="18"/>
          <w:szCs w:val="18"/>
          <w:color w:val="auto"/>
        </w:rPr>
        <w:t>We believe that our historic equity usage has been reasonable in light of competitive considerations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potential dilutive impact of equity award grants on our stockholders. Our average three-year “run rate” was 6.6% as a percentage of weighted common shares outstanding which compares favorably to the non-Russell 3000 Index (Pharmaceuticals, Biotechnology &amp; Life Science) mean run rate of 8.6% for that same three-year period (with the run rate in each case calculated the number of shares subject to stock options and other equity awards granted during that period). We do not currently anticipate that our future annual long-term incentive grants will significantly exceed this run rate. As noted above, the number of shares of common stock currently available for future grants under the 2018 Plan is only 223,522 shares, demonstrating our need for additional shares to provide us greater flexibility to structure future incentives and to better attract, retain and award key employees to execute our current business plans and strategies. For more information on our past grants under the 2018 Plan, see “Potential Dilution and Burn Rate” below.</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52" w:name="page53"/>
    <w:bookmarkEnd w:id="52"/>
    <w:p>
      <w:pPr>
        <w:jc w:val="both"/>
        <w:ind w:left="640"/>
        <w:spacing w:after="0" w:line="255" w:lineRule="auto"/>
        <w:rPr>
          <w:sz w:val="20"/>
          <w:szCs w:val="20"/>
          <w:color w:val="auto"/>
        </w:rPr>
      </w:pPr>
      <w:r>
        <w:rPr>
          <w:rFonts w:ascii="Times New Roman" w:cs="Times New Roman" w:eastAsia="Times New Roman" w:hAnsi="Times New Roman"/>
          <w:sz w:val="18"/>
          <w:szCs w:val="18"/>
          <w:i w:val="1"/>
          <w:iCs w:val="1"/>
          <w:color w:val="auto"/>
        </w:rPr>
        <w:t>The Need to Provide Competitive Compensation</w:t>
      </w:r>
      <w:r>
        <w:rPr>
          <w:rFonts w:ascii="Times New Roman" w:cs="Times New Roman" w:eastAsia="Times New Roman" w:hAnsi="Times New Roman"/>
          <w:sz w:val="18"/>
          <w:szCs w:val="18"/>
          <w:color w:val="auto"/>
        </w:rPr>
        <w:t>. Similar to other companies in our industry, we believe equity compensation is integral in providing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competitive total compensation package necessary to recruit, retain and reward key employees. Equity awards are commonly used by companies our size, and the ability to provide competitive grants is essential to competing in our labor markets. Therefore, we believe it is imperative to provide long-term incentive awards as a component of our compensation program. We will continue to seek an appropriate balance between meeting employee hiring, retention, and compensation goals and avoiding excessive stockholder dilution.</w:t>
      </w:r>
    </w:p>
    <w:p>
      <w:pPr>
        <w:spacing w:after="0" w:line="181" w:lineRule="exact"/>
        <w:rPr>
          <w:sz w:val="20"/>
          <w:szCs w:val="20"/>
          <w:color w:val="auto"/>
        </w:rPr>
      </w:pPr>
    </w:p>
    <w:p>
      <w:pPr>
        <w:jc w:val="both"/>
        <w:ind w:left="640"/>
        <w:spacing w:after="0" w:line="263" w:lineRule="auto"/>
        <w:rPr>
          <w:sz w:val="20"/>
          <w:szCs w:val="20"/>
          <w:color w:val="auto"/>
        </w:rPr>
      </w:pPr>
      <w:r>
        <w:rPr>
          <w:rFonts w:ascii="Times New Roman" w:cs="Times New Roman" w:eastAsia="Times New Roman" w:hAnsi="Times New Roman"/>
          <w:sz w:val="18"/>
          <w:szCs w:val="18"/>
          <w:i w:val="1"/>
          <w:iCs w:val="1"/>
          <w:color w:val="auto"/>
        </w:rPr>
        <w:t>Cash Compensation Expense Increase</w:t>
      </w:r>
      <w:r>
        <w:rPr>
          <w:rFonts w:ascii="Times New Roman" w:cs="Times New Roman" w:eastAsia="Times New Roman" w:hAnsi="Times New Roman"/>
          <w:sz w:val="18"/>
          <w:szCs w:val="18"/>
          <w:color w:val="auto"/>
        </w:rPr>
        <w:t>. If our ability to provide equity compensation is impaired, our cash compensation costs could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substantially to offset equity compensation typically provided in the marketplace. We believe it is important that we use our cash resources to operate and expand our business, rather than unnecessarily diverting cash to pay compensation.</w:t>
      </w:r>
    </w:p>
    <w:p>
      <w:pPr>
        <w:spacing w:after="0" w:line="17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If stockholders do not approve this 2018 Plan amendment, the current share limit under, and other terms and conditions of the 2018 Plan, will continue in effect (to be adjusted by the Reverse Stock Split, if approved and implemented).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Dilution and Burn Rate</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following paragraphs include additional information to help you assess the potential dilutive impact of the Company’s outstanding equity awards under the 2018 Plan.</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following table shows the total number of shares of our common stock that were subject to outstanding restricted stock granted under the 2018 Plan, that were subject to outstanding stock options granted under the 2018 Plan, and that were then available for new award grants under the 2018 Plan as of December 31, 2024 and as of June 4, 2025.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40" w:type="dxa"/>
            <w:vAlign w:val="bottom"/>
          </w:tcPr>
          <w:p>
            <w:pPr>
              <w:spacing w:after="0"/>
              <w:rPr>
                <w:sz w:val="20"/>
                <w:szCs w:val="20"/>
                <w:color w:val="auto"/>
              </w:rPr>
            </w:pPr>
          </w:p>
        </w:tc>
        <w:tc>
          <w:tcPr>
            <w:tcW w:w="29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As of June 4, 2025</w:t>
            </w:r>
          </w:p>
        </w:tc>
      </w:tr>
      <w:tr>
        <w:trPr>
          <w:trHeight w:val="207"/>
        </w:trPr>
        <w:tc>
          <w:tcPr>
            <w:tcW w:w="5640" w:type="dxa"/>
            <w:vAlign w:val="bottom"/>
          </w:tcPr>
          <w:p>
            <w:pPr>
              <w:spacing w:after="0"/>
              <w:rPr>
                <w:sz w:val="17"/>
                <w:szCs w:val="17"/>
                <w:color w:val="auto"/>
              </w:rPr>
            </w:pPr>
          </w:p>
        </w:tc>
        <w:tc>
          <w:tcPr>
            <w:tcW w:w="26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subject to outstanding stock options</w:t>
            </w:r>
          </w:p>
        </w:tc>
        <w:tc>
          <w:tcPr>
            <w:tcW w:w="2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1,515,373</w:t>
            </w:r>
          </w:p>
        </w:tc>
        <w:tc>
          <w:tcPr>
            <w:tcW w:w="2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1,751,551</w:t>
            </w:r>
          </w:p>
        </w:tc>
      </w:tr>
      <w:tr>
        <w:trPr>
          <w:trHeight w:val="213"/>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Shares subject to outstanding restricted stock awards</w:t>
            </w:r>
          </w:p>
        </w:tc>
        <w:tc>
          <w:tcPr>
            <w:tcW w:w="2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39,700</w:t>
            </w:r>
          </w:p>
        </w:tc>
        <w:tc>
          <w:tcPr>
            <w:tcW w:w="2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39,700</w:t>
            </w:r>
          </w:p>
        </w:tc>
      </w:tr>
      <w:tr>
        <w:trPr>
          <w:trHeight w:val="213"/>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available for new award grants</w:t>
            </w:r>
          </w:p>
        </w:tc>
        <w:tc>
          <w:tcPr>
            <w:tcW w:w="2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420,000</w:t>
            </w:r>
          </w:p>
        </w:tc>
        <w:tc>
          <w:tcPr>
            <w:tcW w:w="2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223,522</w:t>
            </w:r>
          </w:p>
        </w:tc>
      </w:tr>
    </w:tbl>
    <w:p>
      <w:pPr>
        <w:spacing w:after="0" w:line="19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As of December 31, 2024, a total of 1,515,373 shares of our common stock were subject to all outstanding awards granted under the 2018 Plan. All outstanding stock option awards were subject to outstanding stock options having a weighted average strike price of $2.03 per share with a remaining term of 8.7 years.</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As of June 4, 2025, a total of 1,751,551 shares of our common stock were subject to all outstanding awards granted under the 2018 Plan. All outstanding stock option awards and restricted stock awards have a weighted average strike price of $1.88 per share with a remaining term of 8.4 years.</w:t>
      </w:r>
    </w:p>
    <w:p>
      <w:pPr>
        <w:spacing w:after="0" w:line="16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Compensation Committee anticipates that the aggregate share limit of 2,000,000 shares requested for the 2018 Plan, assuming usual levels of shares becoming available for new awards as a result of forfeitures of outstanding awards, will provide us with flexibility to continue to grant equity awards under the 2018 Plan for the next two years. However, this is only an estimate, in our judgment, based on current circumstances. The total number of shares that are subject to the Company’s award grants in any one year or from year-to-year may change based on any number of variables, including, without limitation, the value of our common stock (since higher stock prices generally require fewer shares to be issued to produce awards of the same grant date fair value), changes in competitors’ compensation practices, changes in compensation practices in the market generally, changes in the number of employees, changes in the number of directors and officers, whether and the extent to which vesting conditions applicable to equity-based awards are satisfied, acquisition activity and the need to grant awards to new employees in connection with acquisitions, the need to attract, retain and incentivize key talent, the type of awards we grant and how we choose to balance total compensation between cash and equity-based awards.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SUMMARY DESCRIPTION OF THE 2018 PLAN</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following summary provides a description of the significant provisions of the 2018 Plan as amended to date and proposed to be amended by this Proposal No. 5. However, the summary is qualified in its entirety by reference to the full text of the 2018 Plan as proposed to be amended, which has been filed as an exhibit to the copy of this Proxy Statement that was filed electronically with the SEC and can be reviewed on the SEC’s website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Highlights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of the key features of the 2018 Plan include:</w:t>
      </w:r>
    </w:p>
    <w:p>
      <w:pPr>
        <w:spacing w:after="0" w:line="220" w:lineRule="exact"/>
        <w:rPr>
          <w:sz w:val="20"/>
          <w:szCs w:val="20"/>
          <w:color w:val="auto"/>
        </w:rPr>
      </w:pPr>
    </w:p>
    <w:p>
      <w:pPr>
        <w:ind w:left="640" w:hanging="313"/>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2018 Plan is administered by our Compensation Committee comprised entirely of independent directors;</w:t>
      </w:r>
    </w:p>
    <w:p>
      <w:pPr>
        <w:spacing w:after="0" w:line="219"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and SARs granted under the 2018 Plan may not be repriced without shareholder approval other than in connection with a Change in Control or adjustments described in the 2018 Plan;</w:t>
      </w:r>
    </w:p>
    <w:p>
      <w:pPr>
        <w:spacing w:after="0" w:line="162"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2018 Plan as proposed to be amended by Proposal No. 5 the maximum number of shares our common stock available for awards, other than awards granted as substitute awards in connection with a corporate transaction, will be 3,970,000;</w:t>
      </w:r>
    </w:p>
    <w:p>
      <w:pPr>
        <w:spacing w:after="0" w:line="162"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2018 Plan prohibits liberal share recycling – meaning that shares tendered to pay the exercise price, or the withholding taxes related to an award may not be recycled back into the 2018 Plan;</w:t>
      </w:r>
    </w:p>
    <w:p>
      <w:pPr>
        <w:spacing w:after="0" w:line="162"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options and the base price for SARs granted under the 2018 Plan may not be less than the fair market value of a share of our common stock on the date of grant, subject to certain exceptions for substitute awards granted in connection with a corporate transaction;</w:t>
      </w:r>
    </w:p>
    <w:p>
      <w:pPr>
        <w:spacing w:after="0" w:line="162" w:lineRule="exact"/>
        <w:rPr>
          <w:rFonts w:ascii="Times New Roman" w:cs="Times New Roman" w:eastAsia="Times New Roman" w:hAnsi="Times New Roman"/>
          <w:sz w:val="18"/>
          <w:szCs w:val="18"/>
          <w:color w:val="auto"/>
        </w:rPr>
      </w:pPr>
    </w:p>
    <w:p>
      <w:pPr>
        <w:ind w:left="640" w:right="20" w:hanging="313"/>
        <w:spacing w:after="0" w:line="307" w:lineRule="auto"/>
        <w:tabs>
          <w:tab w:leader="none" w:pos="6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2018 Plan prohibits the grant of dividend equivalents with respect to options and SARs and subjects all dividends and dividend equivalents paid with respect to restricted stock awards, restricted stock unit awards or performance awards to the same vesting conditions as the underlying awards;</w:t>
      </w:r>
    </w:p>
    <w:p>
      <w:pPr>
        <w:spacing w:after="0" w:line="140" w:lineRule="exact"/>
        <w:rPr>
          <w:rFonts w:ascii="Times New Roman" w:cs="Times New Roman" w:eastAsia="Times New Roman" w:hAnsi="Times New Roman"/>
          <w:sz w:val="17"/>
          <w:szCs w:val="17"/>
          <w:color w:val="auto"/>
        </w:rPr>
      </w:pPr>
    </w:p>
    <w:p>
      <w:pPr>
        <w:ind w:left="640" w:hanging="313"/>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2018 Plan does not contain a liberal change in control definition; and</w:t>
      </w:r>
    </w:p>
    <w:p>
      <w:pPr>
        <w:spacing w:after="0" w:line="219" w:lineRule="exact"/>
        <w:rPr>
          <w:rFonts w:ascii="Times New Roman" w:cs="Times New Roman" w:eastAsia="Times New Roman" w:hAnsi="Times New Roman"/>
          <w:sz w:val="18"/>
          <w:szCs w:val="18"/>
          <w:color w:val="auto"/>
        </w:rPr>
      </w:pPr>
    </w:p>
    <w:p>
      <w:pPr>
        <w:jc w:val="both"/>
        <w:ind w:left="640" w:hanging="313"/>
        <w:spacing w:after="0" w:line="262" w:lineRule="auto"/>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2018 Plan provides that awards and any cash payment or shares our common stock delivered pursuant to an award are subject to forfeiture, recovery by us or other action pursuant to the applicable award agreement or any claw back or recoupment policy that we may adopt from time to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Administration</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2018 Plan is administered by a committee designated by our Board of Directors (unless the Board elects to administer the plan), consisting of two or more members of the Board, each of whom may be (i) a “non-employee director” within the meaning of Rule 16b-3 under the Exchange Act and (ii) “independent” within the meaning of the rules of the Nasdaq Capital Market or, if Company common stock is not listed on the Nasdaq Capital Market, within the meaning of the rules of the principal stock exchange on which Company common stock is then traded. Our Compensation Committee currently administers the 2018 Plan.</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Subject to the express provisions of the 2018 Plan, the Compensation Committee has the authority to select eligible persons to receive awards and determine all of the terms and conditions of each award. All awards will be evidenced by an agreement containing such provisions not inconsistent with the 2018 Plan as the Compensation Committee will approve. The Compensation Committee also has authority to establish rules and regulations for administering the 2018 Plan and to decide questions of interpretation or application of any provision of the 2018 Plan. The Compensation Committee may, in its sole discretion and for any reason at any time, take action such that (i) any or all outstanding options and SARs will become exercisable in part or in full, (ii) all or a portion of a restriction period on any award will lapse, (iii) all or a portion of any performance period applicable to any award will lapse and (iv) any performance measures applicable to any outstanding award will be deemed satisfied at target, maximum or any other level.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54" w:name="page55"/>
    <w:bookmarkEnd w:id="54"/>
    <w:p>
      <w:pPr>
        <w:jc w:val="both"/>
        <w:spacing w:after="0" w:line="254" w:lineRule="auto"/>
        <w:rPr>
          <w:sz w:val="20"/>
          <w:szCs w:val="20"/>
          <w:color w:val="auto"/>
        </w:rPr>
      </w:pPr>
      <w:r>
        <w:rPr>
          <w:rFonts w:ascii="Times New Roman" w:cs="Times New Roman" w:eastAsia="Times New Roman" w:hAnsi="Times New Roman"/>
          <w:sz w:val="18"/>
          <w:szCs w:val="18"/>
          <w:color w:val="auto"/>
        </w:rPr>
        <w:t>The Compensation Committee may delegate some or all of its power and authority under the 2018 Plan to the Board of Directors (or any members thereof) or, subject to applicable law, a subcommittee of the Board of Directors, a member of the Board of Directors, the Chief Executive Officer or other executive officer of the Company as the Compensation Committee deems appropriate, except that it may not delegate its power and authority to a member of the Board, the Chief Executive Officer or any executive officer with regard to awards to persons who are subject to Section 16 of the Exchange Act. The Compensation Committee has not made such a delegation of authority.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 Shares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Subject to the adjustment provisions set forth in the 2018 Plan, the number of shares of common stock available for awards under the 2018 Plan, as proposed to be amended by Proposal No. 5, other than substitute awards granted in connection with a corporate transaction, will be 3,970,000. All of the available shares of common stock under the 2018 Plan may be issued in connection with incentive stock options.</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number of available shares will be reduced by the sum of the aggregate number of shares of common stock which become subject to outstanding options, free-standing SARs, stock awards and performance awards. To the extent that shares of common stock subject to an outstanding option, free-standing SARs, stock award or performance award granted under the 2018 Plan or the 2007 Plan, other than substitute awards granted in connection with a corporate transaction, are not issued or delivered by reason of (i) the expiration, termination, cancellation or forfeiture of such award (excluding shares of common stock subject to an option cancelled upon settlement of a related tandem SAR or subject to a tandem SAR cancelled upon exercise of a related option), or (ii) the settlement of such award in cash, then such shares of common stock will again be available under the 2018 Plan. Shares of common stock subject to an award under the 2018 Plan or the 2007 Plan will not again be available for issuance under the 2018 Plan if such shares are (a) shares that were subject to an option or stock-settled SAR and were not issued or delivered upon the net settlement or net exercise of such option or SAR, (b) shares delivered to or withheld by the Company to pay the purchase price or the withholding taxes relating to an outstanding award or (c) shares repurchased by the Company on the open market with the proceeds of an option exercise.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Control</w:t>
      </w:r>
    </w:p>
    <w:p>
      <w:pPr>
        <w:spacing w:after="0" w:line="22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Subject to the terms of the applicable award agreement, in the event of a change in control, the Board, as constituted prior to the Change in Control (as defined in the 2018 Plan), may, in its discretion take one of the following actions: (i) require that (a) some or all outstanding options and SARs will become exercisable in full or in part, either immediately or upon a subsequent termination of employment, (b) the restriction period applicable to some or all outstanding stock awards will lapse in full or in part, either immediately or upon a subsequent termination of employment, (C) the performance period applicable to some or all outstanding awards will lapse in full or in part, and (D) the performance measures applicable to some or all outstanding awards will be deemed satisfied at the target, maximum or any other level; (ii) require that shares of stock of the company resulting from or succeeding to the business of the Company pursuant to such change in control, or the parent thereof, be substituted for some or all of the shares of Company common stock subject to outstanding awards as determined by the Board; and/or (iii) require outstanding awards to be surrendered to the Company in exchange for a payment of cash, shares of common stock in the company resulting from the change in control, or the parent thereof, or a combination of cash and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Effective Date, Termination and Amendment</w:t>
      </w:r>
    </w:p>
    <w:p>
      <w:pPr>
        <w:spacing w:after="0" w:line="2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 2018 Plan became effective on May 15, 2018 and will terminate as of the first annual meeting to occur on or after the tenth anniversary of the effective date, unless earlier terminated by the Board. If approved by the affirmative vote of a majority of the shares of common stock present via the live webcast or represented by proxy at the Annual Meeting, the amendment to the 2018 Plan to increase the aggregate number of shares reserved for issuance under the 2018 Plan will become effective as of July 11, 2025. The Board may amend the 2018 Plan at any time, subject to stockholder approval if (i) required by applicable law, rule or regulation, including any rule of the Nasdaq Capital Market or any other stock exchange on which the common stock is then traded, or</w:t>
      </w:r>
    </w:p>
    <w:p>
      <w:pPr>
        <w:spacing w:after="0" w:line="3" w:lineRule="exact"/>
        <w:rPr>
          <w:sz w:val="20"/>
          <w:szCs w:val="20"/>
          <w:color w:val="auto"/>
        </w:rPr>
      </w:pPr>
    </w:p>
    <w:p>
      <w:pPr>
        <w:ind w:firstLine="7"/>
        <w:spacing w:after="0" w:line="255" w:lineRule="auto"/>
        <w:tabs>
          <w:tab w:leader="none" w:pos="27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amendment modifies the option and SAR repricing provisions in the 2018 Plan. No amendment may materially impair the rights of a holder of an outstanding award without the consent of such holder.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Eligibility</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Participants in the 2018 Plan will consist of such officers, other employees, non-employee directors, consultants, independent contractors and agents and persons expected to become officers, other employees, non-employee directors, consultants, independent contractors and agents of the Company and its affiliates and subsidiaries, as selected by the Compensation Committee. As of June 4, 2025, approximately 38 individuals would have been eligible to participate in the 2018 Plan which includes approximately 4 officers, 21 employees, 4 non-employee directors and 9 non-employee consultants would be eligible to participate in the 2018 Plan, as amended.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 and SARs</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2018 Plan, as amended provides for the grant of non-qualified stock options, incentive stock options and SARs. The Compensation Committee will determine the conditions to the exercisability of each option and SAR.</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Each option will be exercisable for no more than ten years after its date of grant, unless the option is an incentive stock option and the optionee owns greater than ten percent (10%) of the voting power of all shares of capital stock of the Company (a “ten percent holder”), in which case the option will be exercisable for no more than five years after its date of grant. Except in the case of substitute awards granted in connection with a corporate transaction, the exercise price of an option will not be less than 100% of the fair market value of a share of common stock on the date of grant, unless the option is an incentive stock option and the optionee is a ten percent holder, in which case the option exercise price will be the price required by the Code, currently 110% of fair market value.</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Each SAR will be exercisable for no more than ten years after its date of grant provided that no SAR granted in tandem with an option (a “tandem SAR”) will be exercisable later than the expiration, termination, cancellation, forfeiture, or other termination of the related option. The base price of an SAR will not be less than 100% of the fair market value of a share of common stock on the date of grant (or, if earlier, the date of grant of the option for which the SAR is exchanged or substituted), provided that the base price of a tandem SAR will be the exercise price of the related option. An SAR entitles the holder to receive upon exercise (subject to withholding taxes) shares of common stock (which may be restricted stock), cash or a combination thereof with a value equal to the difference between the fair market value of the common stock on the exercise date and the base price of the SAR.</w:t>
      </w:r>
    </w:p>
    <w:p>
      <w:pPr>
        <w:spacing w:after="0" w:line="18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All of the terms relating to the exercise, cancellation or other disposition of options and SARs following the termination of employment of a participant, whether by reason of disability, retirement, death, or any other reason, will be determined by the Compensation Committee.</w:t>
      </w:r>
    </w:p>
    <w:p>
      <w:pPr>
        <w:spacing w:after="0" w:line="1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Compensation Committee may not, without the approval of the stockholders of the Company, (i) reduce the purchase price or base price of any previously granted option or SAR, (ii) cancel any previously granted option or SAR in exchange for another option or SAR with a lower purchase price or base price or (iii) cancel any previously granted option or SAR in exchange for cash or another award if the purchase price of such option or the base price of such SAR exceeds the fair market value of a share of common stock on the date of such cancellation, in each case, other than in connection with a change in control or the adjustment provisions set forth in the 2018 Plan.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Awards</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2018 Plan provides for the grant of stock awards. The Compensation Committee may grant a stock award as a restricted stock award, a restricted stock unit award or as another stock award. Except as otherwise determined by the Compensation Committee, stock awards will be non-transferable and subject to forfeiture if the holder does not remain continuously in the employment of the Company during the restriction period or if specified performance measures (if any) are not attained during the performance period.</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Unless otherwise set forth in a restricted stock award agreement, the holder of shares of restricted stock will have rights as a stockholder of the Company, including the right to vote and receive dividends with respect to the shares of restricted stock. Distributions and dividends with respect to shares of common stock, including regular cash dividends, will be deposited with the Company and will be subject to the same restrictions as the restricted stock.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56" w:name="page57"/>
    <w:bookmarkEnd w:id="56"/>
    <w:p>
      <w:pPr>
        <w:jc w:val="both"/>
        <w:spacing w:after="0" w:line="257" w:lineRule="auto"/>
        <w:rPr>
          <w:sz w:val="20"/>
          <w:szCs w:val="20"/>
          <w:color w:val="auto"/>
        </w:rPr>
      </w:pPr>
      <w:r>
        <w:rPr>
          <w:rFonts w:ascii="Times New Roman" w:cs="Times New Roman" w:eastAsia="Times New Roman" w:hAnsi="Times New Roman"/>
          <w:sz w:val="18"/>
          <w:szCs w:val="18"/>
          <w:color w:val="auto"/>
        </w:rPr>
        <w:t>The agreement awarding restricted stock units will specify (i) whether such award may be settled in shares of common stock, cash, or a combination thereof, and (ii) whether the holder will be entitled to receive dividend equivalents, with respect to such award. Any dividend equivalents with respect to restricted stock units will be subject to the same restrictions as such restricted stock units. Prior to settlement of a restricted stock unit, the holder of a restricted stock unit will have no rights as a shareholder of the Company.</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Committee may grant other awards that may be denominated or payable in, valued in whole or in part by reference to, or otherwise based on, or related to, shares of common stock, including shares of common stock granted as a bonus and not subject to any vesting conditions, dividend equivalents, deferred stock units, stock purchase rights and shares of common stock issued in lieu of obligations of the Company to pay cash under any compensatory plan or arrangement, subject to such terms as shall be determined by the Committee.</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All of the terms relating to the satisfaction of performance measures and the termination of a restriction period, or the forfeiture and cancellation of a stock award upon a termination of employment, whether by reason of disability, retirement, death, or any other reason or during a paid or unpaid leave of absence, will be determined by the Compensation Committee.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Awards</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2018 Plan also provides for the grant of performance awards. The agreement relating to a performance award will specify whether such award may be settled in shares of common stock (including shares of restricted stock), cash or a combination thereof. The agreement relating to a performance award will provide, in the manner determined by the Compensation Committee, for the vesting of such performance award if the specified performance measures established by the Compensation Committee are satisfied or met during the specified performance period and such performance goals will be determined by the Compensation Committee at the time of grant. Any dividend or dividend equivalents with respect to a performance award will be subject to the same restrictions as such performance award.</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Prior to the settlement of a performance award in shares of common stock, the holder of such award will have no rights as a stockholder of the Company with respect to such shares. All of the terms relating to the satisfaction of performance measures and the termination of a performance period, or the forfeiture and cancellation of a performance award upon a termination of employment with or service to, whether by reason of disability, retirement, death or any other reason or during a paid or unpaid leave of absence, will be determined by the Compensation Committee.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Income Tax Consequences</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is a brief summary of certain United States federal income tax consequences generally arising with respect to awards under the 2018 Plan. This discussion does not address all aspects of the United States federal income tax consequences of participating in the 2018 Plan that may be relevant to participants in light of their personal investment or tax circumstances and does not discuss any state, local or non-United States tax consequences of participating in the 2018 Plan. Each participant is advised to consult his or her personal tax advisor concerning the application of the United States federal income tax laws to such participant’s particular situation, as well as the applicability and effect of any state, local or non-United States tax laws before taking any actions with respect to any awards.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 participant will not recognize taxable income at the time an option is granted, and the Company will not be entitled to a tax deduction at that time. A participant will recognize compensation taxable as ordinary income (and if the participant is an employee, will be subject to income tax withholding) upon exercise of a non-qualified stock option equal to the excess of the fair market value of the shares purchased on such date over their exercise price, and the Company will be entitled to a corresponding deduction, except to the extent the deduction limits of Section 162(m) of the Code apply. A participant will not recognize income (except for purposes of the alternative minimum tax) upon exercise of an incentive stock option. If the shares acquired by exercise of an incentive stock option are held for at least two years from the date the option was granted and one year from the date it was exercised, any gain or loss arising from a subsequent disposition of those shares will be taxed as long-term capital gain or loss, and the Company will not be entitled to any deduction. If, however, those shares are disposed of within the above-described period, then in the year of that disposition the participant will recognize compensation taxable as ordinary income equal to the excess of the lesser of (i) the amount realized upon that disposition and (ii) the fair market value of those shares on the date of exercise over the exercise price, and the Company will be entitled to a corresponding deduction, except to the extent the deduction limits of Section 162(m) of the Code apply.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t>SARs</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 participant will not recognize taxable income at the time SARs are granted, and the Company will not be entitled to a tax deduction at that time. Upon exercise, the participant will recognize compensation taxable as ordinary income (and if the participant is an employee, will be subject to income tax withholding) in an amount equal to the fair market value of any shares delivered and the amount of cash paid by the Company. This amount is deductible by the Company as compensation expense, except to the extent the deduction limits of Section 162(m) of the Code apply.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Awards</w:t>
      </w:r>
    </w:p>
    <w:p>
      <w:pPr>
        <w:spacing w:after="0" w:line="22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 participant will not recognize taxable income at the time stock subject to a substantial risk of forfeiture (“restricted stock”) is granted, and the Company will not be entitled to a tax deduction at that time, unless the participant makes an election to be taxed at that time. If such election is made, the participant will recognize compensation taxable as ordinary income (and if the participant is an employee, will be subject to income tax withholding) at the time of the grant in an amount equal to the excess of the fair market value of the shares at such time over the amount, if any, paid for those shares. If such election is not made, the participant will recognize compensation taxable as ordinary income (and if the participant is an employee, will be subject to income tax withholding) at the time the restrictions constituting a substantial risk of forfeiture lapse in an amount equal to the excess of the fair market value of the shares at such time over the amount, if any, paid for those shares. The amount of ordinary income recognized by making the above-described election or upon the lapse of restrictions constituting a substantial risk of forfeiture is deductible by the Company as compensation expense, except to the extent the deduction limits of Section 162(m) of the Code apply.</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participant will not recognize taxable income at the time a restricted stock unit is granted, and the Company will not be entitled to a tax deduction at that time. Upon settlement of restricted stock units, the participant will recognize compensation taxable as ordinary income (and if the participant is an employee, will be subject to income tax withholding) in an amount equal to the fair market value of any shares delivered and the amount of any cash paid by the Company. The amount of ordinary income recognized is deductible by the Company as compensation expense, except to the extent the deduction limits of Section 162(m) of the Code apply.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treatment, including the timing of taxation, of any other type of stock award will depend on the terms of such award at the time of grant.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Awards</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A participant will not recognize taxable income at the time performance awards are granted, and the Company will not be entitled to a tax deduction at that time. Upon settlement of performance awards, the participant will recognize compensation taxable as ordinary income (and if the participant is an employee, will be subject to income tax withholding) in an amount equal to the fair market value of any shares delivered and the amount of cash paid by the Company. This amount is deductible by the Company as compensation expense, except to the extent the deduction limits of Section 162(m) of the Code apply.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Committee has the discretion to grant awards under the 2018 Plan and, therefore, it is not possible as of the date of this proxy statement to determine future awards that will be received by the Company’s named executive officers or others under the 2018 Plan. Accordingly, in lieu of providing information regarding benefits that will be received under the 2018 Plan, the following table provides information concerning the benefits that were received by the following persons and groups during 2024 under the 2018 Plan: each named executive officer; all current executive officers, as a group; all current directors who are not executive officers, as a group; and all current employees who are not executive officers, as a group.</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13"/>
        </w:trPr>
        <w:tc>
          <w:tcPr>
            <w:tcW w:w="7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Number Shares Subject to</w:t>
            </w:r>
          </w:p>
        </w:tc>
      </w:tr>
      <w:tr>
        <w:trPr>
          <w:trHeight w:val="213"/>
        </w:trPr>
        <w:tc>
          <w:tcPr>
            <w:tcW w:w="7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Stock Options and restricted</w:t>
            </w:r>
          </w:p>
        </w:tc>
      </w:tr>
      <w:tr>
        <w:trPr>
          <w:trHeight w:val="236"/>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Position</w:t>
            </w:r>
          </w:p>
        </w:tc>
        <w:tc>
          <w:tcPr>
            <w:tcW w:w="2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stock awards (#)</w:t>
            </w:r>
          </w:p>
        </w:tc>
      </w:tr>
      <w:tr>
        <w:trPr>
          <w:trHeight w:val="186"/>
        </w:trPr>
        <w:tc>
          <w:tcPr>
            <w:tcW w:w="7500" w:type="dxa"/>
            <w:vAlign w:val="bottom"/>
            <w:tcBorders>
              <w:top w:val="single" w:sz="8" w:color="auto"/>
            </w:tcBorders>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auto"/>
              </w:rPr>
              <w:t>Michael H. Tardugno</w:t>
            </w:r>
          </w:p>
        </w:tc>
        <w:tc>
          <w:tcPr>
            <w:tcW w:w="200" w:type="dxa"/>
            <w:vAlign w:val="bottom"/>
            <w:tcBorders>
              <w:top w:val="single" w:sz="8" w:color="CCEEFF"/>
            </w:tcBorders>
            <w:shd w:val="clear" w:color="auto" w:fill="CCEEFF"/>
          </w:tcPr>
          <w:p>
            <w:pPr>
              <w:spacing w:after="0"/>
              <w:rPr>
                <w:sz w:val="16"/>
                <w:szCs w:val="16"/>
                <w:color w:val="auto"/>
              </w:rPr>
            </w:pPr>
          </w:p>
        </w:tc>
        <w:tc>
          <w:tcPr>
            <w:tcW w:w="23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34"/>
        </w:trPr>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Executive Chairman and former President and Chief Executive Officer</w:t>
            </w:r>
          </w:p>
        </w:tc>
        <w:tc>
          <w:tcPr>
            <w:tcW w:w="2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207,926</w:t>
            </w:r>
          </w:p>
        </w:tc>
      </w:tr>
      <w:tr>
        <w:trPr>
          <w:trHeight w:val="193"/>
        </w:trPr>
        <w:tc>
          <w:tcPr>
            <w:tcW w:w="7700" w:type="dxa"/>
            <w:vAlign w:val="bottom"/>
            <w:gridSpan w:val="2"/>
          </w:tcPr>
          <w:p>
            <w:pPr>
              <w:spacing w:after="0" w:line="193" w:lineRule="exact"/>
              <w:rPr>
                <w:sz w:val="20"/>
                <w:szCs w:val="20"/>
                <w:color w:val="auto"/>
              </w:rPr>
            </w:pPr>
            <w:r>
              <w:rPr>
                <w:rFonts w:ascii="Times New Roman" w:cs="Times New Roman" w:eastAsia="Times New Roman" w:hAnsi="Times New Roman"/>
                <w:sz w:val="18"/>
                <w:szCs w:val="18"/>
                <w:color w:val="auto"/>
              </w:rPr>
              <w:t>Stacy Lindborg</w:t>
            </w:r>
          </w:p>
        </w:tc>
        <w:tc>
          <w:tcPr>
            <w:tcW w:w="23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2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318,102</w:t>
            </w:r>
          </w:p>
        </w:tc>
      </w:tr>
      <w:tr>
        <w:trPr>
          <w:trHeight w:val="193"/>
        </w:trPr>
        <w:tc>
          <w:tcPr>
            <w:tcW w:w="7700" w:type="dxa"/>
            <w:vAlign w:val="bottom"/>
            <w:gridSpan w:val="2"/>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Corinne Le Goff</w:t>
            </w:r>
          </w:p>
        </w:tc>
        <w:tc>
          <w:tcPr>
            <w:tcW w:w="2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4"/>
        </w:trPr>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Former President and Chief Executive Officer</w:t>
            </w:r>
          </w:p>
        </w:tc>
        <w:tc>
          <w:tcPr>
            <w:tcW w:w="2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193"/>
        </w:trPr>
        <w:tc>
          <w:tcPr>
            <w:tcW w:w="7700" w:type="dxa"/>
            <w:vAlign w:val="bottom"/>
            <w:gridSpan w:val="2"/>
          </w:tcPr>
          <w:p>
            <w:pPr>
              <w:spacing w:after="0" w:line="193" w:lineRule="exact"/>
              <w:rPr>
                <w:sz w:val="20"/>
                <w:szCs w:val="20"/>
                <w:color w:val="auto"/>
              </w:rPr>
            </w:pPr>
            <w:r>
              <w:rPr>
                <w:rFonts w:ascii="Times New Roman" w:cs="Times New Roman" w:eastAsia="Times New Roman" w:hAnsi="Times New Roman"/>
                <w:sz w:val="18"/>
                <w:szCs w:val="18"/>
                <w:color w:val="auto"/>
              </w:rPr>
              <w:t>Khursheed Anwer</w:t>
            </w:r>
          </w:p>
        </w:tc>
        <w:tc>
          <w:tcPr>
            <w:tcW w:w="23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Executive Vice President and CSO</w:t>
            </w:r>
          </w:p>
        </w:tc>
        <w:tc>
          <w:tcPr>
            <w:tcW w:w="2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90,653</w:t>
            </w:r>
          </w:p>
        </w:tc>
      </w:tr>
      <w:tr>
        <w:trPr>
          <w:trHeight w:val="193"/>
        </w:trPr>
        <w:tc>
          <w:tcPr>
            <w:tcW w:w="7700" w:type="dxa"/>
            <w:vAlign w:val="bottom"/>
            <w:gridSpan w:val="2"/>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Jeffrey W. Church</w:t>
            </w:r>
          </w:p>
        </w:tc>
        <w:tc>
          <w:tcPr>
            <w:tcW w:w="2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4"/>
        </w:trPr>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Former Executive Vice President and CFO</w:t>
            </w:r>
          </w:p>
        </w:tc>
        <w:tc>
          <w:tcPr>
            <w:tcW w:w="2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12,500</w:t>
            </w:r>
          </w:p>
        </w:tc>
      </w:tr>
      <w:tr>
        <w:trPr>
          <w:trHeight w:val="213"/>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current executive officers, as a group</w:t>
            </w:r>
          </w:p>
        </w:tc>
        <w:tc>
          <w:tcPr>
            <w:tcW w:w="2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641,681</w:t>
            </w:r>
          </w:p>
        </w:tc>
      </w:tr>
      <w:tr>
        <w:trPr>
          <w:trHeight w:val="213"/>
        </w:trPr>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current directors who are not executive officers, as a group</w:t>
            </w:r>
          </w:p>
        </w:tc>
        <w:tc>
          <w:tcPr>
            <w:tcW w:w="2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53,407</w:t>
            </w:r>
          </w:p>
        </w:tc>
      </w:tr>
      <w:tr>
        <w:trPr>
          <w:trHeight w:val="232"/>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current employees who are not executive officers, as a group</w:t>
            </w:r>
          </w:p>
        </w:tc>
        <w:tc>
          <w:tcPr>
            <w:tcW w:w="2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301,247</w:t>
            </w:r>
          </w:p>
        </w:tc>
      </w:tr>
    </w:tbl>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Board of Directors believes that the adoption of the increase in the number of shares available for issuance under the 2018 Plan will promote the interests of the Company and its stockholders and will help us continue to be able to attract, retain and reward persons important to our success. All members of the Board and all of our executive officers are eligible for awards under the 2018 Plan and thus have a personal interest in the approval of the proposal to increase the number of shares available for issuance under the 2018 Plan.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The affirmative vote of a majority of the votes cast affirmatively or negatively for this proposal will be required to approve the amendment to the 2018 Plan.</w:t>
      </w:r>
    </w:p>
    <w:p>
      <w:pPr>
        <w:spacing w:after="0" w:line="227" w:lineRule="exact"/>
        <w:rPr>
          <w:sz w:val="20"/>
          <w:szCs w:val="20"/>
          <w:color w:val="auto"/>
        </w:rPr>
      </w:pPr>
    </w:p>
    <w:p>
      <w:pPr>
        <w:jc w:val="center"/>
        <w:ind w:left="340" w:right="1480"/>
        <w:spacing w:after="0" w:line="264"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THE PROPOSAL TO APPROVE THE AMENDMENT OF THE IMUNON, INC. 2018 STOCK INCENTIVE PLAN AS DESCRIBED ABOVE.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PROPOSAL NO. 8:</w:t>
      </w:r>
    </w:p>
    <w:p>
      <w:pPr>
        <w:spacing w:after="0" w:line="220" w:lineRule="exact"/>
        <w:rPr>
          <w:sz w:val="20"/>
          <w:szCs w:val="20"/>
          <w:color w:val="auto"/>
        </w:rPr>
      </w:pPr>
    </w:p>
    <w:p>
      <w:pPr>
        <w:jc w:val="center"/>
        <w:ind w:left="340" w:right="40"/>
        <w:spacing w:after="0" w:line="264" w:lineRule="auto"/>
        <w:rPr>
          <w:sz w:val="20"/>
          <w:szCs w:val="20"/>
          <w:color w:val="auto"/>
        </w:rPr>
      </w:pPr>
      <w:r>
        <w:rPr>
          <w:rFonts w:ascii="Times New Roman" w:cs="Times New Roman" w:eastAsia="Times New Roman" w:hAnsi="Times New Roman"/>
          <w:sz w:val="18"/>
          <w:szCs w:val="18"/>
          <w:b w:val="1"/>
          <w:bCs w:val="1"/>
          <w:color w:val="auto"/>
        </w:rPr>
        <w:t>APPROVAL OF THE ADJOURNMENT OF THE ANNUAL MEETING, IF NECESSARY, TO SOLICIT ADDITIONAL PROXIES IF THERE ARE INSUFFICIENT VOTES AT THE TIME OF THE ANNUAL MEETING TO APPROVE ANY OF THE PROPOSALS PRESENTED FOR A VOTE AT THE ANNUAL MEETING.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of and Rationale for the Proposal</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Board believes that if there are insufficient votes of the Company’s common stock to approve any of the proposals presented for a vote at the Annual Meeting, it is in the best interests of the stockholders to enable the Board to continue to seek to obtain a sufficient number of additional votes to approve any applicable proposal.</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the Adjournment Proposal, we are asking stockholders to authorize the holder of any proxy solicited by the Board to vote in favor of adjourning or postponing the Annual Meeting or any adjournment or postponement thereof. If our stockholders approve this proposal, we could adjourn or postpone the Annual Meeting, and any adjourned session of the Annual Meeting, to use the additional time to solicit additional proxies in favor of any of the proposals presented for a vote at the Annual Meeting.</w:t>
      </w:r>
    </w:p>
    <w:p>
      <w:pPr>
        <w:spacing w:after="0" w:line="1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Additionally, approval of the Adjournment Proposal could mean that, we could adjourn or postpone the Annual Meeting without a vote on the applicable proposal and use the additional time to solicit the holders of common stock to change their vote in favor of the applicable proposal.</w:t>
      </w:r>
    </w:p>
    <w:p>
      <w:pPr>
        <w:spacing w:after="0" w:line="1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If it is necessary or appropriate to adjourn the Annual Meeting, no notice of the adjourned meeting is required to be given to our stockholders, other than an announcement at the Annual Meeting of the time and place to which the Annual Meeting is adjourned, so long as the meeting is adjourned for 30 days or less and no new record date is fixed for the adjourned meeting. At the adjourned meeting, we may transact any business which might have been transacted at the original meeting.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affirmative vote of a majority of the votes cast affirmatively or negatively for this proposal.</w:t>
      </w:r>
    </w:p>
    <w:p>
      <w:pPr>
        <w:spacing w:after="0" w:line="216" w:lineRule="exact"/>
        <w:rPr>
          <w:sz w:val="20"/>
          <w:szCs w:val="20"/>
          <w:color w:val="auto"/>
        </w:rPr>
      </w:pPr>
    </w:p>
    <w:p>
      <w:pPr>
        <w:jc w:val="center"/>
        <w:ind w:left="340" w:right="40"/>
        <w:spacing w:after="0" w:line="264" w:lineRule="auto"/>
        <w:rPr>
          <w:sz w:val="20"/>
          <w:szCs w:val="20"/>
          <w:color w:val="auto"/>
        </w:rPr>
      </w:pPr>
      <w:r>
        <w:rPr>
          <w:rFonts w:ascii="Times New Roman" w:cs="Times New Roman" w:eastAsia="Times New Roman" w:hAnsi="Times New Roman"/>
          <w:sz w:val="18"/>
          <w:szCs w:val="18"/>
          <w:b w:val="1"/>
          <w:bCs w:val="1"/>
          <w:color w:val="auto"/>
        </w:rPr>
        <w:t>THE BOARD UNANIMOUSLY RECOMMENDS A VOTE “FOR” THE ADJOURNMENT OF THE ANNUAL MEETING, IF NECESSARY, TO SOLICIT ADDITIONAL PROXIES IF THERE ARE INSUFFICIENT VOTES AT THE TIME OF THE ANNUAL MEETING TO APPROVE ANY OF THE PROPOSALS PRESENTED FOR A VOTE AT THE ANNUAL MEETING.</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STOCKHOLDER NOMINATIONS AND PROPOSALS FOR</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2026 ANNUAL MEETING OF STOCKHOLDERS</w:t>
      </w:r>
    </w:p>
    <w:p>
      <w:pPr>
        <w:spacing w:after="0" w:line="20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If a stockholder wants us to include a proposal in our proxy statement for presentation at our 2026 Annual Meeting of Stockholders in accordance with Rule 14a-8 promulgated by the SEC under the Exchange Act, the proposal must be received by us no later than February 9, 2026. Such proposals should be directed to IMUNON, INC., 997 Lenox Drive, Lawrenceville, NJ 08648, Attention: Corporate Secretary.</w:t>
      </w:r>
    </w:p>
    <w:p>
      <w:pPr>
        <w:spacing w:after="0" w:line="176"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A stockholder may also nominate directors or have other business brought before the 2026 Annual Meeting of Stockholders by submitting the nomination or proposal to the Company, not later than the close of business on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nor earlier than the close of business on the 120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in advance of the anniversary of the 2025 Annual Meeting of Stockholders; provided, however, in the event that the date of the 2026 Annual Meeting of Stockholders is more than thirty calendar days before or more than 30 calendar days after such anniversary date, notice by the stockholder to be timely must be so received no earlier than the close of business on the 120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in advance of such date of annual meeting and not later than the close of</w:t>
      </w:r>
    </w:p>
    <w:p>
      <w:pPr>
        <w:spacing w:after="0" w:line="3"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business on the later of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in advance of such date of annual meeting or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following the date on which public announcement of the date of the meeting is first made. The nomination or proposal must be delivered to the Company’s executive offices at 997 Lenox Drive, Suite 100, Lawrenceville, NJ 08648, Attention: Corporate Secretary no earlier than March 13, 2026, and no later than April 12, 2026.</w:t>
      </w:r>
    </w:p>
    <w:p>
      <w:pPr>
        <w:spacing w:after="0" w:line="19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addition, if a stockholder intends to utilize Rule 14a-19 under the Exchange act in connection with a nomination must give the requisite notice to the Company as indicated in the previous above sentence not later than the 60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in advance of the anniversary of the 2025 Annual Meeting, or May 12, 2026. Any stockholder considering submitting a nominee or proposal for action at our 2026 Annual Meeting of Stockholders is directed to the Company’s Bylaws, which contain additional requirements as to submission of nominations for directors or proposals for stockholder action. Copies of the Bylaws may be obtained upon request to the Company’s Corporate Secretary. Stockholder proposals or nominations must include the specified information concerning the stockholder and the proposal or nominee as described in our Bylaws.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Board of Directors knows of no other business which will be presented to the Annual Meeting. If any other business is properly brought before the annual meeting, proxies will be voted in accordance with the judgment of the persons named therein.</w:t>
      </w:r>
    </w:p>
    <w:p>
      <w:pPr>
        <w:spacing w:after="0" w:line="15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website is located at www.imunon.com. You can view additional information on our website, such as:</w:t>
      </w:r>
    </w:p>
    <w:p>
      <w:pPr>
        <w:spacing w:after="0" w:line="220" w:lineRule="exact"/>
        <w:rPr>
          <w:sz w:val="20"/>
          <w:szCs w:val="20"/>
          <w:color w:val="auto"/>
        </w:rPr>
      </w:pPr>
    </w:p>
    <w:p>
      <w:pPr>
        <w:ind w:left="640" w:hanging="313"/>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Charters of our Board Committees;</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of Conduct; and</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governance materials and reports that we file with the SEC.</w:t>
      </w:r>
    </w:p>
    <w:p>
      <w:pPr>
        <w:spacing w:after="0" w:line="20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Copies of those documents may also be obtained free of charge by written or telephonic request directed to the Corporate Secretary, IMUNON, INC., 997 Lenox Drive, Suite 100, Lawrenceville, New Jersey 08648.</w:t>
      </w:r>
    </w:p>
    <w:p>
      <w:pPr>
        <w:spacing w:after="0" w:line="163"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June 9, 2025</w:t>
      </w:r>
      <w:r>
        <w:rPr>
          <w:sz w:val="20"/>
          <w:szCs w:val="20"/>
          <w:color w:val="auto"/>
        </w:rPr>
        <w:tab/>
      </w:r>
      <w:r>
        <w:rPr>
          <w:rFonts w:ascii="Times New Roman" w:cs="Times New Roman" w:eastAsia="Times New Roman" w:hAnsi="Times New Roman"/>
          <w:sz w:val="17"/>
          <w:szCs w:val="17"/>
          <w:color w:val="auto"/>
        </w:rPr>
        <w:t>By Order of the Board of Directors</w:t>
      </w:r>
    </w:p>
    <w:p>
      <w:pPr>
        <w:spacing w:after="0" w:line="2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Susan Eylward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79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566795"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Susan Eylward</w:t>
      </w:r>
    </w:p>
    <w:p>
      <w:pPr>
        <w:spacing w:after="0" w:line="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61" w:name="page62"/>
    <w:bookmarkEnd w:id="61"/>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AMENDMENT TO</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RESTATED CERTIFICATE OF INCORPORATION OF</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201" w:lineRule="exact"/>
        <w:rPr>
          <w:sz w:val="20"/>
          <w:szCs w:val="20"/>
          <w:color w:val="auto"/>
        </w:rPr>
      </w:pPr>
    </w:p>
    <w:p>
      <w:pPr>
        <w:ind w:firstLine="640"/>
        <w:spacing w:after="0" w:line="277" w:lineRule="auto"/>
        <w:rPr>
          <w:sz w:val="20"/>
          <w:szCs w:val="20"/>
          <w:color w:val="auto"/>
        </w:rPr>
      </w:pPr>
      <w:r>
        <w:rPr>
          <w:rFonts w:ascii="Times New Roman" w:cs="Times New Roman" w:eastAsia="Times New Roman" w:hAnsi="Times New Roman"/>
          <w:sz w:val="18"/>
          <w:szCs w:val="18"/>
          <w:color w:val="auto"/>
        </w:rPr>
        <w:t>Imunon, Inc. (the “Corporation”), a corporation organized and existing under the General Corporation Law of the State of Delaware (the “DGCL”), does hereby certify that:</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The name of the Corporation is Imunon, Inc.</w:t>
      </w:r>
    </w:p>
    <w:p>
      <w:pPr>
        <w:spacing w:after="0" w:line="220" w:lineRule="exact"/>
        <w:rPr>
          <w:sz w:val="20"/>
          <w:szCs w:val="20"/>
          <w:color w:val="auto"/>
        </w:rPr>
      </w:pPr>
    </w:p>
    <w:p>
      <w:pPr>
        <w:ind w:firstLine="640"/>
        <w:spacing w:after="0" w:line="281" w:lineRule="auto"/>
        <w:rPr>
          <w:sz w:val="20"/>
          <w:szCs w:val="20"/>
          <w:color w:val="auto"/>
        </w:rPr>
      </w:pP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This Certificate of Amendment (the “Certificate of Amendment”) amends the provisions of the Corporation’s Restated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filed with the Secretary of State of the State of Delaware on March 22, 2023 (the “Certificate of Incorporation”).</w:t>
      </w:r>
    </w:p>
    <w:p>
      <w:pPr>
        <w:spacing w:after="0" w:line="156" w:lineRule="exact"/>
        <w:rPr>
          <w:sz w:val="20"/>
          <w:szCs w:val="20"/>
          <w:color w:val="auto"/>
        </w:rPr>
      </w:pPr>
    </w:p>
    <w:p>
      <w:pPr>
        <w:ind w:firstLine="640"/>
        <w:spacing w:after="0" w:line="281" w:lineRule="auto"/>
        <w:rPr>
          <w:sz w:val="20"/>
          <w:szCs w:val="20"/>
          <w:color w:val="auto"/>
        </w:rPr>
      </w:pPr>
      <w:r>
        <w:rPr>
          <w:rFonts w:ascii="Times New Roman" w:cs="Times New Roman" w:eastAsia="Times New Roman" w:hAnsi="Times New Roman"/>
          <w:sz w:val="18"/>
          <w:szCs w:val="18"/>
          <w:b w:val="1"/>
          <w:bCs w:val="1"/>
          <w:color w:val="auto"/>
        </w:rPr>
        <w:t>THIRD</w:t>
      </w:r>
      <w:r>
        <w:rPr>
          <w:rFonts w:ascii="Times New Roman" w:cs="Times New Roman" w:eastAsia="Times New Roman" w:hAnsi="Times New Roman"/>
          <w:sz w:val="18"/>
          <w:szCs w:val="18"/>
          <w:color w:val="auto"/>
        </w:rPr>
        <w:t>: The amendment to the Certificate of Incorporation below has been duly adopted by the board of directors of the Corporation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of the Corporation pursuant to Section 242 of the DGCL.</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FOURTH</w:t>
      </w:r>
      <w:r>
        <w:rPr>
          <w:rFonts w:ascii="Times New Roman" w:cs="Times New Roman" w:eastAsia="Times New Roman" w:hAnsi="Times New Roman"/>
          <w:sz w:val="18"/>
          <w:szCs w:val="18"/>
          <w:color w:val="auto"/>
        </w:rPr>
        <w:t>: The Certificate of Incorporation is hereby amended by amending and restating the first paragraph of Article FOURTH as follows.</w:t>
      </w:r>
    </w:p>
    <w:p>
      <w:pPr>
        <w:spacing w:after="0" w:line="224" w:lineRule="exact"/>
        <w:rPr>
          <w:sz w:val="20"/>
          <w:szCs w:val="20"/>
          <w:color w:val="auto"/>
        </w:rPr>
      </w:pPr>
    </w:p>
    <w:p>
      <w:pPr>
        <w:jc w:val="both"/>
        <w:ind w:left="640" w:right="640"/>
        <w:spacing w:after="0" w:line="257" w:lineRule="auto"/>
        <w:rPr>
          <w:sz w:val="20"/>
          <w:szCs w:val="20"/>
          <w:color w:val="auto"/>
        </w:rPr>
      </w:pPr>
      <w:r>
        <w:rPr>
          <w:rFonts w:ascii="Times New Roman" w:cs="Times New Roman" w:eastAsia="Times New Roman" w:hAnsi="Times New Roman"/>
          <w:sz w:val="18"/>
          <w:szCs w:val="18"/>
          <w:color w:val="auto"/>
        </w:rPr>
        <w:t>FOURTH: The total number of shares of all classes of stock which the Corporation shall have authority to issue shall be 350,100,000 shares, consisting of (i) 350,000,000 shares of common stock, par value $0.01 per share (“Common Stock”), and (ii) One Hundred Thousand (100,000) shares of preferred stock, par value $0.01 per share (“Preferred Stock”). The Preferred Stock may be issued from time to time in one or more series.</w:t>
      </w:r>
    </w:p>
    <w:p>
      <w:pPr>
        <w:spacing w:after="0" w:line="177" w:lineRule="exact"/>
        <w:rPr>
          <w:sz w:val="20"/>
          <w:szCs w:val="20"/>
          <w:color w:val="auto"/>
        </w:rPr>
      </w:pPr>
    </w:p>
    <w:p>
      <w:pPr>
        <w:ind w:left="640"/>
        <w:spacing w:after="0"/>
        <w:tabs>
          <w:tab w:leader="none" w:pos="8480" w:val="left"/>
          <w:tab w:leader="none" w:pos="11120" w:val="left"/>
        </w:tabs>
        <w:rPr>
          <w:sz w:val="20"/>
          <w:szCs w:val="20"/>
          <w:color w:val="auto"/>
        </w:rPr>
      </w:pPr>
      <w:r>
        <w:rPr>
          <w:rFonts w:ascii="Times New Roman" w:cs="Times New Roman" w:eastAsia="Times New Roman" w:hAnsi="Times New Roman"/>
          <w:sz w:val="18"/>
          <w:szCs w:val="18"/>
          <w:b w:val="1"/>
          <w:bCs w:val="1"/>
          <w:color w:val="auto"/>
        </w:rPr>
        <w:t>FIFTH</w:t>
      </w:r>
      <w:r>
        <w:rPr>
          <w:rFonts w:ascii="Times New Roman" w:cs="Times New Roman" w:eastAsia="Times New Roman" w:hAnsi="Times New Roman"/>
          <w:sz w:val="18"/>
          <w:szCs w:val="18"/>
          <w:color w:val="auto"/>
        </w:rPr>
        <w:t>: This Certificate of Amendment, and the amendment effected hereby, shall become effective at [</w:t>
      </w:r>
      <w:r>
        <w:rPr>
          <w:sz w:val="20"/>
          <w:szCs w:val="20"/>
          <w:color w:val="auto"/>
        </w:rPr>
        <w:tab/>
      </w:r>
      <w:r>
        <w:rPr>
          <w:rFonts w:ascii="Times New Roman" w:cs="Times New Roman" w:eastAsia="Times New Roman" w:hAnsi="Times New Roman"/>
          <w:sz w:val="18"/>
          <w:szCs w:val="18"/>
          <w:color w:val="auto"/>
        </w:rPr>
        <w:t>] [a.m./p.m.] (Eastern Time) on [</w:t>
      </w:r>
      <w:r>
        <w:rPr>
          <w:sz w:val="20"/>
          <w:szCs w:val="20"/>
          <w:color w:val="auto"/>
        </w:rPr>
        <w:tab/>
      </w:r>
      <w:r>
        <w:rPr>
          <w:rFonts w:ascii="Times New Roman" w:cs="Times New Roman" w:eastAsia="Times New Roman" w:hAnsi="Times New Roman"/>
          <w:sz w:val="17"/>
          <w:szCs w:val="17"/>
          <w:color w:val="auto"/>
        </w:rPr>
        <w:t>],</w:t>
      </w:r>
    </w:p>
    <w:p>
      <w:pPr>
        <w:spacing w:after="0" w:line="2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20[</w:t>
      </w:r>
      <w:r>
        <w:rPr>
          <w:sz w:val="20"/>
          <w:szCs w:val="20"/>
          <w:color w:val="auto"/>
        </w:rPr>
        <w:tab/>
      </w:r>
      <w:r>
        <w:rPr>
          <w:rFonts w:ascii="Times New Roman" w:cs="Times New Roman" w:eastAsia="Times New Roman" w:hAnsi="Times New Roman"/>
          <w:sz w:val="17"/>
          <w:szCs w:val="17"/>
          <w:color w:val="auto"/>
        </w:rPr>
        <w:t>].</w:t>
      </w:r>
    </w:p>
    <w:p>
      <w:pPr>
        <w:spacing w:after="0" w:line="197" w:lineRule="exact"/>
        <w:rPr>
          <w:sz w:val="20"/>
          <w:szCs w:val="20"/>
          <w:color w:val="auto"/>
        </w:rPr>
      </w:pPr>
    </w:p>
    <w:p>
      <w:pPr>
        <w:ind w:firstLine="640"/>
        <w:spacing w:after="0" w:line="281"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Imunon, Inc. has caused this Certificate of Amendment to the Restated Certificate of Incorporation to be signed by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duly authorized officer on this ____ day of ________, 20__.</w:t>
      </w:r>
    </w:p>
    <w:p>
      <w:pPr>
        <w:spacing w:after="0" w:line="15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22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3935730</wp:posOffset>
            </wp:positionH>
            <wp:positionV relativeFrom="paragraph">
              <wp:posOffset>15875</wp:posOffset>
            </wp:positionV>
            <wp:extent cx="32029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02940" cy="8255"/>
                    </a:xfrm>
                    <a:prstGeom prst="rect">
                      <a:avLst/>
                    </a:prstGeom>
                    <a:noFill/>
                  </pic:spPr>
                </pic:pic>
              </a:graphicData>
            </a:graphic>
          </wp:anchor>
        </w:drawing>
      </w:r>
    </w:p>
    <w:p>
      <w:pPr>
        <w:spacing w:after="0" w:line="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283210</wp:posOffset>
            </wp:positionV>
            <wp:extent cx="71342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 TO</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RESTATED CERTIFICATE OF INCORPORATION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201" w:lineRule="exact"/>
        <w:rPr>
          <w:sz w:val="20"/>
          <w:szCs w:val="20"/>
          <w:color w:val="auto"/>
        </w:rPr>
      </w:pPr>
    </w:p>
    <w:p>
      <w:pPr>
        <w:ind w:firstLine="640"/>
        <w:spacing w:after="0" w:line="277" w:lineRule="auto"/>
        <w:rPr>
          <w:sz w:val="20"/>
          <w:szCs w:val="20"/>
          <w:color w:val="auto"/>
        </w:rPr>
      </w:pPr>
      <w:r>
        <w:rPr>
          <w:rFonts w:ascii="Times New Roman" w:cs="Times New Roman" w:eastAsia="Times New Roman" w:hAnsi="Times New Roman"/>
          <w:sz w:val="18"/>
          <w:szCs w:val="18"/>
          <w:color w:val="auto"/>
        </w:rPr>
        <w:t>Imunon, Inc. (the “Corporation”), a corporation organized and existing under the General Corporation Law of the State of Delaware (the “DGCL”), does hereby certify that:</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The name of the Corporation is Imunon, Inc.</w:t>
      </w:r>
    </w:p>
    <w:p>
      <w:pPr>
        <w:spacing w:after="0" w:line="220" w:lineRule="exact"/>
        <w:rPr>
          <w:sz w:val="20"/>
          <w:szCs w:val="20"/>
          <w:color w:val="auto"/>
        </w:rPr>
      </w:pPr>
    </w:p>
    <w:p>
      <w:pPr>
        <w:ind w:firstLine="640"/>
        <w:spacing w:after="0" w:line="281" w:lineRule="auto"/>
        <w:rPr>
          <w:sz w:val="20"/>
          <w:szCs w:val="20"/>
          <w:color w:val="auto"/>
        </w:rPr>
      </w:pP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This Certificate of Amendment (the “Certificate of Amendment”) amends the provisions of the Corporation’s Restated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filed with the Secretary of State of the State of Delaware on March 22, 2023 (the “Certificate of Incorporation”).</w:t>
      </w:r>
    </w:p>
    <w:p>
      <w:pPr>
        <w:spacing w:after="0" w:line="156" w:lineRule="exact"/>
        <w:rPr>
          <w:sz w:val="20"/>
          <w:szCs w:val="20"/>
          <w:color w:val="auto"/>
        </w:rPr>
      </w:pPr>
    </w:p>
    <w:p>
      <w:pPr>
        <w:ind w:firstLine="640"/>
        <w:spacing w:after="0" w:line="281" w:lineRule="auto"/>
        <w:rPr>
          <w:sz w:val="20"/>
          <w:szCs w:val="20"/>
          <w:color w:val="auto"/>
        </w:rPr>
      </w:pPr>
      <w:r>
        <w:rPr>
          <w:rFonts w:ascii="Times New Roman" w:cs="Times New Roman" w:eastAsia="Times New Roman" w:hAnsi="Times New Roman"/>
          <w:sz w:val="18"/>
          <w:szCs w:val="18"/>
          <w:b w:val="1"/>
          <w:bCs w:val="1"/>
          <w:color w:val="auto"/>
        </w:rPr>
        <w:t>THIRD</w:t>
      </w:r>
      <w:r>
        <w:rPr>
          <w:rFonts w:ascii="Times New Roman" w:cs="Times New Roman" w:eastAsia="Times New Roman" w:hAnsi="Times New Roman"/>
          <w:sz w:val="18"/>
          <w:szCs w:val="18"/>
          <w:color w:val="auto"/>
        </w:rPr>
        <w:t>: The amendment to the Certificate of Incorporation below has been duly adopted by the board of directors of the Corporation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of the Corporation pursuant to Section 242 of the DGCL.</w:t>
      </w:r>
    </w:p>
    <w:p>
      <w:pPr>
        <w:spacing w:after="0" w:line="156" w:lineRule="exact"/>
        <w:rPr>
          <w:sz w:val="20"/>
          <w:szCs w:val="20"/>
          <w:color w:val="auto"/>
        </w:rPr>
      </w:pPr>
    </w:p>
    <w:p>
      <w:pPr>
        <w:ind w:firstLine="640"/>
        <w:spacing w:after="0" w:line="281" w:lineRule="auto"/>
        <w:rPr>
          <w:sz w:val="20"/>
          <w:szCs w:val="20"/>
          <w:color w:val="auto"/>
        </w:rPr>
      </w:pPr>
      <w:r>
        <w:rPr>
          <w:rFonts w:ascii="Times New Roman" w:cs="Times New Roman" w:eastAsia="Times New Roman" w:hAnsi="Times New Roman"/>
          <w:sz w:val="18"/>
          <w:szCs w:val="18"/>
          <w:b w:val="1"/>
          <w:bCs w:val="1"/>
          <w:color w:val="auto"/>
        </w:rPr>
        <w:t>FOURTH</w:t>
      </w:r>
      <w:r>
        <w:rPr>
          <w:rFonts w:ascii="Times New Roman" w:cs="Times New Roman" w:eastAsia="Times New Roman" w:hAnsi="Times New Roman"/>
          <w:sz w:val="18"/>
          <w:szCs w:val="18"/>
          <w:color w:val="auto"/>
        </w:rPr>
        <w:t>: The Certificate of Incorporation is hereby amended by adding the following paragraph immediately following the first paragraph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Article FOURTH.</w:t>
      </w:r>
    </w:p>
    <w:p>
      <w:pPr>
        <w:spacing w:after="0" w:line="160" w:lineRule="exact"/>
        <w:rPr>
          <w:sz w:val="20"/>
          <w:szCs w:val="20"/>
          <w:color w:val="auto"/>
        </w:rPr>
      </w:pPr>
    </w:p>
    <w:p>
      <w:pPr>
        <w:ind w:left="640" w:right="640"/>
        <w:spacing w:after="0" w:line="249" w:lineRule="auto"/>
        <w:rPr>
          <w:sz w:val="20"/>
          <w:szCs w:val="20"/>
          <w:color w:val="auto"/>
        </w:rPr>
      </w:pPr>
      <w:r>
        <w:rPr>
          <w:rFonts w:ascii="Times New Roman" w:cs="Times New Roman" w:eastAsia="Times New Roman" w:hAnsi="Times New Roman"/>
          <w:sz w:val="18"/>
          <w:szCs w:val="18"/>
          <w:color w:val="auto"/>
        </w:rPr>
        <w:t>“Effective as of [__] at [__] [a.m./p.m.] ET and upon the filing of the Certificate of Amendment to Restated Certificate of Incorporation of the Corporation with the Secretary of State of the State of Delaware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the shares of Common Stock, par value $0.01 per share, of the Corporation issued and outstanding immediately prior to the Effective Date and the shares of Common Stock issued and held in the treasury of the Corporation immediately prior to the Effective Time (the “</w:t>
      </w:r>
      <w:r>
        <w:rPr>
          <w:rFonts w:ascii="Times New Roman" w:cs="Times New Roman" w:eastAsia="Times New Roman" w:hAnsi="Times New Roman"/>
          <w:sz w:val="18"/>
          <w:szCs w:val="18"/>
          <w:u w:val="single" w:color="auto"/>
          <w:color w:val="auto"/>
        </w:rPr>
        <w:t>Old Shares</w:t>
      </w:r>
      <w:r>
        <w:rPr>
          <w:rFonts w:ascii="Times New Roman" w:cs="Times New Roman" w:eastAsia="Times New Roman" w:hAnsi="Times New Roman"/>
          <w:sz w:val="18"/>
          <w:szCs w:val="18"/>
          <w:color w:val="auto"/>
        </w:rPr>
        <w:t>”) shall, automatically and without any action on the part of the respective holders thereof, be reclassified as and combined into a smaller number of shares such that each [ ] ([ ]) shares of issued and outstanding Common Stock immediately prior to the Effective Time are combined into one (1) validly issued, fully paid and non-assessable share of Common Stock (the “</w:t>
      </w:r>
      <w:r>
        <w:rPr>
          <w:rFonts w:ascii="Times New Roman" w:cs="Times New Roman" w:eastAsia="Times New Roman" w:hAnsi="Times New Roman"/>
          <w:sz w:val="18"/>
          <w:szCs w:val="18"/>
          <w:u w:val="single" w:color="auto"/>
          <w:color w:val="auto"/>
        </w:rPr>
        <w:t>Reverse Stock Split</w:t>
      </w:r>
      <w:r>
        <w:rPr>
          <w:rFonts w:ascii="Times New Roman" w:cs="Times New Roman" w:eastAsia="Times New Roman" w:hAnsi="Times New Roman"/>
          <w:sz w:val="18"/>
          <w:szCs w:val="18"/>
          <w:color w:val="auto"/>
        </w:rPr>
        <w:t>”). No fractional shares will be issued in connection with the Reverse Stock Split. Any fractional shares that would otherwise be issuable as a result of the Reverse Stock Split will be rounded up to the nearest whole share. Each stock certificate representing the Old Shares immediately prior to the Effective Date shall thereafter, automatically and without the necessity of presenting the same for exchange, represent that number of whole shares of Common Stock outstanding after the Effective Date into which the Old Shares represented by such certificate shall have been combined; provided however, that each holder of record of a stock certificate or certificates representing the Old Shares may receive, upon surrender of such certificate or certificates, a new certificate or certificates representing the number of whole shares of Common Stock to which such holder is entitled pursuant to the Reverse Stock Split or, at the discretion of the Corporation and unless otherwise instructed by such holder, book-entry shares in lieu of a new certificate or certificates representing the number of whole shares of Common Stock to which such holder is entitled pursuant to the Reverse Stock Split. The shares of Common Stock issued in connection with the Reverse Stock Split shall have the same rights, preferences and privileges as the Old Shares. The number of authorized shares of Common Stock of the Corporation and the par value of the Common Stock shall remain as set forth in the Restated Certificate of Incorporation.</w:t>
      </w:r>
    </w:p>
    <w:p>
      <w:pPr>
        <w:spacing w:after="0" w:line="187" w:lineRule="exact"/>
        <w:rPr>
          <w:sz w:val="20"/>
          <w:szCs w:val="20"/>
          <w:color w:val="auto"/>
        </w:rPr>
      </w:pPr>
    </w:p>
    <w:p>
      <w:pPr>
        <w:ind w:left="640"/>
        <w:spacing w:after="0"/>
        <w:tabs>
          <w:tab w:leader="none" w:pos="8480" w:val="left"/>
          <w:tab w:leader="none" w:pos="11120" w:val="left"/>
        </w:tabs>
        <w:rPr>
          <w:sz w:val="20"/>
          <w:szCs w:val="20"/>
          <w:color w:val="auto"/>
        </w:rPr>
      </w:pPr>
      <w:r>
        <w:rPr>
          <w:rFonts w:ascii="Times New Roman" w:cs="Times New Roman" w:eastAsia="Times New Roman" w:hAnsi="Times New Roman"/>
          <w:sz w:val="18"/>
          <w:szCs w:val="18"/>
          <w:b w:val="1"/>
          <w:bCs w:val="1"/>
          <w:color w:val="auto"/>
        </w:rPr>
        <w:t>FIFTH</w:t>
      </w:r>
      <w:r>
        <w:rPr>
          <w:rFonts w:ascii="Times New Roman" w:cs="Times New Roman" w:eastAsia="Times New Roman" w:hAnsi="Times New Roman"/>
          <w:sz w:val="18"/>
          <w:szCs w:val="18"/>
          <w:color w:val="auto"/>
        </w:rPr>
        <w:t>: This Certificate of Amendment, and the amendment effected hereby, shall become effective at [</w:t>
      </w:r>
      <w:r>
        <w:rPr>
          <w:sz w:val="20"/>
          <w:szCs w:val="20"/>
          <w:color w:val="auto"/>
        </w:rPr>
        <w:tab/>
      </w:r>
      <w:r>
        <w:rPr>
          <w:rFonts w:ascii="Times New Roman" w:cs="Times New Roman" w:eastAsia="Times New Roman" w:hAnsi="Times New Roman"/>
          <w:sz w:val="18"/>
          <w:szCs w:val="18"/>
          <w:color w:val="auto"/>
        </w:rPr>
        <w:t>] [a.m./p.m.] (Eastern Time) on [</w:t>
      </w:r>
      <w:r>
        <w:rPr>
          <w:sz w:val="20"/>
          <w:szCs w:val="20"/>
          <w:color w:val="auto"/>
        </w:rPr>
        <w:tab/>
      </w:r>
      <w:r>
        <w:rPr>
          <w:rFonts w:ascii="Times New Roman" w:cs="Times New Roman" w:eastAsia="Times New Roman" w:hAnsi="Times New Roman"/>
          <w:sz w:val="17"/>
          <w:szCs w:val="17"/>
          <w:color w:val="auto"/>
        </w:rPr>
        <w:t>],</w:t>
      </w:r>
    </w:p>
    <w:p>
      <w:pPr>
        <w:spacing w:after="0" w:line="2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20[</w:t>
      </w:r>
      <w:r>
        <w:rPr>
          <w:sz w:val="20"/>
          <w:szCs w:val="20"/>
          <w:color w:val="auto"/>
        </w:rPr>
        <w:tab/>
      </w:r>
      <w:r>
        <w:rPr>
          <w:rFonts w:ascii="Times New Roman" w:cs="Times New Roman" w:eastAsia="Times New Roman" w:hAnsi="Times New Roman"/>
          <w:sz w:val="17"/>
          <w:szCs w:val="17"/>
          <w:color w:val="auto"/>
        </w:rPr>
        <w:t>].</w:t>
      </w:r>
    </w:p>
    <w:p>
      <w:pPr>
        <w:spacing w:after="0" w:line="197" w:lineRule="exact"/>
        <w:rPr>
          <w:sz w:val="20"/>
          <w:szCs w:val="20"/>
          <w:color w:val="auto"/>
        </w:rPr>
      </w:pPr>
    </w:p>
    <w:p>
      <w:pPr>
        <w:ind w:firstLine="640"/>
        <w:spacing w:after="0" w:line="281"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Imunon, Inc. has caused this Certificate of Amendment to the Restated Certificate of Incorporation to be signed by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duly authorized officer on this ____ day of ________, 20__.</w:t>
      </w:r>
    </w:p>
    <w:p>
      <w:pPr>
        <w:spacing w:after="0" w:line="15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22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3935730</wp:posOffset>
            </wp:positionH>
            <wp:positionV relativeFrom="paragraph">
              <wp:posOffset>15875</wp:posOffset>
            </wp:positionV>
            <wp:extent cx="32029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02940" cy="8255"/>
                    </a:xfrm>
                    <a:prstGeom prst="rect">
                      <a:avLst/>
                    </a:prstGeom>
                    <a:noFill/>
                  </pic:spPr>
                </pic:pic>
              </a:graphicData>
            </a:graphic>
          </wp:anchor>
        </w:drawing>
      </w:r>
    </w:p>
    <w:p>
      <w:pPr>
        <w:spacing w:after="0" w:line="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300355</wp:posOffset>
            </wp:positionV>
            <wp:extent cx="71342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2018 STOCK INCENTIVE PLAN AS AMENDED AS OF JULY 11, 2025</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 INTRODUCTION</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u w:val="single" w:color="auto"/>
          <w:color w:val="auto"/>
        </w:rPr>
        <w:t>Purposes</w:t>
      </w:r>
      <w:r>
        <w:rPr>
          <w:rFonts w:ascii="Times New Roman" w:cs="Times New Roman" w:eastAsia="Times New Roman" w:hAnsi="Times New Roman"/>
          <w:sz w:val="18"/>
          <w:szCs w:val="18"/>
          <w:color w:val="auto"/>
        </w:rPr>
        <w:t>. The purposes of the IMUNON, INC. 2018 Stock Incentive Plan (this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are (i) to align the interests of the Company’s stockholders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recipients of awards under this Plan by increasing the proprietary interest of such recipients in the Company’s growth and success, (ii) to advance the interests of the Company by attracting and retaining Non-Employee Directors, officers, other employees, consultants, independent contractors and agents and (iii) to motivate such persons to act in the long-term best interests of the Company and its stockholders.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mean any entity other than a Subsidiary, if the Company and/or one or more Subsidiaries own directly or indirectly not less than fifty percent (50%) of such entity.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mean the written or electronic agreement evidencing an award hereunder between the Company and the recipient of such award.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shall mean the Board of Directors of the Company.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5.8(b)</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shall mean the Internal Revenue Code of 1986, as amended.</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shall mean the Compensation Committee of the Board, or a subcommittee thereof, or such other committee designated by the Board, in each case, consisting of two or more members of the Board, each of whom is intended to be (i) a “Non-Employee Director” within the meaning of Rule 16b-3 under the Exchange Act and (ii) “independent” within the meaning of the rules of the Nasdaq Capital Market or, if the Common Stock is not listed on the Nasdaq Capital Market, within the meaning of the rules of the principal stock exchange on which the Common Stock is then traded.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shall mean the common stock, par value $0.01 per share, of the Company, and all rights appurtenant thereto.</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mean IMUNON, Inc., a corporation organized under the laws of the State of Delaware, or any successor thereto.</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xml:space="preserve">” shall mean the closing transaction price of a share of Common Stock as reported on the Nasdaq Capital Market on the date as of which such value is being determined or, if the Common Stock is not listed on the Nasdaq Capital Market, the closing transaction price of a share of Common Stock on the principal national stock exchange on which the Common Stock is traded on the date as of which such value is being determined or, if there shall be no reported transactions for such date, on the next preceding date for which transactions were reported;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Common Stock is not listed on a national stock exchange or if Fair Market Value for any date cannot be so determined, Fair Market Value shall be determined by the Committee by whatever means or method as the Committee, in the good faith exercise of its discretion, shall at such time deem appropriate and in compliance with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265430</wp:posOffset>
            </wp:positionV>
            <wp:extent cx="71342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64" w:name="page65"/>
    <w:bookmarkEnd w:id="64"/>
    <w:p>
      <w:pPr>
        <w:jc w:val="both"/>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Free-Standing SAR</w:t>
      </w:r>
      <w:r>
        <w:rPr>
          <w:rFonts w:ascii="Times New Roman" w:cs="Times New Roman" w:eastAsia="Times New Roman" w:hAnsi="Times New Roman"/>
          <w:sz w:val="18"/>
          <w:szCs w:val="18"/>
          <w:color w:val="auto"/>
        </w:rPr>
        <w:t>” shall mean an SAR which is not granted in tandem with, or by reference to, an option, which entitles the holder thereof to receive, upon exercise, shares of Common Stock (which may be Restricted Stock) or, to the extent set forth in the applicable Agreement, cash or a combination thereof, with an aggregate value equal to the excess of the Fair Market Value of one share of Common Stock on the date of exercise over the base price of such SAR, multiplied by the number of such SARs which are exercised.</w:t>
      </w:r>
    </w:p>
    <w:p>
      <w:pPr>
        <w:spacing w:after="0" w:line="1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Stock Option</w:t>
      </w:r>
      <w:r>
        <w:rPr>
          <w:rFonts w:ascii="Times New Roman" w:cs="Times New Roman" w:eastAsia="Times New Roman" w:hAnsi="Times New Roman"/>
          <w:sz w:val="18"/>
          <w:szCs w:val="18"/>
          <w:color w:val="auto"/>
        </w:rPr>
        <w:t>” shall mean an option to purchase shares of Common Stock that meets the requirements of Section 422 of the Code, or any successor provision, which is intended by the Committee to constitute an Incentive Stock Option.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Incumbent Board</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5.8(b)</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Non-Employee Director</w:t>
      </w:r>
      <w:r>
        <w:rPr>
          <w:rFonts w:ascii="Times New Roman" w:cs="Times New Roman" w:eastAsia="Times New Roman" w:hAnsi="Times New Roman"/>
          <w:sz w:val="18"/>
          <w:szCs w:val="18"/>
          <w:color w:val="auto"/>
        </w:rPr>
        <w:t>” shall mean any director of the Company who is not an officer or employee of the Company or any Affiliate or Subsidiary.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Nonqualified Stock Option</w:t>
      </w:r>
      <w:r>
        <w:rPr>
          <w:rFonts w:ascii="Times New Roman" w:cs="Times New Roman" w:eastAsia="Times New Roman" w:hAnsi="Times New Roman"/>
          <w:sz w:val="18"/>
          <w:szCs w:val="18"/>
          <w:color w:val="auto"/>
        </w:rPr>
        <w:t>” shall mean an option to purchase shares of Common Stock which is not an Incentive Stock Option.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Stock Award</w:t>
      </w:r>
      <w:r>
        <w:rPr>
          <w:rFonts w:ascii="Times New Roman" w:cs="Times New Roman" w:eastAsia="Times New Roman" w:hAnsi="Times New Roman"/>
          <w:sz w:val="18"/>
          <w:szCs w:val="18"/>
          <w:color w:val="auto"/>
        </w:rPr>
        <w:t xml:space="preserve">” shall mean an award granted pursuant to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of the Plan.</w:t>
      </w:r>
    </w:p>
    <w:p>
      <w:pPr>
        <w:spacing w:after="0" w:line="2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Award</w:t>
      </w:r>
      <w:r>
        <w:rPr>
          <w:rFonts w:ascii="Times New Roman" w:cs="Times New Roman" w:eastAsia="Times New Roman" w:hAnsi="Times New Roman"/>
          <w:sz w:val="18"/>
          <w:szCs w:val="18"/>
          <w:color w:val="auto"/>
        </w:rPr>
        <w:t>” shall mean a right to receive an amount of cash, Common Stock, or a combination of both, contingent upon the attainment of specified Performance Measures within a specified Performance Period.</w:t>
      </w:r>
    </w:p>
    <w:p>
      <w:pPr>
        <w:spacing w:after="0" w:line="1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Measures</w:t>
      </w:r>
      <w:r>
        <w:rPr>
          <w:rFonts w:ascii="Times New Roman" w:cs="Times New Roman" w:eastAsia="Times New Roman" w:hAnsi="Times New Roman"/>
          <w:sz w:val="18"/>
          <w:szCs w:val="18"/>
          <w:color w:val="auto"/>
        </w:rPr>
        <w:t>” shall mean the criteria and objectives, established by the Committee, which shall be satisfied or met (i) as a condition to the grant or exercisability of all or a portion of an option or SAR or (ii) during the applicable Restriction Period or Performance Period as a condition to the vesting of the holder’s interest, in the case of a Restricted Stock Award, of the shares of Common Stock subject to such award, or, in the case of a Restricted Stock Unit Award, Other Stock Award or Performance Award, to the holder’s receipt of the shares of Common Stock subject to such award or of payment with respect to such award.</w:t>
      </w:r>
    </w:p>
    <w:p>
      <w:pPr>
        <w:spacing w:after="0" w:line="18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Period</w:t>
      </w:r>
      <w:r>
        <w:rPr>
          <w:rFonts w:ascii="Times New Roman" w:cs="Times New Roman" w:eastAsia="Times New Roman" w:hAnsi="Times New Roman"/>
          <w:sz w:val="18"/>
          <w:szCs w:val="18"/>
          <w:color w:val="auto"/>
        </w:rPr>
        <w:t>” shall mean any period designated by the Committee during which (i) the Performance Measures applicable to an award shall be measured and (ii) the conditions to vesting applicable to an award shall remain in effect.</w:t>
      </w:r>
    </w:p>
    <w:p>
      <w:pPr>
        <w:spacing w:after="0" w:line="1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Prior Plan</w:t>
      </w:r>
      <w:r>
        <w:rPr>
          <w:rFonts w:ascii="Times New Roman" w:cs="Times New Roman" w:eastAsia="Times New Roman" w:hAnsi="Times New Roman"/>
          <w:sz w:val="18"/>
          <w:szCs w:val="18"/>
          <w:color w:val="auto"/>
        </w:rPr>
        <w:t>” shall mean the Celsion Corporation 2007 Stock Incentive Plan and each other equity plan maintained by the Company under which awards are outstanding as of the effective date of this Plan.</w:t>
      </w:r>
    </w:p>
    <w:p>
      <w:pPr>
        <w:spacing w:after="0" w:line="1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shall mean shares of Common Stock which are subject to a Restriction Period and which may, in addition thereto, be subject to the attainment of specified Performance Measures within a specified Performance Period.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 Award</w:t>
      </w:r>
      <w:r>
        <w:rPr>
          <w:rFonts w:ascii="Times New Roman" w:cs="Times New Roman" w:eastAsia="Times New Roman" w:hAnsi="Times New Roman"/>
          <w:sz w:val="18"/>
          <w:szCs w:val="18"/>
          <w:color w:val="auto"/>
        </w:rPr>
        <w:t>” shall mean an award of Restricted Stock under this Plan.</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 Unit</w:t>
      </w:r>
      <w:r>
        <w:rPr>
          <w:rFonts w:ascii="Times New Roman" w:cs="Times New Roman" w:eastAsia="Times New Roman" w:hAnsi="Times New Roman"/>
          <w:sz w:val="18"/>
          <w:szCs w:val="18"/>
          <w:color w:val="auto"/>
        </w:rPr>
        <w:t>” shall mean a right to receive one share of Common Stock or, in lieu thereof and to the extent set forth in the applicable Agreement, the Fair Market Value of such share of Common Stock in cash, which shall be contingent upon the expiration of a specified Restriction Period and which may, in addition thereto, be contingent upon the attainment of specified Performance Measures within a specified Performance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 Unit Award</w:t>
      </w:r>
      <w:r>
        <w:rPr>
          <w:rFonts w:ascii="Times New Roman" w:cs="Times New Roman" w:eastAsia="Times New Roman" w:hAnsi="Times New Roman"/>
          <w:sz w:val="18"/>
          <w:szCs w:val="18"/>
          <w:color w:val="auto"/>
        </w:rPr>
        <w:t>” shall mean an award of Restricted Stock Units under this Plan.</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Restriction Period</w:t>
      </w:r>
      <w:r>
        <w:rPr>
          <w:rFonts w:ascii="Times New Roman" w:cs="Times New Roman" w:eastAsia="Times New Roman" w:hAnsi="Times New Roman"/>
          <w:sz w:val="18"/>
          <w:szCs w:val="18"/>
          <w:color w:val="auto"/>
        </w:rPr>
        <w:t>” shall mean any period designated by the Committee during which (i) the Common Stock subject to a Restricted Stock Award may not be sold, transferred, assigned, pledged, hypothecated or otherwise encumbered or disposed of, except as provided in this Plan or the Agreement relating to such award, or (ii) the conditions to vesting applicable to a Restricted Stock Unit Award or Other Stock Award shall remain in effect.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w:t>
      </w:r>
      <w:r>
        <w:rPr>
          <w:rFonts w:ascii="Times New Roman" w:cs="Times New Roman" w:eastAsia="Times New Roman" w:hAnsi="Times New Roman"/>
          <w:sz w:val="18"/>
          <w:szCs w:val="18"/>
          <w:color w:val="auto"/>
        </w:rPr>
        <w:t>” shall mean a stock appreciation right which may be a Free-Standing SAR or a Tandem 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287020</wp:posOffset>
            </wp:positionV>
            <wp:extent cx="71342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Award</w:t>
      </w:r>
      <w:r>
        <w:rPr>
          <w:rFonts w:ascii="Times New Roman" w:cs="Times New Roman" w:eastAsia="Times New Roman" w:hAnsi="Times New Roman"/>
          <w:sz w:val="18"/>
          <w:szCs w:val="18"/>
          <w:color w:val="auto"/>
        </w:rPr>
        <w:t>” shall mean a Restricted Stock Award, Restricted Stock Unit Award or Other Stock Award.</w:t>
      </w:r>
    </w:p>
    <w:p>
      <w:pPr>
        <w:spacing w:after="0" w:line="2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shall mean only a company or companies, whether now or hereafter existing, within the meaning of the definition of “subsidiary company” provided in Section 424(f) of the Code, or any successor thereto of similar import.</w:t>
      </w:r>
    </w:p>
    <w:p>
      <w:pPr>
        <w:spacing w:after="0" w:line="1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Substitute Award</w:t>
      </w:r>
      <w:r>
        <w:rPr>
          <w:rFonts w:ascii="Times New Roman" w:cs="Times New Roman" w:eastAsia="Times New Roman" w:hAnsi="Times New Roman"/>
          <w:sz w:val="18"/>
          <w:szCs w:val="18"/>
          <w:color w:val="auto"/>
        </w:rPr>
        <w:t xml:space="preserve">” shall mean an award granted under this Plan upon the assumption of, or in substitution for, outstanding equity awards previously granted by a company or other entity in connection with a corporate transaction, including a merger, combination, consolidation or acquisition of property or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the term “Substitute Award” be construed to refer to an award made in connection with the cancellation and repricing of an option or SAR.</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Tandem SAR</w:t>
      </w:r>
      <w:r>
        <w:rPr>
          <w:rFonts w:ascii="Times New Roman" w:cs="Times New Roman" w:eastAsia="Times New Roman" w:hAnsi="Times New Roman"/>
          <w:sz w:val="18"/>
          <w:szCs w:val="18"/>
          <w:color w:val="auto"/>
        </w:rPr>
        <w:t>” shall mean an SAR which is granted in tandem with, or by reference to, an option (including a Nonqualified Stock Option granted prior to the date of grant of the SAR), which entitles the holder thereof to receive, upon exercise of such SAR and surrender for cancellation of all or a portion of such option, shares of Common Stock (which may be Restricted Stock) or, to the extent set forth in the applicable Agreement, cash or a combination thereof, with an aggregate value equal to the excess of the Fair Market Value of one share of Common Stock on the date of exercise over the base price of such SAR, multiplied by the number of shares of Common Stock subject to such option, or portion thereof, which is surrendered.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Ten Percent Holder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b w:val="1"/>
          <w:bCs w:val="1"/>
          <w:color w:val="auto"/>
        </w:rPr>
        <w:t xml:space="preserve">1.3 </w:t>
      </w: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This Plan shall be administered by the Committee except to the extent the Board elects to administer the Plan, in which case references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 to the “Committee” shall be deemed to include references to the “Board.” Any one or a combination of the following awards may be made under this Plan to eligible persons: (i) options to purchase shares of Common Stock in the form of Incentive Stock Options or Nonqualified Stock Options; (ii) SARs in the form of Tandem SARs or Free-Standing SARs; (iii) Stock Awards in the form of Restricted Stock, Restricted Stock Units or Other Stock Awards; and (iv) Performance Awards. The Committee shall, subject to the terms of this Plan, select eligible persons for participation in this Plan and determine the form, amount and timing of each award to such persons and, if applicable, the number of shares of Common Stock subject to an award, the number of SARs, the number of Restricted Stock Units, the dollar value subject to a Performance Award, the purchase price or base price associated with the award, the time and conditions of exercise or settlement of the award and all other terms and conditions of the award, including, without limitation, the form of the Agreement evidencing the award. The Committee may, in its sole discretion and for any reason at any time, take action such that (i) any or all outstanding options and SARs shall become exercisable in part or in full, (ii) all or a portion of the Restriction Period applicable to any outstanding awards shall lapse, (iii) all or a portion of the Performance Period applicable to any outstanding awards shall lapse and (iv) the Performance Measures (if any) applicable to any outstanding awards shall be deemed to be satisfied at the target, maximum or any other level. The Committee shall, subject to the terms of this Plan, interpret this Plan and the application thereof, establish rules and regulations it deems necessary or desirable for the administration of this Plan and may impose, incidental to the grant of an award, conditions with respect to the award, such as limiting competitive employment or other activities. All such interpretations, rules, regulations and conditions shall be conclusive and binding on all parties.</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Committee may delegate some or all of its power and authority hereunder to the Board (or any members thereof) or, subject to applicable law, to a subcommittee of the Board, a member of the Board, the Chief Executive Officer or other executive officer of the Company as the Committee deems appropriate;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Committee may not delegate its power and authority to a member of the Board, the Chief Executive Officer or other executive officer of the Company with regard to the selection for participation in this Plan of an officer, director or other person subject to Section 16 of the Exchange Act or decisions concerning the timing, pricing or amount of an award to such an officer, director or other person.</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 member of the Board or Committee, and neither the Chief Executive Officer nor any other executive officer to whom the Committee delegates any of its power and authority hereunder, shall be liable for any act, omission, interpretation, construction or determination made in connection with this Plan in good faith, and the members of the Board and the Committee and the Chief Executive Officer or other executive officer shall be entitled to indemnification and reimbursement by the Company in respect of any claim, loss, damage or expense (including attorneys’ fees) arising therefrom to the full extent permitted by law (except as otherwise may be provided in the Company’s Certificate of Incorporation and/or By-laws) and under any directors’ and officers’ liability insurance that may be in effect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264795</wp:posOffset>
            </wp:positionV>
            <wp:extent cx="71342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66" w:name="page67"/>
    <w:bookmarkEnd w:id="66"/>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1.4 </w:t>
      </w: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Participants in this Plan shall consist of such officers, other employees, Non-Employee Directors, consultants, independent contractors,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agents, and persons expected to become officers, other employees, Non-Employee Directors, consultants, independent contractors and agents of the Company and its Affiliates and Subsidiaries as the Committee in its sole discretion may select from time to time. The Committee’s selection of a person to participate in this Plan at any time shall not require the Committee to select such person to participate in this Plan at any other time. Except as otherwise provided for in an Agreement, for purposes of this Plan, references to employment by the Company shall also mean employment by an Affiliate or Subsidiary, and references to employment shall include service as a Non-Employee Director, consultant, independent contractor or agent. The Committee shall determine, in its sole discretion, the extent to which a participant shall be considered employed during an approved leave of absence.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1.5 </w:t>
      </w:r>
      <w:r>
        <w:rPr>
          <w:rFonts w:ascii="Times New Roman" w:cs="Times New Roman" w:eastAsia="Times New Roman" w:hAnsi="Times New Roman"/>
          <w:sz w:val="18"/>
          <w:szCs w:val="18"/>
          <w:u w:val="single" w:color="auto"/>
          <w:color w:val="auto"/>
        </w:rPr>
        <w:t>Shares Available</w:t>
      </w:r>
      <w:r>
        <w:rPr>
          <w:rFonts w:ascii="Times New Roman" w:cs="Times New Roman" w:eastAsia="Times New Roman" w:hAnsi="Times New Roman"/>
          <w:sz w:val="18"/>
          <w:szCs w:val="18"/>
          <w:color w:val="auto"/>
        </w:rPr>
        <w:t>. Subject to adjustment as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to all other limits set forth in this Plan, the number of shares of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for all awards under this Plan, other than Substitute Awards, shall be 3,970,000. All of the shares available under the Plan may be issued under the Plan in connection with Incentive Stock Options. To the extent the Company grants an award under the Plan, the number of shares of Common Stock that remain available for future grants under the Plan shall be reduced by an amount equal to the number of shares subject to such award.</w:t>
      </w:r>
    </w:p>
    <w:p>
      <w:pPr>
        <w:spacing w:after="0" w:line="1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To the extent that shares of Common Stock subject to an outstanding option, SAR, Stock Award or Performance Award granted under the Plan or a similar type of award granted under the Prior Plan, other than Substitute Awards, are not issued or delivered by reason of (i) the expiration, termination, cancellation or forfeiture of such award (excluding shares subject to an option cancelled upon settlement in shares of a related Tandem SAR or shares subject to a Tandem SAR cancelled upon exercise of a related option) or (ii) the settlement of such award in cash, then such shares of Common Stock shall again be available under this Plan;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shares of Common Stock subject to an award under this Plan or a Prior Plan shall not again be available for issuance under this Plan if such shares are (x) shares that were subject to an option or stock-settled SAR and were not issued or delivered upon the net settlement or net exercise of such option or SAR, (y) shares delivered to or withheld by the Company to pay the purchase price or the withholding taxes related to an outstanding award or (z) shares repurchased by the Company on the open market with the proceeds of an option exercise.</w:t>
      </w:r>
    </w:p>
    <w:p>
      <w:pPr>
        <w:spacing w:after="0" w:line="1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number of shares of Common Stock available for awards under this Plan shall not be reduced by (i) the number of shares of Common Stock subject to Substitute Awards or (ii) available shares under a stockholder approved plan of a company or other entity which was a party to a corporate transaction with the Company (as appropriately adjusted to reflect such corporate transaction) which become subject to awards granted under this Plan (subject to applicable stock exchange requirements).</w:t>
      </w:r>
    </w:p>
    <w:p>
      <w:pPr>
        <w:spacing w:after="0" w:line="1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Shares of Common Stock to be delivered under this Plan shall be made available from authorized and unissued shares of Common Stock, or authorized and issued shares of Common Stock reacquired and held as treasury shares or otherwise or a combination thereof.</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II. STOCK OPTIONS AND STOCK APPRECIATION RIGHTS</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u w:val="single" w:color="auto"/>
          <w:color w:val="auto"/>
        </w:rPr>
        <w:t>Stock Options</w:t>
      </w:r>
      <w:r>
        <w:rPr>
          <w:rFonts w:ascii="Times New Roman" w:cs="Times New Roman" w:eastAsia="Times New Roman" w:hAnsi="Times New Roman"/>
          <w:sz w:val="18"/>
          <w:szCs w:val="18"/>
          <w:color w:val="auto"/>
        </w:rPr>
        <w:t>. The Committee may, in its discretion, grant options to purchase shares of Common Stock to such eligible persons as may be selected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Committee. Each option, or portion thereof, that is not an Incentive Stock Option, shall be a Nonqualified Stock Option. To the extent that the aggregate Fair Market Value (determined as of the date of grant) of shares of Common Stock with respect to which options designated as Incentive Stock Options are exercisable for the first time by a participant during any calendar year (under this Plan or any other plan of the Company, or any parent or Subsidiary) exceeds the amount (currently $100,000) established by the Code, such options shall constitute Nonqualified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262255</wp:posOffset>
            </wp:positionV>
            <wp:extent cx="71342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t>Options shall be subject to the following terms and conditions and shall contain such additional terms and conditions, not inconsistent with the terms of this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as the Committee shall deem advisable:</w:t>
      </w:r>
    </w:p>
    <w:p>
      <w:pPr>
        <w:spacing w:after="0" w:line="201" w:lineRule="exact"/>
        <w:rPr>
          <w:sz w:val="20"/>
          <w:szCs w:val="20"/>
          <w:color w:val="auto"/>
        </w:rPr>
      </w:pPr>
    </w:p>
    <w:p>
      <w:pPr>
        <w:jc w:val="both"/>
        <w:ind w:firstLine="7"/>
        <w:spacing w:after="0" w:line="252" w:lineRule="auto"/>
        <w:tabs>
          <w:tab w:leader="none" w:pos="24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 and Purchase Price</w:t>
      </w:r>
      <w:r>
        <w:rPr>
          <w:rFonts w:ascii="Times New Roman" w:cs="Times New Roman" w:eastAsia="Times New Roman" w:hAnsi="Times New Roman"/>
          <w:sz w:val="18"/>
          <w:szCs w:val="18"/>
          <w:color w:val="auto"/>
        </w:rPr>
        <w:t xml:space="preserve">. The number of shares of Common Stock subject to an option and the purchase price per share of Common Stock purchasable upon exercise of the option shall be determined by the Committee;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purchase price per share of Common Stock purchasable upon exercise of an option shall not be less than 100% of the Fair Market Value of a share of Common Stock on the date of grant of such option;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if an Incentive Stock Option shall be granted to any person who, at the time such option is granted, owns capital stock possessing more than 10 percent of the total combined voting power of all classes of capital stock of the Company (or of any parent or Subsidiary) (a “</w:t>
      </w:r>
      <w:r>
        <w:rPr>
          <w:rFonts w:ascii="Times New Roman" w:cs="Times New Roman" w:eastAsia="Times New Roman" w:hAnsi="Times New Roman"/>
          <w:sz w:val="18"/>
          <w:szCs w:val="18"/>
          <w:u w:val="single" w:color="auto"/>
          <w:color w:val="auto"/>
        </w:rPr>
        <w:t>Ten Percent Holder</w:t>
      </w:r>
      <w:r>
        <w:rPr>
          <w:rFonts w:ascii="Times New Roman" w:cs="Times New Roman" w:eastAsia="Times New Roman" w:hAnsi="Times New Roman"/>
          <w:sz w:val="18"/>
          <w:szCs w:val="18"/>
          <w:color w:val="auto"/>
        </w:rPr>
        <w:t>”), the purchase price per share of Common Stock shall not be less than the price (currently 110% of Fair Market Value) required by the Code in order to constitute an Incentive Stock Option.</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Notwithstanding the foregoing, in the case of an option that is a Substitute Award, the purchase price per share of the shares subject to such option may be less than 100% of the Fair Market Value per share on the date of grant, provided, that the excess of: (a) the aggregate Fair Market Value (as of the date such Substitute Award is granted) of the shares subject to the Substitute Award, over (b) the aggregate purchase price thereof does not exceed the excess of: (x) the aggregate fair market value (as of the time immediately preceding the transaction giving rise to the Substitute Award, such fair market value to be determined by the Committee) of the shares of the predecessor company or other entity that were subject to the grant assumed or substituted for by the Company, over (y) the aggregate purchase price of such shares.</w:t>
      </w:r>
    </w:p>
    <w:p>
      <w:pPr>
        <w:spacing w:after="0" w:line="185" w:lineRule="exact"/>
        <w:rPr>
          <w:sz w:val="20"/>
          <w:szCs w:val="20"/>
          <w:color w:val="auto"/>
        </w:rPr>
      </w:pPr>
    </w:p>
    <w:p>
      <w:pPr>
        <w:jc w:val="both"/>
        <w:ind w:firstLine="7"/>
        <w:spacing w:after="0" w:line="253" w:lineRule="auto"/>
        <w:tabs>
          <w:tab w:leader="none" w:pos="25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Period and Exercisability</w:t>
      </w:r>
      <w:r>
        <w:rPr>
          <w:rFonts w:ascii="Times New Roman" w:cs="Times New Roman" w:eastAsia="Times New Roman" w:hAnsi="Times New Roman"/>
          <w:sz w:val="18"/>
          <w:szCs w:val="18"/>
          <w:color w:val="auto"/>
        </w:rPr>
        <w:t xml:space="preserve">. The period during which an option may be exercised shall be determined by the Committee;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option shall be exercised later than ten years after its date of grant;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if an Incentive Stock Option shall be granted to a Ten Percent Holder, such option shall not be exercised later than five years after its date of grant. The Committee may, in its discretion, establish Performance Measures which shall be satisfied or met as a condition to the grant of an option or to the exercisability of all or a portion of an option. The Committee shall determine whether an option shall become exercisable in cumulative or non-cumulative installments and in part or in full at any time. An exercisable option, or portion thereof, may be exercised only with respect to whole shares of Common Stock.</w:t>
      </w:r>
    </w:p>
    <w:p>
      <w:pPr>
        <w:spacing w:after="0" w:line="185" w:lineRule="exact"/>
        <w:rPr>
          <w:rFonts w:ascii="Times New Roman" w:cs="Times New Roman" w:eastAsia="Times New Roman" w:hAnsi="Times New Roman"/>
          <w:sz w:val="18"/>
          <w:szCs w:val="18"/>
          <w:color w:val="auto"/>
        </w:rPr>
      </w:pPr>
    </w:p>
    <w:p>
      <w:pPr>
        <w:jc w:val="both"/>
        <w:ind w:firstLine="7"/>
        <w:spacing w:after="0" w:line="250" w:lineRule="auto"/>
        <w:tabs>
          <w:tab w:leader="none" w:pos="24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xml:space="preserve">. An option may be exercised (i) by giving written notice to the Company specifying the number of whole shares of Common Stock to be purchased and accompanying such notice with payment therefor in full (or arrangement made for such payment to the Company’s satisfaction) either (A) in cash, (B) by delivery (either actual delivery or by attestation procedures established by the Company) of shares of Common Stock having a Fair Market Value, determined as of the date of exercise, equal to the aggregate purchase price payable by reason of such exercise, (C) authorizing the Company to withhold whole shares of Common Stock which would otherwise be delivered having an aggregate Fair Market Value, determined as of the date of exercise, equal to the amount necessary to satisfy such obligation, (D) in cash by a broker-dealer acceptable to the Company to whom the participant has submitted an irrevocable notice of exercise or (E) a combination of (A), (B) and (C), in each case to the extent set forth in the Agreement relating to the option, (ii) if applicable, by surrendering to the Company any Tandem SARs which are cancelled by reason of the exercise of the option and (iii) by executing such documents as the Company may reasonably request. Any fraction of a share of Common Stock which would be required to pay such purchase price shall be disregarded and the remaining amount due shall be paid in cash by the participant. No shares of Common Stock shall be issued and no certificate representing Common Stock shall be delivered until the full purchase price therefor and any withholding taxes thereon, as described in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have been paid (or arrangement made for such payment to the Company’s satisfaction).</w:t>
      </w:r>
    </w:p>
    <w:p>
      <w:pPr>
        <w:spacing w:after="0" w:line="18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u w:val="single" w:color="auto"/>
          <w:color w:val="auto"/>
        </w:rPr>
        <w:t>Stock Appreciation Rights</w:t>
      </w:r>
      <w:r>
        <w:rPr>
          <w:rFonts w:ascii="Times New Roman" w:cs="Times New Roman" w:eastAsia="Times New Roman" w:hAnsi="Times New Roman"/>
          <w:sz w:val="18"/>
          <w:szCs w:val="18"/>
          <w:color w:val="auto"/>
        </w:rPr>
        <w:t>. The Committee may, in its discretion, grant SARs to such eligible persons as may be selected by the Committee.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relating to an SAR shall specify whether the SAR is a Tandem SAR or a Free-Standing 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248920</wp:posOffset>
            </wp:positionV>
            <wp:extent cx="71342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t>SARs shall be subject to the following terms and conditions and shall contain such additional terms and conditions, not inconsistent with the terms of this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as the Committee shall deem advisable:</w:t>
      </w:r>
    </w:p>
    <w:p>
      <w:pPr>
        <w:spacing w:after="0" w:line="201" w:lineRule="exact"/>
        <w:rPr>
          <w:sz w:val="20"/>
          <w:szCs w:val="20"/>
          <w:color w:val="auto"/>
        </w:rPr>
      </w:pPr>
    </w:p>
    <w:p>
      <w:pPr>
        <w:jc w:val="both"/>
        <w:ind w:left="640" w:firstLine="7"/>
        <w:spacing w:after="0" w:line="254" w:lineRule="auto"/>
        <w:tabs>
          <w:tab w:leader="none" w:pos="88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SARs and Base Price</w:t>
      </w:r>
      <w:r>
        <w:rPr>
          <w:rFonts w:ascii="Times New Roman" w:cs="Times New Roman" w:eastAsia="Times New Roman" w:hAnsi="Times New Roman"/>
          <w:sz w:val="18"/>
          <w:szCs w:val="18"/>
          <w:color w:val="auto"/>
        </w:rPr>
        <w:t xml:space="preserve">. The number of SARs subject to an award shall be determined by the Committee. Any Tandem SAR related to an Incentive Stock Option shall be granted at the same time that such Incentive Stock Option is granted. The base price of a Tandem SAR shall be the purchase price per share of Common Stock of the related option. The base price of a Free-Standing SAR shall be determined by the Committee;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base price shall not be less than 100% of the Fair Market Value of a share of Common Stock on the date of grant of such SAR (or, if earlier, the date of grant of the option for which the SAR is exchanged or substituted).</w:t>
      </w:r>
    </w:p>
    <w:p>
      <w:pPr>
        <w:spacing w:after="0" w:line="186"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18"/>
          <w:szCs w:val="18"/>
          <w:color w:val="auto"/>
        </w:rPr>
        <w:t>Notwithstanding the foregoing, in the case of an SAR that is a Substitute Award, the base price per share of the shares subject to such SAR may be less than 100% of the Fair Market Value per share on the date of grant, provided, that the excess of: (a) the aggregate Fair Market Value (as of the date such Substitute Award is granted) of the shares subject to the Substitute Award, over (b) the aggregate base price thereof does not exceed the excess of: (x) the aggregate fair market value (as of the time immediately preceding the transaction giving rise to the Substitute Award, such fair market value to be determined by the Committee) of the shares of the predecessor company or other entity that were subject to the grant assumed or substituted for by the Company, over (y) the aggregate base price of such shares.</w:t>
      </w:r>
    </w:p>
    <w:p>
      <w:pPr>
        <w:spacing w:after="0" w:line="185" w:lineRule="exact"/>
        <w:rPr>
          <w:sz w:val="20"/>
          <w:szCs w:val="20"/>
          <w:color w:val="auto"/>
        </w:rPr>
      </w:pPr>
    </w:p>
    <w:p>
      <w:pPr>
        <w:jc w:val="both"/>
        <w:ind w:left="640" w:firstLine="7"/>
        <w:spacing w:after="0" w:line="250" w:lineRule="auto"/>
        <w:tabs>
          <w:tab w:leader="none" w:pos="89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Period and Exercisability</w:t>
      </w:r>
      <w:r>
        <w:rPr>
          <w:rFonts w:ascii="Times New Roman" w:cs="Times New Roman" w:eastAsia="Times New Roman" w:hAnsi="Times New Roman"/>
          <w:sz w:val="18"/>
          <w:szCs w:val="18"/>
          <w:color w:val="auto"/>
        </w:rPr>
        <w:t xml:space="preserve">. The period for the exercise of an SAR shall be determined by the Committee;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no Tandem SAR shall be exercised later than the expiration, cancellation, forfeiture or other termination of the related option and (ii) no Free-Standing SAR shall be exercised later than ten years after its date of grant. The Committee may, in its discretion, establish Performance Measures which shall be satisfied or met as a condition to the grant of an SAR or to the exercisability of all or a portion of an SAR. The Committee shall determine whether an SAR may be exercised in cumulative or non-cumulative installments and in part or in full at any time. An exercisable SAR, or portion thereof, may be exercised, in the case of a Tandem SAR, only with respect to whole shares of Common Stock and, in the case of a Free-Standing SAR, only with respect to a whole number of SARs. If an SAR is exercised for shares of Restricted Stock, a certificate or certificates representing such Restricted Stock shall be issued in accordance with </w:t>
      </w:r>
      <w:r>
        <w:rPr>
          <w:rFonts w:ascii="Times New Roman" w:cs="Times New Roman" w:eastAsia="Times New Roman" w:hAnsi="Times New Roman"/>
          <w:sz w:val="18"/>
          <w:szCs w:val="18"/>
          <w:u w:val="single" w:color="auto"/>
          <w:color w:val="auto"/>
        </w:rPr>
        <w:t>Section 3.2(c)</w:t>
      </w:r>
      <w:r>
        <w:rPr>
          <w:rFonts w:ascii="Times New Roman" w:cs="Times New Roman" w:eastAsia="Times New Roman" w:hAnsi="Times New Roman"/>
          <w:sz w:val="18"/>
          <w:szCs w:val="18"/>
          <w:color w:val="auto"/>
        </w:rPr>
        <w:t xml:space="preserve">, or such shares shall be transferred to the holder in book entry form with restrictions on the shares duly noted, and the holder of such Restricted Stock shall have such rights of a stockholder of the Company as determined pursuant to </w:t>
      </w:r>
      <w:r>
        <w:rPr>
          <w:rFonts w:ascii="Times New Roman" w:cs="Times New Roman" w:eastAsia="Times New Roman" w:hAnsi="Times New Roman"/>
          <w:sz w:val="18"/>
          <w:szCs w:val="18"/>
          <w:u w:val="single" w:color="auto"/>
          <w:color w:val="auto"/>
        </w:rPr>
        <w:t>Section 3.2(d)</w:t>
      </w:r>
      <w:r>
        <w:rPr>
          <w:rFonts w:ascii="Times New Roman" w:cs="Times New Roman" w:eastAsia="Times New Roman" w:hAnsi="Times New Roman"/>
          <w:sz w:val="18"/>
          <w:szCs w:val="18"/>
          <w:color w:val="auto"/>
        </w:rPr>
        <w:t>. Prior to the exercise of a stock-settled SAR, the holder of such SAR shall have no rights as a stockholder of the Company with respect to the shares of Common Stock subject to such SAR.</w:t>
      </w:r>
    </w:p>
    <w:p>
      <w:pPr>
        <w:spacing w:after="0" w:line="190" w:lineRule="exact"/>
        <w:rPr>
          <w:rFonts w:ascii="Times New Roman" w:cs="Times New Roman" w:eastAsia="Times New Roman" w:hAnsi="Times New Roman"/>
          <w:sz w:val="18"/>
          <w:szCs w:val="18"/>
          <w:color w:val="auto"/>
        </w:rPr>
      </w:pPr>
    </w:p>
    <w:p>
      <w:pPr>
        <w:jc w:val="both"/>
        <w:ind w:left="640" w:firstLine="7"/>
        <w:spacing w:after="0" w:line="253" w:lineRule="auto"/>
        <w:tabs>
          <w:tab w:leader="none" w:pos="88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xml:space="preserve">. A Tandem SAR may be exercised (i) by giving written notice to the Company specifying the number of whole SARs which are being exercised, (ii) by surrendering to the Company any options which are cancelled by reason of the exercise of the Tandem SAR and (iii) by executing such documents as the Company may reasonably request. A Free-Standing SAR may be exercised (A) by giving written notice to the Company specifying the whole number of SARs which are being exercised and (B) by executing such documents as the Company may reasonably request. No shares of Common Stock shall be issued and no certificate representing Common Stock shall be delivered until any withholding taxes thereon, as described in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have been paid (or arrangement made for such payment to the Company’s satisfaction).</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2.3 </w:t>
      </w:r>
      <w:r>
        <w:rPr>
          <w:rFonts w:ascii="Times New Roman" w:cs="Times New Roman" w:eastAsia="Times New Roman" w:hAnsi="Times New Roman"/>
          <w:sz w:val="18"/>
          <w:szCs w:val="18"/>
          <w:u w:val="single" w:color="auto"/>
          <w:color w:val="auto"/>
        </w:rPr>
        <w:t>Termination of Employment or Service</w:t>
      </w:r>
      <w:r>
        <w:rPr>
          <w:rFonts w:ascii="Times New Roman" w:cs="Times New Roman" w:eastAsia="Times New Roman" w:hAnsi="Times New Roman"/>
          <w:sz w:val="18"/>
          <w:szCs w:val="18"/>
          <w:color w:val="auto"/>
        </w:rPr>
        <w:t>. All of the terms relating to the exercise, cancellation or other disposition of an option or SAR (i) upon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of employment with or service to the Company of the holder of such option or SAR, as the case may be, whether by reason of disability, retirement, death or any other reason, or (ii) during a paid or unpaid leave of absence, shall be determined by the Committee and set forth in the applicable award Agreement.</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2.4 </w:t>
      </w:r>
      <w:r>
        <w:rPr>
          <w:rFonts w:ascii="Times New Roman" w:cs="Times New Roman" w:eastAsia="Times New Roman" w:hAnsi="Times New Roman"/>
          <w:sz w:val="18"/>
          <w:szCs w:val="18"/>
          <w:u w:val="single" w:color="auto"/>
          <w:color w:val="auto"/>
        </w:rPr>
        <w:t>No Repricing</w:t>
      </w:r>
      <w:r>
        <w:rPr>
          <w:rFonts w:ascii="Times New Roman" w:cs="Times New Roman" w:eastAsia="Times New Roman" w:hAnsi="Times New Roman"/>
          <w:sz w:val="18"/>
          <w:szCs w:val="18"/>
          <w:color w:val="auto"/>
        </w:rPr>
        <w:t>. The Committee shall not, without the approval of the stockholders of the Company, (i) reduce the purchase price or base price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previously granted option or SAR, (ii) cancel any previously granted option or SAR in exchange for another option or SAR with a lower purchase price or base price or (iii) cancel any previously granted option or SAR in exchange for cash or another award if the purchase price of such option or the base price of such SAR exceeds the Fair Market Value of a share of Common Stock on the date of such cancellation, in each case, other than in connection with a Change in Control or the adjustment provisions set forth in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262255</wp:posOffset>
            </wp:positionV>
            <wp:extent cx="71342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69" w:name="page70"/>
    <w:bookmarkEnd w:id="69"/>
    <w:p>
      <w:pPr>
        <w:jc w:val="both"/>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2.5 </w:t>
      </w:r>
      <w:r>
        <w:rPr>
          <w:rFonts w:ascii="Times New Roman" w:cs="Times New Roman" w:eastAsia="Times New Roman" w:hAnsi="Times New Roman"/>
          <w:sz w:val="18"/>
          <w:szCs w:val="18"/>
          <w:u w:val="single" w:color="auto"/>
          <w:color w:val="auto"/>
        </w:rPr>
        <w:t>No Dividend Equivalents.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in an Agreement to the contrary, the holder of an option or SAR shall not be entitled to receive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dividend equivalents with respect to the number of shares of Common Stock subject to such option or SAR.</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III. STOCK AWARDS</w:t>
      </w:r>
    </w:p>
    <w:p>
      <w:pPr>
        <w:spacing w:after="0" w:line="2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u w:val="single" w:color="auto"/>
          <w:color w:val="auto"/>
        </w:rPr>
        <w:t>Stock Awards</w:t>
      </w:r>
      <w:r>
        <w:rPr>
          <w:rFonts w:ascii="Times New Roman" w:cs="Times New Roman" w:eastAsia="Times New Roman" w:hAnsi="Times New Roman"/>
          <w:sz w:val="18"/>
          <w:szCs w:val="18"/>
          <w:color w:val="auto"/>
        </w:rPr>
        <w:t>. The Committee may, in its discretion, grant Stock Awards to such eligible persons as may be selected by the Committee. The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relating to a Stock Award shall specify whether the Stock Award is a Restricted Stock Award, a Restricted Stock Unit Award or, in the case of an Other Stock Award, the type of award being granted.</w:t>
      </w:r>
    </w:p>
    <w:p>
      <w:pPr>
        <w:spacing w:after="0" w:line="17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3.2 </w:t>
      </w:r>
      <w:r>
        <w:rPr>
          <w:rFonts w:ascii="Times New Roman" w:cs="Times New Roman" w:eastAsia="Times New Roman" w:hAnsi="Times New Roman"/>
          <w:sz w:val="18"/>
          <w:szCs w:val="18"/>
          <w:u w:val="single" w:color="auto"/>
          <w:color w:val="auto"/>
        </w:rPr>
        <w:t>Terms of Restricted Stock Awards</w:t>
      </w:r>
      <w:r>
        <w:rPr>
          <w:rFonts w:ascii="Times New Roman" w:cs="Times New Roman" w:eastAsia="Times New Roman" w:hAnsi="Times New Roman"/>
          <w:sz w:val="18"/>
          <w:szCs w:val="18"/>
          <w:color w:val="auto"/>
        </w:rPr>
        <w:t>. Restricted Stock Awards shall be subject to the following terms and conditions and shall contain such additional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conditions, not inconsistent with the terms of this Plan, as the Committee shall deem advisable.</w:t>
      </w:r>
    </w:p>
    <w:p>
      <w:pPr>
        <w:spacing w:after="0" w:line="160" w:lineRule="exact"/>
        <w:rPr>
          <w:sz w:val="20"/>
          <w:szCs w:val="20"/>
          <w:color w:val="auto"/>
        </w:rPr>
      </w:pPr>
    </w:p>
    <w:p>
      <w:pPr>
        <w:ind w:left="640" w:firstLine="7"/>
        <w:spacing w:after="0" w:line="277" w:lineRule="auto"/>
        <w:tabs>
          <w:tab w:leader="none" w:pos="89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 and Other Terms</w:t>
      </w:r>
      <w:r>
        <w:rPr>
          <w:rFonts w:ascii="Times New Roman" w:cs="Times New Roman" w:eastAsia="Times New Roman" w:hAnsi="Times New Roman"/>
          <w:sz w:val="18"/>
          <w:szCs w:val="18"/>
          <w:color w:val="auto"/>
        </w:rPr>
        <w:t>. The number of shares of Common Stock subject to a Restricted Stock Award and the Restriction Period, Performance Period (if any) and Performance Measures (if any) applicable to a Restricted Stock Award shall be determined by the Committee.</w:t>
      </w:r>
    </w:p>
    <w:p>
      <w:pPr>
        <w:spacing w:after="0" w:line="162" w:lineRule="exact"/>
        <w:rPr>
          <w:rFonts w:ascii="Times New Roman" w:cs="Times New Roman" w:eastAsia="Times New Roman" w:hAnsi="Times New Roman"/>
          <w:sz w:val="18"/>
          <w:szCs w:val="18"/>
          <w:color w:val="auto"/>
        </w:rPr>
      </w:pPr>
    </w:p>
    <w:p>
      <w:pPr>
        <w:jc w:val="both"/>
        <w:ind w:left="640" w:firstLine="7"/>
        <w:spacing w:after="0" w:line="253" w:lineRule="auto"/>
        <w:tabs>
          <w:tab w:leader="none" w:pos="90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and Forfeiture</w:t>
      </w:r>
      <w:r>
        <w:rPr>
          <w:rFonts w:ascii="Times New Roman" w:cs="Times New Roman" w:eastAsia="Times New Roman" w:hAnsi="Times New Roman"/>
          <w:sz w:val="18"/>
          <w:szCs w:val="18"/>
          <w:color w:val="auto"/>
        </w:rPr>
        <w:t>. The Agreement relating to a Restricted Stock Award shall provide, in the manner determined by the Committee, in its discretion, and subject to the provisions of this Plan, for the vesting of the shares of Common Stock subject to such award (i) if the holder of such award remains continuously in the employment of the Company during the specified Restriction Period and (ii) if specified Performance Measures (if any) are satisfied or met during a specified Performance Period, and for the forfeiture of the shares of Common Stock subject to such award (x) if the holder of such award does not remain continuously in the employment of the Company during the specified Restriction Period or (y) if specified Performance Measures (if any) are not satisfied or met during a specified Performance Period.</w:t>
      </w:r>
    </w:p>
    <w:p>
      <w:pPr>
        <w:spacing w:after="0" w:line="185" w:lineRule="exact"/>
        <w:rPr>
          <w:rFonts w:ascii="Times New Roman" w:cs="Times New Roman" w:eastAsia="Times New Roman" w:hAnsi="Times New Roman"/>
          <w:sz w:val="18"/>
          <w:szCs w:val="18"/>
          <w:color w:val="auto"/>
        </w:rPr>
      </w:pPr>
    </w:p>
    <w:p>
      <w:pPr>
        <w:jc w:val="both"/>
        <w:ind w:left="640" w:firstLine="7"/>
        <w:spacing w:after="0" w:line="250" w:lineRule="auto"/>
        <w:tabs>
          <w:tab w:leader="none" w:pos="88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Issuance</w:t>
      </w:r>
      <w:r>
        <w:rPr>
          <w:rFonts w:ascii="Times New Roman" w:cs="Times New Roman" w:eastAsia="Times New Roman" w:hAnsi="Times New Roman"/>
          <w:sz w:val="18"/>
          <w:szCs w:val="18"/>
          <w:color w:val="auto"/>
        </w:rPr>
        <w:t xml:space="preserve">. During the Restriction Period, the shares of Restricted Stock shall be held by a custodian in book entry form with restrictions on such shares duly noted or, alternatively, a certificate or certificates representing a Restricted Stock Award shall be registered in the holder’s name and may bear a legend, in addition to any legend which may be required pursuant to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indicating that the ownership of the shares of Common Stock represented by such certificate is subject to the restrictions, terms and conditions of this Plan and the Agreement relating to the Restricted Stock Award. All such certificates shall be deposited with the Company, together with stock powers or other instruments of assignment (including a power of attorney), each endorsed in blank with a guarantee of signature if deemed necessary or appropriate, which would permit transfer to the Company of all or a portion of the shares of Common Stock subject to the Restricted Stock Award in the event such award is forfeited in whole or in part. Upon termination of any applicable Restriction Period (and the satisfaction or attainment of applicable Performance Measures), subject to the Company’s right to require payment of any taxes in accordance with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the restrictions shall be removed from the requisite number of any shares of Common Stock that are held in book entry form, and all certificates evidencing ownership of the requisite number of shares of Common Stock shall be delivered to the holder of such award.</w:t>
      </w:r>
    </w:p>
    <w:p>
      <w:pPr>
        <w:spacing w:after="0" w:line="190" w:lineRule="exact"/>
        <w:rPr>
          <w:rFonts w:ascii="Times New Roman" w:cs="Times New Roman" w:eastAsia="Times New Roman" w:hAnsi="Times New Roman"/>
          <w:sz w:val="18"/>
          <w:szCs w:val="18"/>
          <w:color w:val="auto"/>
        </w:rPr>
      </w:pPr>
    </w:p>
    <w:p>
      <w:pPr>
        <w:jc w:val="both"/>
        <w:ind w:left="640" w:firstLine="7"/>
        <w:spacing w:after="0" w:line="253" w:lineRule="auto"/>
        <w:tabs>
          <w:tab w:leader="none" w:pos="89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with Respect to Restricted Stock Awards</w:t>
      </w:r>
      <w:r>
        <w:rPr>
          <w:rFonts w:ascii="Times New Roman" w:cs="Times New Roman" w:eastAsia="Times New Roman" w:hAnsi="Times New Roman"/>
          <w:sz w:val="18"/>
          <w:szCs w:val="18"/>
          <w:color w:val="auto"/>
        </w:rPr>
        <w:t xml:space="preserve">. Unless otherwise set forth in the Agreement relating to a Restricted Stock Award, and subject to the terms and conditions of a Restricted Stock Award, the holder of such award shall have all rights as a stockholder of the Company, including, but not limited to, voting rights, the right to receive dividends and the right to participate in any capital adjustment applicable to all holders of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distribution or dividend with respect to shares of Common Stock, including a regular cash dividend, shall be deposited with the Company and shall be subject to the same restrictions as the shares of Common Stock with respect to which such distribution or dividend was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264795</wp:posOffset>
            </wp:positionV>
            <wp:extent cx="71342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70" w:name="page71"/>
    <w:bookmarkEnd w:id="70"/>
    <w:p>
      <w:pPr>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3.3 </w:t>
      </w:r>
      <w:r>
        <w:rPr>
          <w:rFonts w:ascii="Times New Roman" w:cs="Times New Roman" w:eastAsia="Times New Roman" w:hAnsi="Times New Roman"/>
          <w:sz w:val="18"/>
          <w:szCs w:val="18"/>
          <w:u w:val="single" w:color="auto"/>
          <w:color w:val="auto"/>
        </w:rPr>
        <w:t>Terms of Restricted Stock Unit Awards</w:t>
      </w:r>
      <w:r>
        <w:rPr>
          <w:rFonts w:ascii="Times New Roman" w:cs="Times New Roman" w:eastAsia="Times New Roman" w:hAnsi="Times New Roman"/>
          <w:sz w:val="18"/>
          <w:szCs w:val="18"/>
          <w:color w:val="auto"/>
        </w:rPr>
        <w:t>. Restricted Stock Unit Awards shall be subject to the following terms and conditions and shall contain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terms and conditions, not inconsistent with the terms of this Plan, as the Committee shall deem advisable.</w:t>
      </w:r>
    </w:p>
    <w:p>
      <w:pPr>
        <w:spacing w:after="0" w:line="160" w:lineRule="exact"/>
        <w:rPr>
          <w:sz w:val="20"/>
          <w:szCs w:val="20"/>
          <w:color w:val="auto"/>
        </w:rPr>
      </w:pPr>
    </w:p>
    <w:p>
      <w:pPr>
        <w:jc w:val="both"/>
        <w:ind w:left="640" w:firstLine="7"/>
        <w:spacing w:after="0" w:line="262" w:lineRule="auto"/>
        <w:tabs>
          <w:tab w:leader="none" w:pos="88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 and Other Terms</w:t>
      </w:r>
      <w:r>
        <w:rPr>
          <w:rFonts w:ascii="Times New Roman" w:cs="Times New Roman" w:eastAsia="Times New Roman" w:hAnsi="Times New Roman"/>
          <w:sz w:val="18"/>
          <w:szCs w:val="18"/>
          <w:color w:val="auto"/>
        </w:rPr>
        <w:t>. The number of shares of Common Stock subject to a Restricted Stock Unit Award, including the number of shares that are earned upon the attainment of any specified Performance Measures, and the Restriction Period, Performance Period (if any) and Performance Measures (if any) applicable to a Restricted Stock Unit Award shall be determined by the Committee.</w:t>
      </w:r>
    </w:p>
    <w:p>
      <w:pPr>
        <w:spacing w:after="0" w:line="176" w:lineRule="exact"/>
        <w:rPr>
          <w:rFonts w:ascii="Times New Roman" w:cs="Times New Roman" w:eastAsia="Times New Roman" w:hAnsi="Times New Roman"/>
          <w:sz w:val="18"/>
          <w:szCs w:val="18"/>
          <w:color w:val="auto"/>
        </w:rPr>
      </w:pPr>
    </w:p>
    <w:p>
      <w:pPr>
        <w:jc w:val="both"/>
        <w:ind w:left="640" w:firstLine="7"/>
        <w:spacing w:after="0" w:line="253" w:lineRule="auto"/>
        <w:tabs>
          <w:tab w:leader="none" w:pos="89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and Forfeiture</w:t>
      </w:r>
      <w:r>
        <w:rPr>
          <w:rFonts w:ascii="Times New Roman" w:cs="Times New Roman" w:eastAsia="Times New Roman" w:hAnsi="Times New Roman"/>
          <w:sz w:val="18"/>
          <w:szCs w:val="18"/>
          <w:color w:val="auto"/>
        </w:rPr>
        <w:t>. The Agreement relating to a Restricted Stock Unit Award shall provide, in the manner determined by the Committee, in its discretion, and subject to the provisions of this Plan, for the vesting of such Restricted Stock Unit Award (i) if the holder of such award remains continuously in the employment of the Company during the specified Restriction Period and (ii) if specified Performance Measures (if any) are satisfied or met during a specified Performance Period, and for the forfeiture of the shares of Common Stock subject to such award (x) if the holder of such award does not remain continuously in the employment of the Company during the specified Restriction Period or (y) if specified Performance Measures (if any) are not satisfied or met during a specified Performance Period.</w:t>
      </w:r>
    </w:p>
    <w:p>
      <w:pPr>
        <w:spacing w:after="0" w:line="185" w:lineRule="exact"/>
        <w:rPr>
          <w:rFonts w:ascii="Times New Roman" w:cs="Times New Roman" w:eastAsia="Times New Roman" w:hAnsi="Times New Roman"/>
          <w:sz w:val="18"/>
          <w:szCs w:val="18"/>
          <w:color w:val="auto"/>
        </w:rPr>
      </w:pPr>
    </w:p>
    <w:p>
      <w:pPr>
        <w:jc w:val="both"/>
        <w:ind w:left="640" w:firstLine="7"/>
        <w:spacing w:after="0" w:line="252" w:lineRule="auto"/>
        <w:tabs>
          <w:tab w:leader="none" w:pos="89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Vested Restricted Stock Unit Awards</w:t>
      </w:r>
      <w:r>
        <w:rPr>
          <w:rFonts w:ascii="Times New Roman" w:cs="Times New Roman" w:eastAsia="Times New Roman" w:hAnsi="Times New Roman"/>
          <w:sz w:val="18"/>
          <w:szCs w:val="18"/>
          <w:color w:val="auto"/>
        </w:rPr>
        <w:t>. The Agreement relating to a Restricted Stock Unit Award shall specify (i) whether such award may be settled in shares of Common Stock or cash or a combination thereof and (ii) whether the holder thereof shall be entitled to receive, on a deferred basis, dividend equivalents, and, if determined by the Committee, interest on, or the deemed reinvestment of, any deferred dividend equivalents, with respect to the number of shares of Common Stock subject to such award. Any dividend equivalents with respect to Restricted Stock Units that are subject to vesting conditions shall be subject to the same restrictions as such Restricted Stock Units. Prior to the settlement of a Restricted Stock Unit Award, the holder of such award shall have no rights as a stockholder of the Company with respect to the shares of Common Stock subject to such award.</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3.4 </w:t>
      </w:r>
      <w:r>
        <w:rPr>
          <w:rFonts w:ascii="Times New Roman" w:cs="Times New Roman" w:eastAsia="Times New Roman" w:hAnsi="Times New Roman"/>
          <w:sz w:val="18"/>
          <w:szCs w:val="18"/>
          <w:u w:val="single" w:color="auto"/>
          <w:color w:val="auto"/>
        </w:rPr>
        <w:t>Other Stock Awards</w:t>
      </w:r>
      <w:r>
        <w:rPr>
          <w:rFonts w:ascii="Times New Roman" w:cs="Times New Roman" w:eastAsia="Times New Roman" w:hAnsi="Times New Roman"/>
          <w:sz w:val="18"/>
          <w:szCs w:val="18"/>
          <w:color w:val="auto"/>
        </w:rPr>
        <w:t>. Subject to the limitations set forth in the Plan, the Committee is authorized to grant other awards that may be denominated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payable in, valued in whole or in part by reference to, or otherwise based on, or related to, shares of Common Stock, including without limitation shares of Common Stock granted as a bonus and not subject to any vesting conditions, dividend equivalents, deferred stock units, stock purchase rights and shares of Common Stock issued in lieu of obligations of the Company to pay cash under any compensatory plan or arrangement, subject to such terms as shall be determined by the Committee. The Committee shall determine the terms and conditions of such awards, which may include the right to elective deferral thereof, subject to such terms and conditions as the Committee may specify in its discretion.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3.5 </w:t>
      </w:r>
      <w:r>
        <w:rPr>
          <w:rFonts w:ascii="Times New Roman" w:cs="Times New Roman" w:eastAsia="Times New Roman" w:hAnsi="Times New Roman"/>
          <w:sz w:val="18"/>
          <w:szCs w:val="18"/>
          <w:u w:val="single" w:color="auto"/>
          <w:color w:val="auto"/>
        </w:rPr>
        <w:t>Termination of Employment or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of the terms relating to the satisfaction of Performance Measures and the termination of the Restriction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or Performance Period relating to a Stock Award, or any forfeiture and cancellation of such award (i) upon a termination of employment with or service to the Company of the holder of such award, whether by reason of disability, retirement, death or any other reason, or (ii) during a paid or unpaid leave of absence, shall be determined by the Committee and set forth in the applicable award Agreement.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IV. PERFORMANCE AWARDS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u w:val="single" w:color="auto"/>
          <w:color w:val="auto"/>
        </w:rPr>
        <w:t>Performance Awards</w:t>
      </w:r>
      <w:r>
        <w:rPr>
          <w:rFonts w:ascii="Times New Roman" w:cs="Times New Roman" w:eastAsia="Times New Roman" w:hAnsi="Times New Roman"/>
          <w:sz w:val="18"/>
          <w:szCs w:val="18"/>
          <w:color w:val="auto"/>
        </w:rPr>
        <w:t>. The Committee may, in its discretion, grant Performance Awards to such eligible persons as may be selected by the Committee.</w:t>
      </w:r>
    </w:p>
    <w:p>
      <w:pPr>
        <w:spacing w:after="0" w:line="22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u w:val="single" w:color="auto"/>
          <w:color w:val="auto"/>
        </w:rPr>
        <w:t>Terms of Performance Awards</w:t>
      </w:r>
      <w:r>
        <w:rPr>
          <w:rFonts w:ascii="Times New Roman" w:cs="Times New Roman" w:eastAsia="Times New Roman" w:hAnsi="Times New Roman"/>
          <w:sz w:val="18"/>
          <w:szCs w:val="18"/>
          <w:color w:val="auto"/>
        </w:rPr>
        <w:t>. Performance Awards shall be subject to the following terms and conditions and shall contain such additional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not inconsistent with the terms of this Plan, as the Committee shall deem advisable.</w:t>
      </w:r>
    </w:p>
    <w:p>
      <w:pPr>
        <w:spacing w:after="0" w:line="160" w:lineRule="exact"/>
        <w:rPr>
          <w:sz w:val="20"/>
          <w:szCs w:val="20"/>
          <w:color w:val="auto"/>
        </w:rPr>
      </w:pPr>
    </w:p>
    <w:p>
      <w:pPr>
        <w:ind w:left="640" w:firstLine="7"/>
        <w:spacing w:after="0" w:line="277" w:lineRule="auto"/>
        <w:tabs>
          <w:tab w:leader="none" w:pos="88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Value of Performance Awards and Performance Measures</w:t>
      </w:r>
      <w:r>
        <w:rPr>
          <w:rFonts w:ascii="Times New Roman" w:cs="Times New Roman" w:eastAsia="Times New Roman" w:hAnsi="Times New Roman"/>
          <w:sz w:val="18"/>
          <w:szCs w:val="18"/>
          <w:color w:val="auto"/>
        </w:rPr>
        <w:t>. The method of determining the value of the Performance Award and the Performance Measures and Performance Period applicable to a Performance Award shall be determined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250825</wp:posOffset>
            </wp:positionV>
            <wp:extent cx="71342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71" w:name="page72"/>
    <w:bookmarkEnd w:id="71"/>
    <w:p>
      <w:pPr>
        <w:jc w:val="both"/>
        <w:ind w:left="640" w:firstLine="7"/>
        <w:spacing w:after="0" w:line="257" w:lineRule="auto"/>
        <w:tabs>
          <w:tab w:leader="none" w:pos="90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and Forfeiture</w:t>
      </w:r>
      <w:r>
        <w:rPr>
          <w:rFonts w:ascii="Times New Roman" w:cs="Times New Roman" w:eastAsia="Times New Roman" w:hAnsi="Times New Roman"/>
          <w:sz w:val="18"/>
          <w:szCs w:val="18"/>
          <w:color w:val="auto"/>
        </w:rPr>
        <w:t>. The Agreement relating to a Performance Award shall provide, in the manner determined by the Committee, in its discretion, and subject to the provisions of this Plan, for the vesting of such Performance Award if the specified Performance Measures are satisfied or met during the specified Performance Period and for the forfeiture of such award if the specified Performance Measures are not satisfied or met during the specified Performance Period.</w:t>
      </w:r>
    </w:p>
    <w:p>
      <w:pPr>
        <w:spacing w:after="0" w:line="180" w:lineRule="exact"/>
        <w:rPr>
          <w:rFonts w:ascii="Times New Roman" w:cs="Times New Roman" w:eastAsia="Times New Roman" w:hAnsi="Times New Roman"/>
          <w:sz w:val="18"/>
          <w:szCs w:val="18"/>
          <w:color w:val="auto"/>
        </w:rPr>
      </w:pPr>
    </w:p>
    <w:p>
      <w:pPr>
        <w:jc w:val="both"/>
        <w:ind w:left="640" w:firstLine="7"/>
        <w:spacing w:after="0" w:line="252" w:lineRule="auto"/>
        <w:tabs>
          <w:tab w:leader="none" w:pos="88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Vested Performance Awards</w:t>
      </w:r>
      <w:r>
        <w:rPr>
          <w:rFonts w:ascii="Times New Roman" w:cs="Times New Roman" w:eastAsia="Times New Roman" w:hAnsi="Times New Roman"/>
          <w:sz w:val="18"/>
          <w:szCs w:val="18"/>
          <w:color w:val="auto"/>
        </w:rPr>
        <w:t xml:space="preserve">. The Agreement relating to a Performance Award shall specify whether such award may be settled in shares of Common Stock (including shares of Restricted Stock) or cash or a combination thereof. If a Performance Award is settled in shares of Restricted Stock, such shares of Restricted Stock shall be issued to the holder in book entry form or a certificate or certificates representing such Restricted Stock shall be issued in accordance with </w:t>
      </w:r>
      <w:r>
        <w:rPr>
          <w:rFonts w:ascii="Times New Roman" w:cs="Times New Roman" w:eastAsia="Times New Roman" w:hAnsi="Times New Roman"/>
          <w:sz w:val="18"/>
          <w:szCs w:val="18"/>
          <w:u w:val="single" w:color="auto"/>
          <w:color w:val="auto"/>
        </w:rPr>
        <w:t>Section 3.2(c)</w:t>
      </w:r>
      <w:r>
        <w:rPr>
          <w:rFonts w:ascii="Times New Roman" w:cs="Times New Roman" w:eastAsia="Times New Roman" w:hAnsi="Times New Roman"/>
          <w:sz w:val="18"/>
          <w:szCs w:val="18"/>
          <w:color w:val="auto"/>
        </w:rPr>
        <w:t xml:space="preserve"> and the holder of such Restricted Stock shall have such rights as a stockholder of the Company as determined pursuant to </w:t>
      </w:r>
      <w:r>
        <w:rPr>
          <w:rFonts w:ascii="Times New Roman" w:cs="Times New Roman" w:eastAsia="Times New Roman" w:hAnsi="Times New Roman"/>
          <w:sz w:val="18"/>
          <w:szCs w:val="18"/>
          <w:u w:val="single" w:color="auto"/>
          <w:color w:val="auto"/>
        </w:rPr>
        <w:t>Section 3.2(d)</w:t>
      </w:r>
      <w:r>
        <w:rPr>
          <w:rFonts w:ascii="Times New Roman" w:cs="Times New Roman" w:eastAsia="Times New Roman" w:hAnsi="Times New Roman"/>
          <w:sz w:val="18"/>
          <w:szCs w:val="18"/>
          <w:color w:val="auto"/>
        </w:rPr>
        <w:t>. Any dividends or dividend equivalents with respect to a Performance Award shall be subject to the same restrictions as such Performance Award. Prior to the settlement of a Performance Award in shares of Common Stock, including Restricted Stock, the holder of such award shall have no rights as a stockholder of the Company.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4.3 </w:t>
      </w:r>
      <w:r>
        <w:rPr>
          <w:rFonts w:ascii="Times New Roman" w:cs="Times New Roman" w:eastAsia="Times New Roman" w:hAnsi="Times New Roman"/>
          <w:sz w:val="18"/>
          <w:szCs w:val="18"/>
          <w:u w:val="single" w:color="auto"/>
          <w:color w:val="auto"/>
        </w:rPr>
        <w:t>Termination of Employment or Service</w:t>
      </w:r>
      <w:r>
        <w:rPr>
          <w:rFonts w:ascii="Times New Roman" w:cs="Times New Roman" w:eastAsia="Times New Roman" w:hAnsi="Times New Roman"/>
          <w:sz w:val="18"/>
          <w:szCs w:val="18"/>
          <w:color w:val="auto"/>
        </w:rPr>
        <w:t>. All of the terms relating to the satisfaction of Performance Measures and the termination of the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relating to a Performance Award, or any forfeiture and cancellation of such award (i) upon a termination of employment with or service to the Company of the holder of such award, whether by reason of disability, retirement, death or any other reason, or (ii) during a paid or unpaid leave of absence, shall be determined by the Committee and set forth in the applicable award Agreement.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 GENERAL</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5.1 </w:t>
      </w:r>
      <w:r>
        <w:rPr>
          <w:rFonts w:ascii="Times New Roman" w:cs="Times New Roman" w:eastAsia="Times New Roman" w:hAnsi="Times New Roman"/>
          <w:sz w:val="18"/>
          <w:szCs w:val="18"/>
          <w:u w:val="single" w:color="auto"/>
          <w:color w:val="auto"/>
        </w:rPr>
        <w:t>Effective Date and Term of Plan</w:t>
      </w:r>
      <w:r>
        <w:rPr>
          <w:rFonts w:ascii="Times New Roman" w:cs="Times New Roman" w:eastAsia="Times New Roman" w:hAnsi="Times New Roman"/>
          <w:sz w:val="18"/>
          <w:szCs w:val="18"/>
          <w:color w:val="auto"/>
        </w:rPr>
        <w:t>. This Plan shall be submitted to the stockholders of the Company for approval at the Company’s 2018 annual meeting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and, if approved by the affirmative vote of a majority of the shares of Common Stock present in person or represented by proxy at such annual meeting of stockholders, shall become effective as of the date on which the Plan was approved by stockholders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This Plan shall terminate as of the first annual meeting of the Company’s stockholders to occur on or after the tenth anniversary of its Effective Date, unless terminated earlier by the Board. Termination of this Plan shall not affect the terms or conditions of any award granted prior to termination.</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Awards hereunder may be made at any time prior to the termination of this Plan, provided that no Incentive Stock Option may be granted later than ten years after the date on which the Plan was approved by the Board. In the event that this Plan is not approved by the stockholders of the Company, this Plan and any awards hereunder shall be void and of no force or effect.</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5.2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The Board may amend this Plan as it shall deem advisable;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amendment to the Plan shall be effective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approval of the Company’s stockholders if (i) stockholder approval is required by applicable law, rule or regulation, including any rule of the Nasdaq Capital Market or any other stock exchange on which the Common Stock is then traded, or (ii) such amendment seeks to modify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amendment may materially impair the rights of a holder of an outstanding award without the consent of such holder.</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5.3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Each award under this Plan shall be evidenced by an Agreement setting forth the terms and conditions applicable to such award. No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valid until an Agreement is executed by the Company and, to the extent required by the Company, executed or electronically accepted by the recipient of such award. Upon such execution or acceptance and delivery of the Agreement to the Company within the time period specified by the Company, such award shall be effective as of the effective date set forth in the Agreement.</w:t>
      </w:r>
    </w:p>
    <w:p>
      <w:pPr>
        <w:spacing w:after="0" w:line="1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5.4 </w:t>
      </w:r>
      <w:r>
        <w:rPr>
          <w:rFonts w:ascii="Times New Roman" w:cs="Times New Roman" w:eastAsia="Times New Roman" w:hAnsi="Times New Roman"/>
          <w:sz w:val="18"/>
          <w:szCs w:val="18"/>
          <w:u w:val="single" w:color="auto"/>
          <w:color w:val="auto"/>
        </w:rPr>
        <w:t>Non-Transferability</w:t>
      </w:r>
      <w:r>
        <w:rPr>
          <w:rFonts w:ascii="Times New Roman" w:cs="Times New Roman" w:eastAsia="Times New Roman" w:hAnsi="Times New Roman"/>
          <w:sz w:val="18"/>
          <w:szCs w:val="18"/>
          <w:color w:val="auto"/>
        </w:rPr>
        <w:t>. No award shall be transferable other than by will, the laws of descent and distribution or pursuant to beneficiary designation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procedures approved by the Company or, to the extent expressly permitted in the Agreement relating to such award, to the holder’s family members, a trust or entity established by the holder for estate planning purposes, a charitable organization designated by the holder or pursuant to a domestic relations order, in each case, without consideration. Except to the extent permitted by the foregoing sentence or the Agreement relating to an award, each award may be exercised or settled during the holder’s lifetime only by the holder or the holder’s legal representative or similar person. Except as permitted by the second preceding sentence, no award may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any award, such award and all rights thereunder shall immediately become null and void.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266065</wp:posOffset>
            </wp:positionV>
            <wp:extent cx="71342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72" w:name="page73"/>
    <w:bookmarkEnd w:id="72"/>
    <w:p>
      <w:pPr>
        <w:jc w:val="both"/>
        <w:spacing w:after="0" w:line="249" w:lineRule="auto"/>
        <w:rPr>
          <w:sz w:val="20"/>
          <w:szCs w:val="20"/>
          <w:color w:val="auto"/>
        </w:rPr>
      </w:pPr>
      <w:r>
        <w:rPr>
          <w:rFonts w:ascii="Times New Roman" w:cs="Times New Roman" w:eastAsia="Times New Roman" w:hAnsi="Times New Roman"/>
          <w:sz w:val="18"/>
          <w:szCs w:val="18"/>
          <w:b w:val="1"/>
          <w:bCs w:val="1"/>
          <w:color w:val="auto"/>
        </w:rPr>
        <w:t xml:space="preserve">5.5 </w:t>
      </w: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The Company shall have the right to require, prior to the issuance or delivery of any shares of Common Stock or the payment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pursuant to an award made hereunder, payment by the holder of such award of any federal, state, local or other taxes which may be required to be withheld or paid in connection with such award. An Agreement may provide that (i) the Company shall withhold whole shares of Common Stock which would otherwise be delivered to a holder, having an aggregate Fair Market Value determined as of the date the obligation to withhold or pay taxes arises in connection with an award (the “</w:t>
      </w:r>
      <w:r>
        <w:rPr>
          <w:rFonts w:ascii="Times New Roman" w:cs="Times New Roman" w:eastAsia="Times New Roman" w:hAnsi="Times New Roman"/>
          <w:sz w:val="18"/>
          <w:szCs w:val="18"/>
          <w:u w:val="single" w:color="auto"/>
          <w:color w:val="auto"/>
        </w:rPr>
        <w:t>Tax Date</w:t>
      </w:r>
      <w:r>
        <w:rPr>
          <w:rFonts w:ascii="Times New Roman" w:cs="Times New Roman" w:eastAsia="Times New Roman" w:hAnsi="Times New Roman"/>
          <w:sz w:val="18"/>
          <w:szCs w:val="18"/>
          <w:color w:val="auto"/>
        </w:rPr>
        <w:t>”), or withhold an amount of cash which would otherwise be payable to a holder, in the amount necessary to satisfy any such obligation or (ii) the holder may satisfy any such obligation by any of the following means (or by other means that the Committee deems appropriate): (A) a cash payment or delivery of cash equivalents to the Company; (B) delivery (either actual delivery or by attestation procedures established by the Company) to the Company of previously owned whole shares of Common Stock having an aggregate Fair Market Value, determined as of the Tax Date, equal to the amount necessary to satisfy any such obligation; (C) authorizing the Company to withhold whole shares of Common Stock which would otherwise be delivered having an aggregate Fair Market Value, determined as of the Tax Date, or withhold an amount of cash which would otherwise be payable to a holder, in either case equal to the amount necessary to satisfy any such obligation; (D) in the case of the exercise of an option, a cash payment by a broker-dealer acceptable to the Company to whom the participant has submitted an irrevocable notice of exercise or (E) any combination of (A), (B) and (C), in each case to the extent set forth in the Agreement relating to the award. Shares of Common Stock to be delivered or withheld may not have an aggregate Fair Market Value in excess of the amount determined by applying the minimum statutory withholding rate (or, if permitted by the Company, such other rate as will not cause adverse accounting consequences under the accounting rules then in effect, and is permitted under applicable IRS withholding rules). Any fraction of a share of Common Stock which would be required to satisfy such an obligation shall be disregarded and the remaining amount due shall be paid in cash by the holder.</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5.6 </w:t>
      </w:r>
      <w:r>
        <w:rPr>
          <w:rFonts w:ascii="Times New Roman" w:cs="Times New Roman" w:eastAsia="Times New Roman" w:hAnsi="Times New Roman"/>
          <w:sz w:val="18"/>
          <w:szCs w:val="18"/>
          <w:u w:val="single" w:color="auto"/>
          <w:color w:val="auto"/>
        </w:rPr>
        <w:t>Restrictions on Shares</w:t>
      </w:r>
      <w:r>
        <w:rPr>
          <w:rFonts w:ascii="Times New Roman" w:cs="Times New Roman" w:eastAsia="Times New Roman" w:hAnsi="Times New Roman"/>
          <w:sz w:val="18"/>
          <w:szCs w:val="18"/>
          <w:color w:val="auto"/>
        </w:rPr>
        <w:t>. Each award made hereunder shall be subject to the requirement that if at any time the Company determines that the listing,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or qualification of the shares of Common Stock subject to such award upon any securities exchange or under any law, or the consent or approval of any governmental body, or the taking of any other action is necessary or desirable as a condition of, or in connection with, the delivery of shares thereunder, such shares shall not be delivered unless such listing, registration, qualification, consent, approval or other action shall have been effected or obtained, free of any conditions not acceptable to the Company. The Company may require that certificates evidencing shares of Common Stock delivered pursuant to any award made hereunder bear a legend indicating that the sale, transfer or other disposition thereof by the holder is prohibited except in compliance with the Securities Act of 1933, as amended, and the rules and regulations thereunder.</w:t>
      </w:r>
    </w:p>
    <w:p>
      <w:pPr>
        <w:spacing w:after="0" w:line="1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5.7 </w:t>
      </w:r>
      <w:r>
        <w:rPr>
          <w:rFonts w:ascii="Times New Roman" w:cs="Times New Roman" w:eastAsia="Times New Roman" w:hAnsi="Times New Roman"/>
          <w:sz w:val="18"/>
          <w:szCs w:val="18"/>
          <w:u w:val="single" w:color="auto"/>
          <w:color w:val="auto"/>
        </w:rPr>
        <w:t>Adjustment</w:t>
      </w:r>
      <w:r>
        <w:rPr>
          <w:rFonts w:ascii="Times New Roman" w:cs="Times New Roman" w:eastAsia="Times New Roman" w:hAnsi="Times New Roman"/>
          <w:sz w:val="18"/>
          <w:szCs w:val="18"/>
          <w:color w:val="auto"/>
        </w:rPr>
        <w:t>. In the event of any equity restructuring (within the meaning of Financial Accounting Standards Board Accounting Standards Codification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Topic 718, Compensation—Stock Compensation or any successor or replacement accounting standard) that causes the per share value of shares of Common Stock to change, such as a stock dividend, stock split, spinoff, rights offering or recapitalization through an extraordinary cash dividend, the number and class of securities available under this Plan, the terms of each outstanding option and SAR (including the number and class of securities subject to each outstanding option or SAR and the purchase price or base price per share), the terms of each outstanding Stock Award (including the number and class of securities subject thereto), the terms of each outstanding Performance Award (including the number and class of securities subject thereto, if applicable) shall be appropriately adjusted by the Committee, such adjustments to be made in the case of outstanding options and SARs in accordance with Section 409A of the Code. In the event of any other change in corporate capitalization, including a merger, consolidation, reorganization, or partial or complete liquidation of the Company, such equitable adjustments described in the foregoing sentence may be made as determined to be appropriate and equitable by the Committee to prevent dilution or enlargement of rights of participants. In either case, the decision of the Committee regarding any such adjustment shall be final, binding and conclusive.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270510</wp:posOffset>
            </wp:positionV>
            <wp:extent cx="71342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 xml:space="preserve">5.8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w:t>
      </w:r>
    </w:p>
    <w:p>
      <w:pPr>
        <w:spacing w:after="0" w:line="224" w:lineRule="exact"/>
        <w:rPr>
          <w:sz w:val="20"/>
          <w:szCs w:val="20"/>
          <w:color w:val="auto"/>
        </w:rPr>
      </w:pPr>
    </w:p>
    <w:p>
      <w:pPr>
        <w:ind w:firstLine="7"/>
        <w:spacing w:after="0" w:line="277" w:lineRule="auto"/>
        <w:tabs>
          <w:tab w:leader="none" w:pos="24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 applicable award Agreements, in the event of a “Change in Control,” the Board, as constituted prior to the Change in Control, may, in its discretion:</w:t>
      </w:r>
    </w:p>
    <w:p>
      <w:pPr>
        <w:spacing w:after="0" w:line="162" w:lineRule="exact"/>
        <w:rPr>
          <w:rFonts w:ascii="Times New Roman" w:cs="Times New Roman" w:eastAsia="Times New Roman" w:hAnsi="Times New Roman"/>
          <w:sz w:val="18"/>
          <w:szCs w:val="18"/>
          <w:color w:val="auto"/>
        </w:rPr>
      </w:pPr>
    </w:p>
    <w:p>
      <w:pPr>
        <w:jc w:val="both"/>
        <w:ind w:left="640" w:hanging="313"/>
        <w:spacing w:after="0" w:line="254" w:lineRule="auto"/>
        <w:tabs>
          <w:tab w:leader="none" w:pos="6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(i) some or all outstanding options and SARs shall become exercisable in full or in part, either immediately or upon a subsequent termination of employment, (ii) the Restriction Period applicable to some or all outstanding Stock Awards shall lapse in full or in part, either immediately or upon a subsequent termination of employment, (iii) the Performance Period applicable to some or all outstanding awards shall lapse in full or in part, and (iv) the Performance Measures applicable to some or all outstanding awards shall be deemed to be satisfied at the target, maximum or any other level;</w:t>
      </w:r>
    </w:p>
    <w:p>
      <w:pPr>
        <w:spacing w:after="0" w:line="185" w:lineRule="exact"/>
        <w:rPr>
          <w:rFonts w:ascii="Times New Roman" w:cs="Times New Roman" w:eastAsia="Times New Roman" w:hAnsi="Times New Roman"/>
          <w:sz w:val="18"/>
          <w:szCs w:val="18"/>
          <w:color w:val="auto"/>
        </w:rPr>
      </w:pPr>
    </w:p>
    <w:p>
      <w:pPr>
        <w:jc w:val="both"/>
        <w:ind w:left="640" w:hanging="313"/>
        <w:spacing w:after="0" w:line="262" w:lineRule="auto"/>
        <w:tabs>
          <w:tab w:leader="none" w:pos="6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require that shares of capital stock of the corporation resulting from or succeeding to the business of the Company pursuant to such Change in Control, or a parent corporation thereof, be substituted for some or all of the shares of Common Stock subject to an outstanding award, with an appropriate and equitable adjustment to such award as determined by the Board in accordance with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and/or</w:t>
      </w:r>
    </w:p>
    <w:p>
      <w:pPr>
        <w:spacing w:after="0" w:line="176" w:lineRule="exact"/>
        <w:rPr>
          <w:rFonts w:ascii="Times New Roman" w:cs="Times New Roman" w:eastAsia="Times New Roman" w:hAnsi="Times New Roman"/>
          <w:sz w:val="18"/>
          <w:szCs w:val="18"/>
          <w:color w:val="auto"/>
        </w:rPr>
      </w:pPr>
    </w:p>
    <w:p>
      <w:pPr>
        <w:jc w:val="both"/>
        <w:ind w:left="640" w:hanging="313"/>
        <w:spacing w:after="0" w:line="249" w:lineRule="auto"/>
        <w:tabs>
          <w:tab w:leader="none" w:pos="6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require outstanding awards, in whole or in part, to be surrendered to the Company by the holder, and to be immediately cancelled by the Company, and to provide for the holder to receive (i) a cash payment in an amount equal to (A) in the case of an option or an SAR, the aggregate number of shares of Common Stock then subject to the portion of such option or SAR surrendered, whether or not vested or exercisable, multiplied by the excess, if any, of the Fair Market Value of a share of Common Stock as of the date of the Change in Control, over the purchase price or base price per share of Common Stock subject to such option or SAR, (B) in the case of a Stock Award or a Performance Award denominated in shares of Common Stock, the number of shares of Common Stock then subject to the portion of such award surrendered to the extent the Performance Measures applicable to such award have been satisfied or are deemed satisfied pursuant to </w:t>
      </w:r>
      <w:r>
        <w:rPr>
          <w:rFonts w:ascii="Times New Roman" w:cs="Times New Roman" w:eastAsia="Times New Roman" w:hAnsi="Times New Roman"/>
          <w:sz w:val="18"/>
          <w:szCs w:val="18"/>
          <w:u w:val="single" w:color="auto"/>
          <w:color w:val="auto"/>
        </w:rPr>
        <w:t>Section 5.8(a)(i)</w:t>
      </w:r>
      <w:r>
        <w:rPr>
          <w:rFonts w:ascii="Times New Roman" w:cs="Times New Roman" w:eastAsia="Times New Roman" w:hAnsi="Times New Roman"/>
          <w:sz w:val="18"/>
          <w:szCs w:val="18"/>
          <w:color w:val="auto"/>
        </w:rPr>
        <w:t xml:space="preserve">, whether or not vested, multiplied by the Fair Market Value of a share of Common Stock as of the date of the Change in Control, and (C) in the case of a Performance Award denominated in cash, the value of the Performance Award then subject to the portion of such award surrendered to the extent the Performance Measures applicable to such award have been satisfied or are deemed satisfied pursuant to </w:t>
      </w:r>
      <w:r>
        <w:rPr>
          <w:rFonts w:ascii="Times New Roman" w:cs="Times New Roman" w:eastAsia="Times New Roman" w:hAnsi="Times New Roman"/>
          <w:sz w:val="18"/>
          <w:szCs w:val="18"/>
          <w:u w:val="single" w:color="auto"/>
          <w:color w:val="auto"/>
        </w:rPr>
        <w:t>Section 5.8(a)(i)</w:t>
      </w:r>
      <w:r>
        <w:rPr>
          <w:rFonts w:ascii="Times New Roman" w:cs="Times New Roman" w:eastAsia="Times New Roman" w:hAnsi="Times New Roman"/>
          <w:sz w:val="18"/>
          <w:szCs w:val="18"/>
          <w:color w:val="auto"/>
        </w:rPr>
        <w:t>; (ii) shares of capital stock of the corporation resulting from or succeeding to the business of the Company pursuant to such Change in Control, or a parent corporation thereof, having a fair market value not less than the amount determined under clause (i) above; or (iii) a combination of the payment of cash pursuant to clause (i) above and the issuance of shares pursuant to clause (ii) above.</w:t>
      </w:r>
    </w:p>
    <w:p>
      <w:pPr>
        <w:spacing w:after="0" w:line="197"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Plan, a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shall mean:</w:t>
      </w:r>
    </w:p>
    <w:p>
      <w:pPr>
        <w:spacing w:after="0" w:line="219" w:lineRule="exact"/>
        <w:rPr>
          <w:rFonts w:ascii="Times New Roman" w:cs="Times New Roman" w:eastAsia="Times New Roman" w:hAnsi="Times New Roman"/>
          <w:sz w:val="18"/>
          <w:szCs w:val="18"/>
          <w:color w:val="auto"/>
        </w:rPr>
      </w:pPr>
    </w:p>
    <w:p>
      <w:pPr>
        <w:jc w:val="both"/>
        <w:ind w:left="640" w:hanging="313"/>
        <w:spacing w:after="0" w:line="253" w:lineRule="auto"/>
        <w:tabs>
          <w:tab w:leader="none" w:pos="6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an amalgamation, merger or consolidation of the Company with or into another entity or any other corporate reorganization of the Company, if more than fifty percent (50%) of the combined voting power of the continuing or surviving entity’s securities outstanding immediately after such amalgamation, merger, consolidation or other reorganization (or, if applicable, more than fifty percent (50%) of the combined voting power of the ultimate parent company that directly or indirectly has beneficial ownership of the securities of such continuing or surviving entity) is not owned directly or indirectly by persons who were holders of the Company’s then-outstanding voting securities immediately prior to such amalgamation, merger, consolidation or other reorganization;</w:t>
      </w:r>
    </w:p>
    <w:p>
      <w:pPr>
        <w:spacing w:after="0" w:line="185" w:lineRule="exact"/>
        <w:rPr>
          <w:rFonts w:ascii="Times New Roman" w:cs="Times New Roman" w:eastAsia="Times New Roman" w:hAnsi="Times New Roman"/>
          <w:sz w:val="18"/>
          <w:szCs w:val="18"/>
          <w:color w:val="auto"/>
        </w:rPr>
      </w:pPr>
    </w:p>
    <w:p>
      <w:pPr>
        <w:ind w:left="640" w:right="20" w:hanging="313"/>
        <w:spacing w:after="0" w:line="277" w:lineRule="auto"/>
        <w:tabs>
          <w:tab w:leader="none" w:pos="6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transfer or other disposition of all or substantially all of the Company’s assets to an entity that is not a parent, a Subsidiary or an Affiliate of the Company;</w:t>
      </w:r>
    </w:p>
    <w:p>
      <w:pPr>
        <w:spacing w:after="0" w:line="162" w:lineRule="exact"/>
        <w:rPr>
          <w:rFonts w:ascii="Times New Roman" w:cs="Times New Roman" w:eastAsia="Times New Roman" w:hAnsi="Times New Roman"/>
          <w:sz w:val="18"/>
          <w:szCs w:val="18"/>
          <w:color w:val="auto"/>
        </w:rPr>
      </w:pPr>
    </w:p>
    <w:p>
      <w:pPr>
        <w:jc w:val="both"/>
        <w:ind w:left="640" w:hanging="313"/>
        <w:spacing w:after="0" w:line="253" w:lineRule="auto"/>
        <w:tabs>
          <w:tab w:leader="none" w:pos="6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as a result of which any person becomes the “beneficial owner” (as defined in Rule 13d-3 under the Exchange Act), directly or indirectly, of securities of the Company representing at least fifty percent (50%) of the total voting power represented by the Company’s then-outstanding voting securities. For purposes of this subsection, the term “person” shall have the same meaning as when used in sections 13(d) and 14(d) of the Exchange Act but shall exclude: (i) any parent, Subsidiary or Affiliate of the Company; (ii) any employee benefit plan (or related trust) sponsored or maintained by the Company, a parent, or any Subsidiary or Affiliate; and (iii) any underwriter temporarily holding securities pursuant to an offering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281940</wp:posOffset>
            </wp:positionV>
            <wp:extent cx="71342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74" w:name="page75"/>
    <w:bookmarkEnd w:id="74"/>
    <w:p>
      <w:pPr>
        <w:jc w:val="both"/>
        <w:ind w:left="640" w:hanging="313"/>
        <w:spacing w:after="0" w:line="269" w:lineRule="auto"/>
        <w:tabs>
          <w:tab w:leader="none" w:pos="6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in the composition of the Board over a period of twenty four (24) consecutive months or less as a result of which individuals who, at the beginning of such period, constitute the Board (the “</w:t>
      </w:r>
      <w:r>
        <w:rPr>
          <w:rFonts w:ascii="Times New Roman" w:cs="Times New Roman" w:eastAsia="Times New Roman" w:hAnsi="Times New Roman"/>
          <w:sz w:val="17"/>
          <w:szCs w:val="17"/>
          <w:u w:val="single" w:color="auto"/>
          <w:color w:val="auto"/>
        </w:rPr>
        <w:t>Incumbent Board</w:t>
      </w:r>
      <w:r>
        <w:rPr>
          <w:rFonts w:ascii="Times New Roman" w:cs="Times New Roman" w:eastAsia="Times New Roman" w:hAnsi="Times New Roman"/>
          <w:sz w:val="17"/>
          <w:szCs w:val="17"/>
          <w:color w:val="auto"/>
        </w:rPr>
        <w:t xml:space="preserve">”) cease for any reason to constitute at least a majority of the Board;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any individual subsequently becoming a director whose election, or nomination for election by the Company’s stockholders, was approved by a vote of at least a majority of the directors then comprising the Board (either by a specific vote or by approval of the proxy statement of the Company in which such person is named as a nominee for director, without written objection to such nomination) shall be considered as though such individual were a member of the Incumbent Board, but excluding, for this purpose, any such individual whose initial assumption of office occurs as a result of either an actual or threatened solicitation of proxies or consents by or on behalf of a person other than the Board; or</w:t>
      </w:r>
    </w:p>
    <w:p>
      <w:pPr>
        <w:spacing w:after="0" w:line="174" w:lineRule="exact"/>
        <w:rPr>
          <w:rFonts w:ascii="Times New Roman" w:cs="Times New Roman" w:eastAsia="Times New Roman" w:hAnsi="Times New Roman"/>
          <w:sz w:val="17"/>
          <w:szCs w:val="17"/>
          <w:color w:val="auto"/>
        </w:rPr>
      </w:pPr>
    </w:p>
    <w:p>
      <w:pPr>
        <w:ind w:left="640" w:hanging="313"/>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Company approve a complete liquidation or dissolution of the Company;</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 respect to any nonqualified deferred compensation that becomes payable on account of the Change in Control, the transaction or event described in clause (1), (2), (3) or (4) also constitutes a “change in control event,” as defined in Treasury Regulation §1.409A-3(i)(5) if required in order for the payment not to violate Section 409A of the Code.</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5.9 </w:t>
      </w:r>
      <w:r>
        <w:rPr>
          <w:rFonts w:ascii="Times New Roman" w:cs="Times New Roman" w:eastAsia="Times New Roman" w:hAnsi="Times New Roman"/>
          <w:sz w:val="18"/>
          <w:szCs w:val="18"/>
          <w:u w:val="single" w:color="auto"/>
          <w:color w:val="auto"/>
        </w:rPr>
        <w:t>Deferrals</w:t>
      </w:r>
      <w:r>
        <w:rPr>
          <w:rFonts w:ascii="Times New Roman" w:cs="Times New Roman" w:eastAsia="Times New Roman" w:hAnsi="Times New Roman"/>
          <w:sz w:val="18"/>
          <w:szCs w:val="18"/>
          <w:color w:val="auto"/>
        </w:rPr>
        <w:t>. The Committee may determine that the delivery of shares of Common Stock or the payment of cash, or a combination thereof, upon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settlement of all or a portion of any award made hereunder shall be deferred, or the Committee may, in its sole discretion, approve deferral elections made by holders of awards. Deferrals shall be for such periods and upon such terms as the Committee may determine in its sole discretion, subject to the requirements of Section 409A of the Code.</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5.10 </w:t>
      </w:r>
      <w:r>
        <w:rPr>
          <w:rFonts w:ascii="Times New Roman" w:cs="Times New Roman" w:eastAsia="Times New Roman" w:hAnsi="Times New Roman"/>
          <w:sz w:val="18"/>
          <w:szCs w:val="18"/>
          <w:u w:val="single" w:color="auto"/>
          <w:color w:val="auto"/>
        </w:rPr>
        <w:t>No Right of Participation, Employment or Service</w:t>
      </w:r>
      <w:r>
        <w:rPr>
          <w:rFonts w:ascii="Times New Roman" w:cs="Times New Roman" w:eastAsia="Times New Roman" w:hAnsi="Times New Roman"/>
          <w:sz w:val="18"/>
          <w:szCs w:val="18"/>
          <w:color w:val="auto"/>
        </w:rPr>
        <w:t>. Unless otherwise set forth in an employment agreement, no person shall have any right to participate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this Plan. Neither this Plan nor any award made hereunder shall confer upon any person any right to continued employment by or service with the Company, any Subsidiary or any Affiliate or affect in any manner the right of the Company, any Subsidiary or any Affiliate to terminate the employment or service of any person at any time without liability hereunder.</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5.11 </w:t>
      </w:r>
      <w:r>
        <w:rPr>
          <w:rFonts w:ascii="Times New Roman" w:cs="Times New Roman" w:eastAsia="Times New Roman" w:hAnsi="Times New Roman"/>
          <w:sz w:val="18"/>
          <w:szCs w:val="18"/>
          <w:u w:val="single" w:color="auto"/>
          <w:color w:val="auto"/>
        </w:rPr>
        <w:t>Non-Uniform Determinations</w:t>
      </w:r>
      <w:r>
        <w:rPr>
          <w:rFonts w:ascii="Times New Roman" w:cs="Times New Roman" w:eastAsia="Times New Roman" w:hAnsi="Times New Roman"/>
          <w:sz w:val="18"/>
          <w:szCs w:val="18"/>
          <w:color w:val="auto"/>
        </w:rPr>
        <w:t>. The Committee’s determinations under the Plan (including without limitation determinations of the persons to receive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awards, the form, amount and time of such awards, the terms and provisions of such awards and the Agreements evidencing awards) need not be uniform and may be made by it selectively among persons who receive, or are eligible to receive, awards under the Plan, whether or not such persons are similarly situated.</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5.12 </w:t>
      </w: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No person shall have any right as a stockholder of the Company with respect to any shares of Common Stock or other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of the Company which is subject to an award hereunder unless and until such person becomes a stockholder of record with respect to such shares of Common Stock or equity security.</w:t>
      </w:r>
    </w:p>
    <w:p>
      <w:pPr>
        <w:spacing w:after="0" w:line="17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5.13 </w:t>
      </w:r>
      <w:r>
        <w:rPr>
          <w:rFonts w:ascii="Times New Roman" w:cs="Times New Roman" w:eastAsia="Times New Roman" w:hAnsi="Times New Roman"/>
          <w:sz w:val="18"/>
          <w:szCs w:val="18"/>
          <w:u w:val="single" w:color="auto"/>
          <w:color w:val="auto"/>
        </w:rPr>
        <w:t>Designation of Beneficiary</w:t>
      </w:r>
      <w:r>
        <w:rPr>
          <w:rFonts w:ascii="Times New Roman" w:cs="Times New Roman" w:eastAsia="Times New Roman" w:hAnsi="Times New Roman"/>
          <w:sz w:val="18"/>
          <w:szCs w:val="18"/>
          <w:color w:val="auto"/>
        </w:rPr>
        <w:t>. To the extent permitted by the Company, a holder of an award may file with the Company a written designation of one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more persons as such holder’s beneficiary or beneficiaries (both primary and contingent) in the event of the holder’s death or incapacity. To the extent an outstanding option or SAR granted hereunder is exercisable, such beneficiary or beneficiaries shall be entitled to exercise such option or SAR pursuant to procedures prescribed by the Company. Each beneficiary designation shall become effective only when filed in writing with the Company during the holder’s lifetime on a form prescribed by the Company. The spouse of a married holder domiciled in a community property jurisdiction shall join in any designation of a beneficiary other than such spouse. The filing with the Company of a new beneficiary designation shall cancel all previously filed beneficiary designations. If a holder fails to designate a beneficiary, or if all designated beneficiaries of a holder predecease the holder, then each outstanding award held by such holder, to the extent vested or exercisable, shall be payable to or may be exercised by such holder’s executor, administrator, legal representative or similar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267970</wp:posOffset>
            </wp:positionV>
            <wp:extent cx="71342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708" w:right="339" w:bottom="1440" w:gutter="0" w:footer="0" w:header="0"/>
        </w:sectPr>
      </w:pPr>
    </w:p>
    <w:bookmarkStart w:id="75" w:name="page76"/>
    <w:bookmarkEnd w:id="75"/>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5.14 </w:t>
      </w:r>
      <w:r>
        <w:rPr>
          <w:rFonts w:ascii="Times New Roman" w:cs="Times New Roman" w:eastAsia="Times New Roman" w:hAnsi="Times New Roman"/>
          <w:sz w:val="18"/>
          <w:szCs w:val="18"/>
          <w:u w:val="single" w:color="auto"/>
          <w:color w:val="auto"/>
        </w:rPr>
        <w:t>Awards Subject to Clawback</w:t>
      </w:r>
      <w:r>
        <w:rPr>
          <w:rFonts w:ascii="Times New Roman" w:cs="Times New Roman" w:eastAsia="Times New Roman" w:hAnsi="Times New Roman"/>
          <w:sz w:val="18"/>
          <w:szCs w:val="18"/>
          <w:color w:val="auto"/>
        </w:rPr>
        <w:t>. The awards granted under this Plan and any cash payment or shares of Common Stock delivered pursuant to such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are subject to forfeiture, recovery by the Company or other action pursuant to the applicable award Agreement or any clawback or recoupment policy which the Company may adopt from time to time, including without limitation any such policy which the Company may be required to adopt under the Dodd-Frank Wall Street Reform and Consumer Protection Act and implementing rules and regulations thereunder, or as otherwise required by law.</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5.15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Plan, each award hereunder and the related Agreement, and all determinations made and actions taken pursuant thereto,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not otherwise governed by the Code or the laws of the United States, shall be governed by the laws of the State of Delaware and construed in accordance therewith without giving effect to principles of conflicts of laws.</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5.16 </w:t>
      </w:r>
      <w:r>
        <w:rPr>
          <w:rFonts w:ascii="Times New Roman" w:cs="Times New Roman" w:eastAsia="Times New Roman" w:hAnsi="Times New Roman"/>
          <w:sz w:val="18"/>
          <w:szCs w:val="18"/>
          <w:u w:val="single" w:color="auto"/>
          <w:color w:val="auto"/>
        </w:rPr>
        <w:t>Foreign Employees</w:t>
      </w:r>
      <w:r>
        <w:rPr>
          <w:rFonts w:ascii="Times New Roman" w:cs="Times New Roman" w:eastAsia="Times New Roman" w:hAnsi="Times New Roman"/>
          <w:sz w:val="18"/>
          <w:szCs w:val="18"/>
          <w:color w:val="auto"/>
        </w:rPr>
        <w:t>. Without amending this Plan, the Committee may grant awards to eligible persons who are foreign nationals and/or reside outside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United States on such terms and conditions different from those specified in this Plan as may in the judgment of the Committee be necessary or desirable to foster and promote achievement of the purposes of this Plan and, in furtherance of such purposes the Committee may make such modifications, amendments, procedures, subplans and the like as may be necessary or advisable to comply with provisions of laws in other countries or jurisdictions in which the Company or its Subsidiaries or Affiliates operates or has employees.</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5.17 </w:t>
      </w:r>
      <w:r>
        <w:rPr>
          <w:rFonts w:ascii="Times New Roman" w:cs="Times New Roman" w:eastAsia="Times New Roman" w:hAnsi="Times New Roman"/>
          <w:sz w:val="18"/>
          <w:szCs w:val="18"/>
          <w:u w:val="single" w:color="auto"/>
          <w:color w:val="auto"/>
        </w:rPr>
        <w:t>Severability and Reformation</w:t>
      </w:r>
      <w:r>
        <w:rPr>
          <w:rFonts w:ascii="Times New Roman" w:cs="Times New Roman" w:eastAsia="Times New Roman" w:hAnsi="Times New Roman"/>
          <w:sz w:val="18"/>
          <w:szCs w:val="18"/>
          <w:color w:val="auto"/>
        </w:rPr>
        <w:t>. If any provision of the Plan or any award is, becomes or is deemed to be invalid, illegal or unenforceable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or as to any person or award, or would disqualify the Plan or any award under any law deemed applicable by the Committee, such provision shall be construed or deemed amended to conform to the applicable law or, if it cannot be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5.18 </w:t>
      </w:r>
      <w:r>
        <w:rPr>
          <w:rFonts w:ascii="Times New Roman" w:cs="Times New Roman" w:eastAsia="Times New Roman" w:hAnsi="Times New Roman"/>
          <w:sz w:val="18"/>
          <w:szCs w:val="18"/>
          <w:u w:val="single" w:color="auto"/>
          <w:color w:val="auto"/>
        </w:rPr>
        <w:t>Unfunded Status of Awards; No Trust of Fund Created</w:t>
      </w:r>
      <w:r>
        <w:rPr>
          <w:rFonts w:ascii="Times New Roman" w:cs="Times New Roman" w:eastAsia="Times New Roman" w:hAnsi="Times New Roman"/>
          <w:sz w:val="18"/>
          <w:szCs w:val="18"/>
          <w:color w:val="auto"/>
        </w:rPr>
        <w:t>. The Plan is intended to constitute an “unfunded” plan. Neither the Plan nor any award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create or be construed to create a trust or separate fund of any kind or a fiduciary relationship between the Company or any Subsidiary or Affiliate and a participant or any other person. To the extent that any person acquires a right to receive payments from the Company or any Subsidiary or Affiliate pursuant to an award, such right shall be no greater than the right of any general unsecured creditors of the Company or such Subsidiary or Affiliate.</w:t>
      </w:r>
    </w:p>
    <w:p>
      <w:pPr>
        <w:spacing w:after="0" w:line="17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5.19 </w:t>
      </w:r>
      <w:r>
        <w:rPr>
          <w:rFonts w:ascii="Times New Roman" w:cs="Times New Roman" w:eastAsia="Times New Roman" w:hAnsi="Times New Roman"/>
          <w:sz w:val="18"/>
          <w:szCs w:val="18"/>
          <w:u w:val="single" w:color="auto"/>
          <w:color w:val="auto"/>
        </w:rPr>
        <w:t>No Limit on Other Compensation Arrangements</w:t>
      </w:r>
      <w:r>
        <w:rPr>
          <w:rFonts w:ascii="Times New Roman" w:cs="Times New Roman" w:eastAsia="Times New Roman" w:hAnsi="Times New Roman"/>
          <w:sz w:val="18"/>
          <w:szCs w:val="18"/>
          <w:color w:val="auto"/>
        </w:rPr>
        <w:t>. Nothing contained in the Plan shall prevent the Company or any parent, Subsidiary or Affiliate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adopting or continuing in effect other compensation arrangements (whether such arrangements be generally applicable or applicable only in specific cases).</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5.20 </w:t>
      </w:r>
      <w:r>
        <w:rPr>
          <w:rFonts w:ascii="Times New Roman" w:cs="Times New Roman" w:eastAsia="Times New Roman" w:hAnsi="Times New Roman"/>
          <w:sz w:val="18"/>
          <w:szCs w:val="18"/>
          <w:u w:val="single" w:color="auto"/>
          <w:color w:val="auto"/>
        </w:rPr>
        <w:t>No Restriction of Corporate Action</w:t>
      </w:r>
      <w:r>
        <w:rPr>
          <w:rFonts w:ascii="Times New Roman" w:cs="Times New Roman" w:eastAsia="Times New Roman" w:hAnsi="Times New Roman"/>
          <w:sz w:val="18"/>
          <w:szCs w:val="18"/>
          <w:color w:val="auto"/>
        </w:rPr>
        <w:t>. Nothing contained in the Plan shall be construed to limit or impair the power of the Company or any parent,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Subsidiary or Affiliate to make adjustments, reclassifications, reorganizations, or changes in its capital or business structure, or to amalgamate, merge or consolidate, liquidate, sell or transfer all or any part of its business or assets or to take other actions which it deems to be necessary or appropriate. No employee, beneficiary or other person shall have any claim against the Company or any parent, Subsidiary or Affiliate as a result of such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262255</wp:posOffset>
            </wp:positionV>
            <wp:extent cx="71342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580390</wp:posOffset>
            </wp:positionV>
            <wp:extent cx="7196455" cy="95992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96455" cy="9599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95992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96455" cy="95992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1)"/>
      <w:numFmt w:val="decimal"/>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1)"/>
      <w:numFmt w:val="decimal"/>
      <w:start w:val="1"/>
    </w:lvl>
  </w:abstractNum>
  <w:abstractNum w:abstractNumId="13">
    <w:nsid w:val="737B8DDC"/>
    <w:multiLevelType w:val="hybridMultilevel"/>
    <w:lvl w:ilvl="0">
      <w:lvlJc w:val="left"/>
      <w:lvlText w:val="(%1)"/>
      <w:numFmt w:val="decimal"/>
      <w:start w:val="10"/>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1)"/>
      <w:numFmt w:val="lowerRoman"/>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1."/>
      <w:numFmt w:val="decimal"/>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1)"/>
      <w:numFmt w:val="decimal"/>
      <w:start w:val="1"/>
    </w:lvl>
  </w:abstractNum>
  <w:abstractNum w:abstractNumId="22">
    <w:nsid w:val="5072367"/>
    <w:multiLevelType w:val="hybridMultilevel"/>
    <w:lvl w:ilvl="0">
      <w:lvlJc w:val="left"/>
      <w:lvlText w:val="(%1)"/>
      <w:numFmt w:val="decimal"/>
      <w:start w:val="3"/>
    </w:lvl>
  </w:abstractNum>
  <w:abstractNum w:abstractNumId="23">
    <w:nsid w:val="3804823E"/>
    <w:multiLevelType w:val="hybridMultilevel"/>
    <w:lvl w:ilvl="0">
      <w:lvlJc w:val="left"/>
      <w:lvlText w:val="(%1)"/>
      <w:numFmt w:val="decimal"/>
      <w:start w:val="1"/>
    </w:lvl>
  </w:abstractNum>
  <w:abstractNum w:abstractNumId="24">
    <w:nsid w:val="77465F01"/>
    <w:multiLevelType w:val="hybridMultilevel"/>
    <w:lvl w:ilvl="0">
      <w:lvlJc w:val="left"/>
      <w:lvlText w:val="(%1)"/>
      <w:numFmt w:val="decimal"/>
      <w:start w:val="1"/>
    </w:lvl>
    <w:lvl w:ilvl="1">
      <w:lvlJc w:val="left"/>
      <w:lvlText w:val="%2."/>
      <w:numFmt w:val="lowerLetter"/>
      <w:start w:val="1"/>
    </w:lvl>
  </w:abstractNum>
  <w:abstractNum w:abstractNumId="25">
    <w:nsid w:val="7724C67E"/>
    <w:multiLevelType w:val="hybridMultilevel"/>
    <w:lvl w:ilvl="0">
      <w:lvlJc w:val="left"/>
      <w:lvlText w:val="%1)"/>
      <w:numFmt w:val="lowerLetter"/>
      <w:start w:val="1"/>
    </w:lvl>
  </w:abstractNum>
  <w:abstractNum w:abstractNumId="26">
    <w:nsid w:val="5C482A97"/>
    <w:multiLevelType w:val="hybridMultilevel"/>
    <w:lvl w:ilvl="0">
      <w:lvlJc w:val="left"/>
      <w:lvlText w:val="(%1)"/>
      <w:numFmt w:val="decimal"/>
      <w:start w:val="4"/>
    </w:lvl>
  </w:abstractNum>
  <w:abstractNum w:abstractNumId="27">
    <w:nsid w:val="2463B9EA"/>
    <w:multiLevelType w:val="hybridMultilevel"/>
    <w:lvl w:ilvl="0">
      <w:lvlJc w:val="left"/>
      <w:lvlText w:val="(%1)"/>
      <w:numFmt w:val="decimal"/>
      <w:start w:val="1"/>
    </w:lvl>
  </w:abstractNum>
  <w:abstractNum w:abstractNumId="28">
    <w:nsid w:val="5E884ADC"/>
    <w:multiLevelType w:val="hybridMultilevel"/>
    <w:lvl w:ilvl="0">
      <w:lvlJc w:val="left"/>
      <w:lvlText w:val="(%1)"/>
      <w:numFmt w:val="decimal"/>
      <w:start w:val="1"/>
    </w:lvl>
  </w:abstractNum>
  <w:abstractNum w:abstractNumId="29">
    <w:nsid w:val="51EAD36B"/>
    <w:multiLevelType w:val="hybridMultilevel"/>
    <w:lvl w:ilvl="0">
      <w:lvlJc w:val="left"/>
      <w:lvlText w:val="(%1)"/>
      <w:numFmt w:val="decimal"/>
      <w:start w:val="1"/>
    </w:lvl>
  </w:abstractNum>
  <w:abstractNum w:abstractNumId="30">
    <w:nsid w:val="2D517796"/>
    <w:multiLevelType w:val="hybridMultilevel"/>
    <w:lvl w:ilvl="0">
      <w:lvlJc w:val="left"/>
      <w:lvlText w:val="(%1)"/>
      <w:numFmt w:val="lowerRoman"/>
      <w:start w:val="4"/>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1"/>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1)"/>
      <w:numFmt w:val="lowerRoman"/>
      <w:start w:val="2"/>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1)"/>
      <w:numFmt w:val="lowerLetter"/>
      <w:start w:val="1"/>
    </w:lvl>
  </w:abstractNum>
  <w:abstractNum w:abstractNumId="40">
    <w:nsid w:val="57E4CCAF"/>
    <w:multiLevelType w:val="hybridMultilevel"/>
    <w:lvl w:ilvl="0">
      <w:lvlJc w:val="left"/>
      <w:lvlText w:val="(%1)"/>
      <w:numFmt w:val="lowerLetter"/>
      <w:start w:val="2"/>
    </w:lvl>
  </w:abstractNum>
  <w:abstractNum w:abstractNumId="41">
    <w:nsid w:val="7A6D8D3C"/>
    <w:multiLevelType w:val="hybridMultilevel"/>
    <w:lvl w:ilvl="0">
      <w:lvlJc w:val="left"/>
      <w:lvlText w:val="(%1)"/>
      <w:numFmt w:val="lowerLetter"/>
      <w:start w:val="1"/>
    </w:lvl>
  </w:abstractNum>
  <w:abstractNum w:abstractNumId="42">
    <w:nsid w:val="4B588F54"/>
    <w:multiLevelType w:val="hybridMultilevel"/>
    <w:lvl w:ilvl="0">
      <w:lvlJc w:val="left"/>
      <w:lvlText w:val="(%1)"/>
      <w:numFmt w:val="lowerLetter"/>
      <w:start w:val="2"/>
    </w:lvl>
  </w:abstractNum>
  <w:abstractNum w:abstractNumId="43">
    <w:nsid w:val="542289EC"/>
    <w:multiLevelType w:val="hybridMultilevel"/>
    <w:lvl w:ilvl="0">
      <w:lvlJc w:val="left"/>
      <w:lvlText w:val="(%1)"/>
      <w:numFmt w:val="lowerLetter"/>
      <w:start w:val="1"/>
    </w:lvl>
  </w:abstractNum>
  <w:abstractNum w:abstractNumId="44">
    <w:nsid w:val="6DE91B18"/>
    <w:multiLevelType w:val="hybridMultilevel"/>
    <w:lvl w:ilvl="0">
      <w:lvlJc w:val="left"/>
      <w:lvlText w:val="(%1)"/>
      <w:numFmt w:val="lowerLetter"/>
      <w:start w:val="1"/>
    </w:lvl>
  </w:abstractNum>
  <w:abstractNum w:abstractNumId="45">
    <w:nsid w:val="38437FDB"/>
    <w:multiLevelType w:val="hybridMultilevel"/>
    <w:lvl w:ilvl="0">
      <w:lvlJc w:val="left"/>
      <w:lvlText w:val="(%1)"/>
      <w:numFmt w:val="lowerLetter"/>
      <w:start w:val="1"/>
    </w:lvl>
  </w:abstractNum>
  <w:abstractNum w:abstractNumId="46">
    <w:nsid w:val="7644A45C"/>
    <w:multiLevelType w:val="hybridMultilevel"/>
    <w:lvl w:ilvl="0">
      <w:lvlJc w:val="left"/>
      <w:lvlText w:val="(%1)"/>
      <w:numFmt w:val="lowerLetter"/>
      <w:start w:val="2"/>
    </w:lvl>
  </w:abstractNum>
  <w:abstractNum w:abstractNumId="47">
    <w:nsid w:val="32FFF902"/>
    <w:multiLevelType w:val="hybridMultilevel"/>
    <w:lvl w:ilvl="0">
      <w:lvlJc w:val="left"/>
      <w:lvlText w:val="(%1)"/>
      <w:numFmt w:val="lowerLetter"/>
      <w:start w:val="1"/>
    </w:lvl>
    <w:lvl w:ilvl="1">
      <w:lvlJc w:val="left"/>
      <w:lvlText w:val="(%2)"/>
      <w:numFmt w:val="decimal"/>
      <w:start w:val="1"/>
    </w:lvl>
  </w:abstractNum>
  <w:abstractNum w:abstractNumId="48">
    <w:nsid w:val="684A481A"/>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2025-06-09T15:35:40Z</dcterms:created>
  <dcterms:modified xsi:type="dcterms:W3CDTF">2025-06-09T15:35:40Z</dcterms:modified>
</cp:coreProperties>
</file>