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1" w:lineRule="exact"/>
        <w:rPr>
          <w:sz w:val="24"/>
          <w:szCs w:val="24"/>
          <w:color w:val="auto"/>
        </w:rPr>
      </w:pPr>
    </w:p>
    <w:p>
      <w:pPr>
        <w:ind w:left="4000" w:right="1620" w:hanging="3283"/>
        <w:spacing w:after="0" w:line="501" w:lineRule="auto"/>
        <w:tabs>
          <w:tab w:leader="none" w:pos="112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2014</w:t>
      </w: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 the transition period from ____________ to ____________</w:t>
      </w:r>
    </w:p>
    <w:p>
      <w:pPr>
        <w:spacing w:after="0" w:line="225"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Commission file number: 001-15911</w:t>
      </w:r>
    </w:p>
    <w:p>
      <w:pPr>
        <w:spacing w:after="0" w:line="22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4840" w:type="dxa"/>
            <w:vAlign w:val="bottom"/>
          </w:tcPr>
          <w:p>
            <w:pPr>
              <w:ind w:left="1700"/>
              <w:spacing w:after="0"/>
              <w:rPr>
                <w:sz w:val="20"/>
                <w:szCs w:val="20"/>
                <w:color w:val="auto"/>
              </w:rPr>
            </w:pPr>
            <w:r>
              <w:rPr>
                <w:rFonts w:ascii="Arial" w:cs="Arial" w:eastAsia="Arial" w:hAnsi="Arial"/>
                <w:sz w:val="18"/>
                <w:szCs w:val="18"/>
                <w:b w:val="1"/>
                <w:bCs w:val="1"/>
                <w:color w:val="auto"/>
              </w:rPr>
              <w:t>Delaware</w:t>
            </w:r>
          </w:p>
        </w:tc>
        <w:tc>
          <w:tcPr>
            <w:tcW w:w="5040" w:type="dxa"/>
            <w:vAlign w:val="bottom"/>
            <w:gridSpan w:val="2"/>
          </w:tcPr>
          <w:p>
            <w:pPr>
              <w:jc w:val="right"/>
              <w:ind w:right="2250"/>
              <w:spacing w:after="0"/>
              <w:rPr>
                <w:sz w:val="20"/>
                <w:szCs w:val="20"/>
                <w:color w:val="auto"/>
              </w:rPr>
            </w:pPr>
            <w:r>
              <w:rPr>
                <w:rFonts w:ascii="Arial" w:cs="Arial" w:eastAsia="Arial" w:hAnsi="Arial"/>
                <w:sz w:val="18"/>
                <w:szCs w:val="18"/>
                <w:b w:val="1"/>
                <w:bCs w:val="1"/>
                <w:color w:val="auto"/>
              </w:rPr>
              <w:t>52-1256615</w:t>
            </w:r>
          </w:p>
        </w:tc>
      </w:tr>
      <w:tr>
        <w:trPr>
          <w:trHeight w:val="195"/>
        </w:trPr>
        <w:tc>
          <w:tcPr>
            <w:tcW w:w="4840" w:type="dxa"/>
            <w:vAlign w:val="bottom"/>
            <w:tcBorders>
              <w:top w:val="single" w:sz="8" w:color="auto"/>
            </w:tcBorders>
          </w:tcPr>
          <w:p>
            <w:pPr>
              <w:jc w:val="center"/>
              <w:ind w:right="490"/>
              <w:spacing w:after="0" w:line="195" w:lineRule="exact"/>
              <w:rPr>
                <w:sz w:val="20"/>
                <w:szCs w:val="20"/>
                <w:color w:val="auto"/>
              </w:rPr>
            </w:pPr>
            <w:r>
              <w:rPr>
                <w:rFonts w:ascii="Arial" w:cs="Arial" w:eastAsia="Arial" w:hAnsi="Arial"/>
                <w:sz w:val="18"/>
                <w:szCs w:val="18"/>
                <w:color w:val="auto"/>
                <w:w w:val="92"/>
              </w:rPr>
              <w:t>(State or other jurisdiction of incorporation or</w:t>
            </w:r>
          </w:p>
        </w:tc>
        <w:tc>
          <w:tcPr>
            <w:tcW w:w="180" w:type="dxa"/>
            <w:vAlign w:val="bottom"/>
          </w:tcPr>
          <w:p>
            <w:pPr>
              <w:spacing w:after="0"/>
              <w:rPr>
                <w:sz w:val="16"/>
                <w:szCs w:val="16"/>
                <w:color w:val="auto"/>
              </w:rPr>
            </w:pPr>
          </w:p>
        </w:tc>
        <w:tc>
          <w:tcPr>
            <w:tcW w:w="4860" w:type="dxa"/>
            <w:vAlign w:val="bottom"/>
            <w:tcBorders>
              <w:top w:val="single" w:sz="8" w:color="auto"/>
            </w:tcBorders>
          </w:tcPr>
          <w:p>
            <w:pPr>
              <w:jc w:val="right"/>
              <w:ind w:right="1150"/>
              <w:spacing w:after="0" w:line="195" w:lineRule="exact"/>
              <w:rPr>
                <w:sz w:val="20"/>
                <w:szCs w:val="20"/>
                <w:color w:val="auto"/>
              </w:rPr>
            </w:pPr>
            <w:r>
              <w:rPr>
                <w:rFonts w:ascii="Arial" w:cs="Arial" w:eastAsia="Arial" w:hAnsi="Arial"/>
                <w:sz w:val="18"/>
                <w:szCs w:val="18"/>
                <w:color w:val="auto"/>
              </w:rPr>
              <w:t>(I.R.S. Employer Identification Number)</w:t>
            </w:r>
          </w:p>
        </w:tc>
      </w:tr>
      <w:tr>
        <w:trPr>
          <w:trHeight w:val="230"/>
        </w:trPr>
        <w:tc>
          <w:tcPr>
            <w:tcW w:w="4840" w:type="dxa"/>
            <w:vAlign w:val="bottom"/>
          </w:tcPr>
          <w:p>
            <w:pPr>
              <w:jc w:val="center"/>
              <w:ind w:right="510"/>
              <w:spacing w:after="0"/>
              <w:rPr>
                <w:sz w:val="20"/>
                <w:szCs w:val="20"/>
                <w:color w:val="auto"/>
              </w:rPr>
            </w:pPr>
            <w:r>
              <w:rPr>
                <w:rFonts w:ascii="Arial" w:cs="Arial" w:eastAsia="Arial" w:hAnsi="Arial"/>
                <w:sz w:val="18"/>
                <w:szCs w:val="18"/>
                <w:color w:val="auto"/>
                <w:w w:val="92"/>
              </w:rPr>
              <w:t>organization)</w:t>
            </w:r>
          </w:p>
        </w:tc>
        <w:tc>
          <w:tcPr>
            <w:tcW w:w="18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997 Lenox Drive, Suite 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Lawrenceville </w:t>
      </w:r>
      <w:r>
        <w:rPr>
          <w:rFonts w:ascii="Arial" w:cs="Arial" w:eastAsia="Arial" w:hAnsi="Arial"/>
          <w:sz w:val="18"/>
          <w:szCs w:val="18"/>
          <w:color w:val="auto"/>
        </w:rPr>
        <w:t>,</w:t>
      </w:r>
      <w:r>
        <w:rPr>
          <w:rFonts w:ascii="Arial" w:cs="Arial" w:eastAsia="Arial" w:hAnsi="Arial"/>
          <w:sz w:val="18"/>
          <w:szCs w:val="18"/>
          <w:b w:val="1"/>
          <w:bCs w:val="1"/>
          <w:color w:val="auto"/>
        </w:rPr>
        <w:t xml:space="preserve"> NJ 08648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88" w:right="239" w:bottom="1440" w:gutter="0" w:footer="0" w:header="0"/>
        </w:sectPr>
      </w:pPr>
    </w:p>
    <w:p>
      <w:pPr>
        <w:spacing w:after="0" w:line="1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5900" w:space="720"/>
            <w:col w:w="1200" w:space="680"/>
            <w:col w:w="2920"/>
          </w:cols>
          <w:pgMar w:left="240" w:top="688"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540" w:space="120"/>
            <w:col w:w="4240" w:space="720"/>
            <w:col w:w="1960" w:space="220"/>
            <w:col w:w="2620"/>
          </w:cols>
          <w:pgMar w:left="240" w:top="688"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420"/>
          </w:cols>
          <w:pgMar w:left="240" w:top="688" w:right="239" w:bottom="1440" w:gutter="0" w:footer="0" w:header="0"/>
          <w:type w:val="continuous"/>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As of May 7, 2014, the Registrant had 17,217,066 shares of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748030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40" w:type="dxa"/>
            <w:vAlign w:val="bottom"/>
          </w:tcPr>
          <w:p>
            <w:pPr>
              <w:jc w:val="center"/>
              <w:ind w:left="390"/>
              <w:spacing w:after="0"/>
              <w:rPr>
                <w:sz w:val="20"/>
                <w:szCs w:val="20"/>
                <w:color w:val="auto"/>
              </w:rPr>
            </w:pPr>
            <w:r>
              <w:rPr>
                <w:rFonts w:ascii="Arial" w:cs="Arial" w:eastAsia="Arial" w:hAnsi="Arial"/>
                <w:sz w:val="18"/>
                <w:szCs w:val="18"/>
                <w:b w:val="1"/>
                <w:bCs w:val="1"/>
                <w:color w:val="auto"/>
              </w:rPr>
              <w:t>CELSION CORPORATION</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4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QUARTERLY REPORT ON</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54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FORM 10-Q</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540" w:type="dxa"/>
            <w:vAlign w:val="bottom"/>
          </w:tcPr>
          <w:p>
            <w:pPr>
              <w:jc w:val="center"/>
              <w:ind w:left="410"/>
              <w:spacing w:after="0"/>
              <w:rPr>
                <w:sz w:val="20"/>
                <w:szCs w:val="20"/>
                <w:color w:val="auto"/>
              </w:rPr>
            </w:pPr>
            <w:r>
              <w:rPr>
                <w:rFonts w:ascii="Arial" w:cs="Arial" w:eastAsia="Arial" w:hAnsi="Arial"/>
                <w:sz w:val="18"/>
                <w:szCs w:val="18"/>
                <w:b w:val="1"/>
                <w:bCs w:val="1"/>
                <w:color w:val="auto"/>
                <w:w w:val="98"/>
              </w:rPr>
              <w:t>TABLE OF CONTENTS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42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1.</w:t>
            </w: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Statements (Unaudited)</w:t>
            </w: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40" w:type="dxa"/>
            <w:vAlign w:val="bottom"/>
          </w:tcPr>
          <w:p>
            <w:pPr>
              <w:ind w:left="280"/>
              <w:spacing w:after="0"/>
              <w:rPr>
                <w:sz w:val="20"/>
                <w:szCs w:val="20"/>
                <w:color w:val="auto"/>
              </w:rPr>
            </w:pPr>
            <w:r>
              <w:rPr>
                <w:rFonts w:ascii="Arial" w:cs="Arial" w:eastAsia="Arial" w:hAnsi="Arial"/>
                <w:sz w:val="18"/>
                <w:szCs w:val="18"/>
                <w:color w:val="auto"/>
              </w:rPr>
              <w:t>Balance Sheets</w:t>
            </w:r>
          </w:p>
        </w:tc>
        <w:tc>
          <w:tcPr>
            <w:tcW w:w="1420" w:type="dxa"/>
            <w:vAlign w:val="bottom"/>
          </w:tcPr>
          <w:p>
            <w:pPr>
              <w:jc w:val="center"/>
              <w:ind w:left="75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Statements of Operations</w:t>
            </w:r>
          </w:p>
        </w:tc>
        <w:tc>
          <w:tcPr>
            <w:tcW w:w="14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40" w:type="dxa"/>
            <w:vAlign w:val="bottom"/>
          </w:tcPr>
          <w:p>
            <w:pPr>
              <w:ind w:left="280"/>
              <w:spacing w:after="0"/>
              <w:rPr>
                <w:sz w:val="20"/>
                <w:szCs w:val="20"/>
                <w:color w:val="auto"/>
              </w:rPr>
            </w:pPr>
            <w:r>
              <w:rPr>
                <w:rFonts w:ascii="Arial" w:cs="Arial" w:eastAsia="Arial" w:hAnsi="Arial"/>
                <w:sz w:val="18"/>
                <w:szCs w:val="18"/>
                <w:color w:val="auto"/>
              </w:rPr>
              <w:t>Statements of Comprehensive Loss</w:t>
            </w:r>
          </w:p>
        </w:tc>
        <w:tc>
          <w:tcPr>
            <w:tcW w:w="1420" w:type="dxa"/>
            <w:vAlign w:val="bottom"/>
          </w:tcPr>
          <w:p>
            <w:pPr>
              <w:jc w:val="center"/>
              <w:ind w:left="75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Statements of Cash Flows</w:t>
            </w:r>
          </w:p>
        </w:tc>
        <w:tc>
          <w:tcPr>
            <w:tcW w:w="14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540" w:type="dxa"/>
            <w:vAlign w:val="bottom"/>
          </w:tcPr>
          <w:p>
            <w:pPr>
              <w:ind w:left="280"/>
              <w:spacing w:after="0"/>
              <w:rPr>
                <w:sz w:val="20"/>
                <w:szCs w:val="20"/>
                <w:color w:val="auto"/>
              </w:rPr>
            </w:pPr>
            <w:r>
              <w:rPr>
                <w:rFonts w:ascii="Arial" w:cs="Arial" w:eastAsia="Arial" w:hAnsi="Arial"/>
                <w:sz w:val="18"/>
                <w:szCs w:val="18"/>
                <w:color w:val="auto"/>
              </w:rPr>
              <w:t>Notes to Financial Statements</w:t>
            </w:r>
          </w:p>
        </w:tc>
        <w:tc>
          <w:tcPr>
            <w:tcW w:w="1420" w:type="dxa"/>
            <w:vAlign w:val="bottom"/>
          </w:tcPr>
          <w:p>
            <w:pPr>
              <w:jc w:val="center"/>
              <w:ind w:left="75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Item 2.</w:t>
            </w:r>
          </w:p>
        </w:tc>
        <w:tc>
          <w:tcPr>
            <w:tcW w:w="754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20" w:type="dxa"/>
            <w:vAlign w:val="bottom"/>
          </w:tcPr>
          <w:p>
            <w:pPr>
              <w:jc w:val="center"/>
              <w:ind w:left="750"/>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Item 3.</w:t>
            </w:r>
          </w:p>
        </w:tc>
        <w:tc>
          <w:tcPr>
            <w:tcW w:w="754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1420" w:type="dxa"/>
            <w:vAlign w:val="bottom"/>
          </w:tcPr>
          <w:p>
            <w:pPr>
              <w:jc w:val="center"/>
              <w:ind w:left="750"/>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Item 4.</w:t>
            </w:r>
          </w:p>
        </w:tc>
        <w:tc>
          <w:tcPr>
            <w:tcW w:w="754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1420" w:type="dxa"/>
            <w:vAlign w:val="bottom"/>
          </w:tcPr>
          <w:p>
            <w:pPr>
              <w:jc w:val="center"/>
              <w:ind w:left="750"/>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Item 1.</w:t>
            </w:r>
          </w:p>
        </w:tc>
        <w:tc>
          <w:tcPr>
            <w:tcW w:w="754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420" w:type="dxa"/>
            <w:vAlign w:val="bottom"/>
          </w:tcPr>
          <w:p>
            <w:pPr>
              <w:jc w:val="center"/>
              <w:ind w:left="750"/>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1A.</w:t>
            </w: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 Factors</w:t>
            </w:r>
          </w:p>
        </w:tc>
        <w:tc>
          <w:tcPr>
            <w:tcW w:w="14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Item 2.</w:t>
            </w:r>
          </w:p>
        </w:tc>
        <w:tc>
          <w:tcPr>
            <w:tcW w:w="754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1420" w:type="dxa"/>
            <w:vAlign w:val="bottom"/>
          </w:tcPr>
          <w:p>
            <w:pPr>
              <w:jc w:val="center"/>
              <w:ind w:left="75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3.</w:t>
            </w: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Defaults Upon Senior Securities</w:t>
            </w:r>
          </w:p>
        </w:tc>
        <w:tc>
          <w:tcPr>
            <w:tcW w:w="14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Item 4.</w:t>
            </w:r>
          </w:p>
        </w:tc>
        <w:tc>
          <w:tcPr>
            <w:tcW w:w="7540" w:type="dxa"/>
            <w:vAlign w:val="bottom"/>
          </w:tcPr>
          <w:p>
            <w:pPr>
              <w:ind w:left="120"/>
              <w:spacing w:after="0"/>
              <w:rPr>
                <w:sz w:val="20"/>
                <w:szCs w:val="20"/>
                <w:color w:val="auto"/>
              </w:rPr>
            </w:pPr>
            <w:r>
              <w:rPr>
                <w:rFonts w:ascii="Arial" w:cs="Arial" w:eastAsia="Arial" w:hAnsi="Arial"/>
                <w:sz w:val="18"/>
                <w:szCs w:val="18"/>
                <w:color w:val="auto"/>
              </w:rPr>
              <w:t>Mine Safety Disclosures</w:t>
            </w:r>
          </w:p>
        </w:tc>
        <w:tc>
          <w:tcPr>
            <w:tcW w:w="1420" w:type="dxa"/>
            <w:vAlign w:val="bottom"/>
          </w:tcPr>
          <w:p>
            <w:pPr>
              <w:jc w:val="center"/>
              <w:ind w:left="75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5.</w:t>
            </w: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Information</w:t>
            </w:r>
          </w:p>
        </w:tc>
        <w:tc>
          <w:tcPr>
            <w:tcW w:w="14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Item 6.</w:t>
            </w:r>
          </w:p>
        </w:tc>
        <w:tc>
          <w:tcPr>
            <w:tcW w:w="7540" w:type="dxa"/>
            <w:vAlign w:val="bottom"/>
          </w:tcPr>
          <w:p>
            <w:pPr>
              <w:ind w:left="120"/>
              <w:spacing w:after="0"/>
              <w:rPr>
                <w:sz w:val="20"/>
                <w:szCs w:val="20"/>
                <w:color w:val="auto"/>
              </w:rPr>
            </w:pPr>
            <w:r>
              <w:rPr>
                <w:rFonts w:ascii="Arial" w:cs="Arial" w:eastAsia="Arial" w:hAnsi="Arial"/>
                <w:sz w:val="18"/>
                <w:szCs w:val="18"/>
                <w:color w:val="auto"/>
              </w:rPr>
              <w:t>Exhibits</w:t>
            </w:r>
          </w:p>
        </w:tc>
        <w:tc>
          <w:tcPr>
            <w:tcW w:w="1420" w:type="dxa"/>
            <w:vAlign w:val="bottom"/>
          </w:tcPr>
          <w:p>
            <w:pPr>
              <w:jc w:val="center"/>
              <w:ind w:left="750"/>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1420" w:type="dxa"/>
            <w:vAlign w:val="bottom"/>
          </w:tcPr>
          <w:p>
            <w:pPr>
              <w:jc w:val="center"/>
              <w:ind w:left="750"/>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880"/>
          </w:cols>
          <w:pgMar w:left="1020" w:top="58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 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Celsion brand and product names, including but not limited to Celsion® and ThermoDox®, contained in this document are trademarks, registered trademarks or service marks of Celsion Corporation in the United States (U.S.) and certain other countries. This document also contains references to trademarks and service marks of other companies that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0" w:type="dxa"/>
            <w:vAlign w:val="bottom"/>
          </w:tcPr>
          <w:p>
            <w:pPr>
              <w:jc w:val="center"/>
              <w:ind w:left="331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jc w:val="center"/>
              <w:ind w:left="3290"/>
              <w:spacing w:after="0"/>
              <w:rPr>
                <w:sz w:val="20"/>
                <w:szCs w:val="20"/>
                <w:color w:val="auto"/>
              </w:rPr>
            </w:pPr>
            <w:r>
              <w:rPr>
                <w:rFonts w:ascii="Arial" w:cs="Arial" w:eastAsia="Arial" w:hAnsi="Arial"/>
                <w:sz w:val="18"/>
                <w:szCs w:val="18"/>
                <w:b w:val="1"/>
                <w:bCs w:val="1"/>
                <w:color w:val="auto"/>
              </w:rPr>
              <w:t>CELSION CORPORATION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jc w:val="center"/>
              <w:ind w:left="3290"/>
              <w:spacing w:after="0"/>
              <w:rPr>
                <w:sz w:val="20"/>
                <w:szCs w:val="20"/>
                <w:color w:val="auto"/>
              </w:rPr>
            </w:pPr>
            <w:r>
              <w:rPr>
                <w:rFonts w:ascii="Arial" w:cs="Arial" w:eastAsia="Arial" w:hAnsi="Arial"/>
                <w:sz w:val="18"/>
                <w:szCs w:val="18"/>
                <w:b w:val="1"/>
                <w:bCs w:val="1"/>
                <w:color w:val="auto"/>
                <w:w w:val="98"/>
              </w:rPr>
              <w:t>BALANCE SHEETS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5"/>
              </w:rPr>
              <w:t>March 31, 2014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0"/>
              </w:rPr>
              <w:t>December 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4,606,267</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Investment securities – available for sale, at fair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47,255,487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37,156,381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receivable on investment securities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Advances, deposits and other 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620,979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675,186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52,822,524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43,762,119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(at cost, less accumulated depreciation of $1,349,690 and $1,264,190,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747,386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832,886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Deposits, deferred fees and other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1,120,931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1,054,942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Patent licensing fees,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other assets</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1,139,681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1,075,567</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54,709,591</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45,670,572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2,102,013</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1,452,436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2,205,838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2,707,653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Notes payable - current portion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439,218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revenue - current portion</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5,247,069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4,670,980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Common stock warrant liability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 – non-current portion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4,560,782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Deferred revenue - non-current portion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3,875,000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472,731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14,150,396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14,146,737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0"/>
              </w:rPr>
              <w:t>Preferred stock, $0.01 par value: 100,000 shares authorized; no shares issued or outstanding at March 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2014 and December 31, 2013, 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320"/>
              <w:spacing w:after="0" w:line="201" w:lineRule="exact"/>
              <w:rPr>
                <w:sz w:val="20"/>
                <w:szCs w:val="20"/>
                <w:color w:val="auto"/>
              </w:rPr>
            </w:pPr>
            <w:r>
              <w:rPr>
                <w:rFonts w:ascii="Arial" w:cs="Arial" w:eastAsia="Arial" w:hAnsi="Arial"/>
                <w:sz w:val="18"/>
                <w:szCs w:val="18"/>
                <w:color w:val="auto"/>
                <w:w w:val="90"/>
              </w:rPr>
              <w:t>Common stock, $0.01 par value; 75,000,000 shares authorized; 17,347,665 and 13,737,970 shares issued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5"/>
              </w:rPr>
              <w:t>at March 31, 2014 and December 31, 2013, and 17,217,066 and 13,604,975 shares outstanding at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March 31, 2014 and December 31, 2013, 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173,477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137,380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217,535,506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203,139,142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(27,897)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(44,166)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(174,744,150)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(169,287,157)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42,936,936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33,945,199</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8"/>
              </w:rPr>
              <w:t>Treasury stock, at cost (130,599 and 132,995 shares at March 31, 2014 and December 31, 2013,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(2,377,741)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(2,421,364)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40,559,195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31,523,835</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54,709,591</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45,670,572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jc w:val="center"/>
              <w:ind w:left="3310"/>
              <w:spacing w:after="0"/>
              <w:rPr>
                <w:sz w:val="20"/>
                <w:szCs w:val="20"/>
                <w:color w:val="auto"/>
              </w:rPr>
            </w:pPr>
            <w:r>
              <w:rPr>
                <w:rFonts w:ascii="Arial" w:cs="Arial" w:eastAsia="Arial" w:hAnsi="Arial"/>
                <w:sz w:val="18"/>
                <w:szCs w:val="18"/>
                <w:b w:val="1"/>
                <w:bCs w:val="1"/>
                <w:color w:val="auto"/>
                <w:w w:val="87"/>
              </w:rPr>
              <w:t>See accompanying notes to the financial statements</w:t>
            </w:r>
            <w:r>
              <w:rPr>
                <w:rFonts w:ascii="Arial" w:cs="Arial" w:eastAsia="Arial" w:hAnsi="Arial"/>
                <w:sz w:val="18"/>
                <w:szCs w:val="18"/>
                <w:color w:val="auto"/>
                <w:w w:val="87"/>
              </w:rPr>
              <w:t>.</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020" w:type="dxa"/>
            <w:vAlign w:val="bottom"/>
            <w:gridSpan w:val="2"/>
          </w:tcPr>
          <w:p>
            <w:pPr>
              <w:jc w:val="center"/>
              <w:ind w:left="331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0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Ended 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2,893,168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3,203,177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2,433,857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1,688,729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4,891,906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(5,202,025)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(4,766,906)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from change in valuation of common stock warrant liability</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Investment income, net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(230,713)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b w:val="1"/>
                <w:bCs w:val="1"/>
                <w:color w:val="auto"/>
              </w:rPr>
              <w:t>Total other (expense) income, net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(220,668)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4,115,932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(5,422,693)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(650,974)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Non-cash deemed dividend from beneficial conversion feature on convertible preferred stock</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(4,601,410)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(5,422,693)</w:t>
            </w:r>
          </w:p>
        </w:tc>
        <w:tc>
          <w:tcPr>
            <w:tcW w:w="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(5,252,384)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 per common share – basic and diluted</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c>
          <w:tcPr>
            <w:tcW w:w="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 and diluted</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16,371,097</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9,554,668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7860" w:type="dxa"/>
            <w:vAlign w:val="bottom"/>
            <w:tcBorders>
              <w:top w:val="single" w:sz="8" w:color="CCEEFF"/>
            </w:tcBorders>
          </w:tcPr>
          <w:p>
            <w:pPr>
              <w:ind w:left="3640"/>
              <w:spacing w:after="0"/>
              <w:rPr>
                <w:sz w:val="20"/>
                <w:szCs w:val="20"/>
                <w:color w:val="auto"/>
              </w:rPr>
            </w:pPr>
            <w:r>
              <w:rPr>
                <w:rFonts w:ascii="Arial" w:cs="Arial" w:eastAsia="Arial" w:hAnsi="Arial"/>
                <w:sz w:val="18"/>
                <w:szCs w:val="18"/>
                <w:b w:val="1"/>
                <w:bCs w:val="1"/>
                <w:color w:val="auto"/>
                <w:w w:val="92"/>
              </w:rPr>
              <w:t>See accompanying notes to the financial statements.</w:t>
            </w:r>
          </w:p>
        </w:tc>
        <w:tc>
          <w:tcPr>
            <w:tcW w:w="24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880" w:type="dxa"/>
            <w:vAlign w:val="bottom"/>
            <w:gridSpan w:val="2"/>
          </w:tcPr>
          <w:p>
            <w:pPr>
              <w:jc w:val="right"/>
              <w:ind w:right="203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8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2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Three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(5,422,693)</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Realized loss on investment securities recognized in investment income, net</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Unrealized loss on investment securities</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comprehensive gain (loss)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(31,949)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(5,406,424)</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(682,923)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4"/>
          </w:tcPr>
          <w:p>
            <w:pPr>
              <w:jc w:val="right"/>
              <w:ind w:right="105"/>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Ended March 31,</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(5,422,693)</w:t>
            </w:r>
          </w:p>
        </w:tc>
        <w:tc>
          <w:tcPr>
            <w:tcW w:w="64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(650,974)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Non-cash items included in net loss: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87,375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common stock warrant liability</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(4,280,297)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Treasury shares issued for services and 401(k) matching contribution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deferred rent liability</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Deferred finance charges</w:t>
            </w:r>
          </w:p>
        </w:tc>
        <w:tc>
          <w:tcPr>
            <w:tcW w:w="3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89,675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changes in: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20"/>
              <w:spacing w:after="0"/>
              <w:rPr>
                <w:sz w:val="20"/>
                <w:szCs w:val="20"/>
                <w:color w:val="auto"/>
              </w:rPr>
            </w:pPr>
            <w:r>
              <w:rPr>
                <w:rFonts w:ascii="Arial" w:cs="Arial" w:eastAsia="Arial" w:hAnsi="Arial"/>
                <w:sz w:val="18"/>
                <w:szCs w:val="18"/>
                <w:color w:val="auto"/>
              </w:rPr>
              <w:t>Deposits, advances, other current assets and other assets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(229,200)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(225,660)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(501,815)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received for non-refundable research and development fee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ind w:left="4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(4,843,740)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1,790,205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investment securities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(17,862,837)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(20,245,204)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Proceeds from sale and maturity of investment securities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3,048,000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(10,082,837)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(17,197,204)</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Proceeds from sale of common stock equity, net of issuance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13,825,231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6,711,173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preferred stock, net of issuance costs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13,648,663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Proceeds from exercise of common stock warrants</w:t>
            </w: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options to purchase common stock</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Principal payments on notes payable</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(10,891)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13,814,340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20,782,190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(1,112,237)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5,718,504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14,991,488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4,606,267</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20,366,679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141,038</w:t>
            </w:r>
          </w:p>
        </w:tc>
        <w:tc>
          <w:tcPr>
            <w:tcW w:w="160" w:type="dxa"/>
            <w:vAlign w:val="bottom"/>
          </w:tcPr>
          <w:p>
            <w:pPr>
              <w:spacing w:after="0"/>
              <w:rPr>
                <w:sz w:val="18"/>
                <w:szCs w:val="18"/>
                <w:color w:val="auto"/>
              </w:rPr>
            </w:pPr>
          </w:p>
        </w:tc>
        <w:tc>
          <w:tcPr>
            <w:tcW w:w="64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180,928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ind w:left="460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2014 AND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Celsion Corporation, referred to herein as “Celsion”, “we”, or “the Company,” a Delaware corporation based in Lawrenceville, New Jersey, is an oncology drug development company focused on improving treatment for those suffering with difficult-to-treat forms of cancer. We are working to develop and commercialize more efficient, effective, targeted chemotherapeutic oncology drugs based on our proprietary heat-activated liposomal technology. Our lead product ThermoDox®, is being tested in human clinical trials for the treatment of primary liver cancer and recurrent chest wall breast cancer.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financial statements of Celsion have been prepared in accordance with generally accepted accounting principles in the United States (GAAP) for interim financial information and with the instructions to Form 10-Q and Article 10 of Regulation S-X. Certain information and footnote disclosures normally included in financial statements prepared in accordance with GAAP have been condensed or omitted pursuant to such rules and regulations.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financial statements. Operating results for the three month period ended March 31, 2014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2013 filed on March 13, 2014 with the Securities and Exchange Commission.</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is calculated based upon the net income (loss) available to common shareholders divided by the weighted average number of common shares outstanding during the period. Diluted earnings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October 28, 2013, the Company effected a 4.5-to-1 reverse stock split of its common stock which was made effective for trading purposes as of the commencement of trading on October 29, 2013. Immediately prior to the reverse stock split, the Company had 61,226,873 shares of common stock outstanding were combined and converted into 13,604,975 shares of the Company’s common stock as a result of the reverse stock split. All share, and per share amounts related to common stock, preferred stock, stock options, warrants and restricted stock included in these financial statements have been restated to reflect the reverse stock split. In addition, in accordance with </w:t>
      </w:r>
      <w:r>
        <w:rPr>
          <w:rFonts w:ascii="Arial" w:cs="Arial" w:eastAsia="Arial" w:hAnsi="Arial"/>
          <w:sz w:val="17"/>
          <w:szCs w:val="17"/>
          <w:i w:val="1"/>
          <w:iCs w:val="1"/>
          <w:color w:val="auto"/>
        </w:rPr>
        <w:t>Accounting Standards Update (ASU) No. 2010-01, Equity (Topic 505):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Distributions to Shareholders with Components of Stock and Cash</w:t>
      </w:r>
      <w:r>
        <w:rPr>
          <w:rFonts w:ascii="Arial" w:cs="Arial" w:eastAsia="Arial" w:hAnsi="Arial"/>
          <w:sz w:val="17"/>
          <w:szCs w:val="17"/>
          <w:color w:val="auto"/>
        </w:rPr>
        <w:t>, the changes in the Company’s common stock as a result of the reverse stock split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the per share components of the current and prior period financial statements presented be based on the new number of shares. Therefore, net loss per common share for the three months ended March 31, 2013 has been adjusted to reflect post reverse stock split shares.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both"/>
        <w:ind w:right="40"/>
        <w:spacing w:after="0" w:line="259" w:lineRule="auto"/>
        <w:rPr>
          <w:sz w:val="20"/>
          <w:szCs w:val="20"/>
          <w:color w:val="auto"/>
        </w:rPr>
      </w:pPr>
      <w:r>
        <w:rPr>
          <w:rFonts w:ascii="Arial" w:cs="Arial" w:eastAsia="Arial" w:hAnsi="Arial"/>
          <w:sz w:val="18"/>
          <w:szCs w:val="18"/>
          <w:color w:val="auto"/>
        </w:rPr>
        <w:t>For the three months ended March 31, 2014 and 2013, diluted loss per common share was the same as basic loss per common share as all options and warrants that were convertible into shares of the Company’s common stock were excluded from the calculation of diluted earnings per share as their effect would have been anti-dilutive. The total number of shares of common stock issuable upon exercise of warrants and equity awards for the three month periods ended March 31, 2014 and 2013 were 6,244,886 and 4,685,862,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Securities - Available For Sale</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Investment securities available for sale of $47,255,487 and $37,156,381 as of March 31, 2014 and December 31, 2013, respectively, consist of commercial paper and corporate debt securities. They are valued at fair value, with unrealized gains and losses reported as a separate component of Stockholders’ Equity in Accumulated Other Comprehensive Loss.</w:t>
      </w:r>
    </w:p>
    <w:p>
      <w:pPr>
        <w:spacing w:after="0" w:line="181"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Investment securities available for sale are evaluated periodically to determine whether a decline in their value is other than temporary. The term “other than temporary” is not intended to indicate a permanent decline in value. Rather, it means that the prospects for near-term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bond maturities of the Company’s investment securities is as follows: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ind w:left="380"/>
              <w:spacing w:after="0"/>
              <w:rPr>
                <w:sz w:val="20"/>
                <w:szCs w:val="20"/>
                <w:color w:val="auto"/>
              </w:rPr>
            </w:pPr>
            <w:r>
              <w:rPr>
                <w:rFonts w:ascii="Arial" w:cs="Arial" w:eastAsia="Arial" w:hAnsi="Arial"/>
                <w:sz w:val="18"/>
                <w:szCs w:val="18"/>
                <w:b w:val="1"/>
                <w:bCs w:val="1"/>
                <w:color w:val="auto"/>
              </w:rPr>
              <w:t>March 31, 2014</w:t>
            </w:r>
          </w:p>
        </w:tc>
        <w:tc>
          <w:tcPr>
            <w:tcW w:w="200" w:type="dxa"/>
            <w:vAlign w:val="bottom"/>
          </w:tcPr>
          <w:p>
            <w:pPr>
              <w:spacing w:after="0"/>
              <w:rPr>
                <w:sz w:val="20"/>
                <w:szCs w:val="20"/>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 2013</w:t>
            </w:r>
          </w:p>
        </w:tc>
      </w:tr>
      <w:tr>
        <w:trPr>
          <w:trHeight w:val="210"/>
        </w:trPr>
        <w:tc>
          <w:tcPr>
            <w:tcW w:w="5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bond maturities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Within 3 months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11,798,892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11,750,665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7,799,033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7,797,689</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Between 3-12 months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35,484,492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35,504,822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29,401,514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29,358,692</w:t>
            </w:r>
          </w:p>
        </w:tc>
      </w:tr>
      <w:tr>
        <w:trPr>
          <w:trHeight w:val="20"/>
        </w:trPr>
        <w:tc>
          <w:tcPr>
            <w:tcW w:w="59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47,283,384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47,255,487</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37,200,547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37,156,381</w:t>
            </w: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following table shows the Company’s investment securities with unrealized holding gains and losses and their fair value by investment category and length of time that individual securities have been in a continuous unrealized loss position at March 31, 2014 and December 31, 2013. The Company has reviewed individual securities to determine whether a decline in fair value below the amortizable cost basis is other than temporary.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March 31, 2014</w:t>
            </w:r>
          </w:p>
        </w:tc>
        <w:tc>
          <w:tcPr>
            <w:tcW w:w="180" w:type="dxa"/>
            <w:vAlign w:val="bottom"/>
          </w:tcPr>
          <w:p>
            <w:pPr>
              <w:spacing w:after="0"/>
              <w:rPr>
                <w:sz w:val="20"/>
                <w:szCs w:val="20"/>
                <w:color w:val="auto"/>
              </w:rPr>
            </w:pPr>
          </w:p>
        </w:tc>
        <w:tc>
          <w:tcPr>
            <w:tcW w:w="23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December 31, 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6"/>
              </w:rPr>
              <w:t>Unrealized</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8"/>
              </w:rPr>
              <w:t>Unrealized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Holding</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Holding</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Gains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Description of Securities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(Losses)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Available for Sale (all unrealized holding gains and losses are less than 12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months at date of measurement)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Bonds – corporate issuances with unrealized gains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4,366,735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6,650,095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Bonds – corporate issuances with unrealized losses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42,888,752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(27,994)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30,506,286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4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50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47,255,487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(27,897)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37,156,381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(44,166)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80" w:type="dxa"/>
            <w:vAlign w:val="bottom"/>
            <w:vMerge w:val="restart"/>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 w:type="dxa"/>
            <w:vAlign w:val="bottom"/>
            <w:shd w:val="clear" w:color="auto" w:fill="808080"/>
          </w:tcPr>
          <w:p>
            <w:pPr>
              <w:spacing w:after="0"/>
              <w:rPr>
                <w:sz w:val="5"/>
                <w:szCs w:val="5"/>
                <w:color w:val="auto"/>
              </w:rPr>
            </w:pPr>
          </w:p>
        </w:tc>
        <w:tc>
          <w:tcPr>
            <w:tcW w:w="54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Investment income which includes interest and dividends and gross realized gains and losses on sales of available for sale securities is summarized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gridSpan w:val="4"/>
          </w:tcPr>
          <w:p>
            <w:pPr>
              <w:jc w:val="right"/>
              <w:ind w:right="285"/>
              <w:spacing w:after="0"/>
              <w:rPr>
                <w:sz w:val="20"/>
                <w:szCs w:val="20"/>
                <w:color w:val="auto"/>
              </w:rPr>
            </w:pPr>
            <w:r>
              <w:rPr>
                <w:rFonts w:ascii="Arial" w:cs="Arial" w:eastAsia="Arial" w:hAnsi="Arial"/>
                <w:sz w:val="18"/>
                <w:szCs w:val="18"/>
                <w:b w:val="1"/>
                <w:bCs w:val="1"/>
                <w:color w:val="auto"/>
              </w:rPr>
              <w:t>Three Months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 of Securities</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Ended 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58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Realized losses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(20,610)</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(53,740)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 by component, in accumulated other comprehensive loss for the first three months of 2014.</w:t>
      </w:r>
    </w:p>
    <w:p>
      <w:pPr>
        <w:spacing w:after="0" w:line="23"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Accumulated</w:t>
      </w:r>
    </w:p>
    <w:p>
      <w:pPr>
        <w:spacing w:after="0" w:line="9"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auto"/>
        </w:rPr>
        <w:t>Other</w:t>
      </w:r>
    </w:p>
    <w:p>
      <w:pPr>
        <w:spacing w:after="0" w:line="9"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Comprehensive</w:t>
      </w:r>
    </w:p>
    <w:p>
      <w:pPr>
        <w:spacing w:after="0" w:line="9"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Loss</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8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8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Balance at January 1, 2014</w:t>
            </w:r>
          </w:p>
        </w:tc>
        <w:tc>
          <w:tcPr>
            <w:tcW w:w="540" w:type="dxa"/>
            <w:vAlign w:val="bottom"/>
            <w:shd w:val="clear" w:color="auto" w:fill="CCEEFF"/>
          </w:tcPr>
          <w:p>
            <w:pPr>
              <w:jc w:val="right"/>
              <w:ind w:right="350"/>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(44,166)</w:t>
            </w:r>
          </w:p>
        </w:tc>
      </w:tr>
      <w:tr>
        <w:trPr>
          <w:trHeight w:val="210"/>
        </w:trPr>
        <w:tc>
          <w:tcPr>
            <w:tcW w:w="80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investment securities</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(4,341)</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Realized loss reclassified from other accumulated comprehensive loss</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20,610</w:t>
            </w:r>
          </w:p>
        </w:tc>
        <w:tc>
          <w:tcPr>
            <w:tcW w:w="140" w:type="dxa"/>
            <w:vAlign w:val="bottom"/>
          </w:tcPr>
          <w:p>
            <w:pPr>
              <w:spacing w:after="0"/>
              <w:rPr>
                <w:sz w:val="18"/>
                <w:szCs w:val="18"/>
                <w:color w:val="auto"/>
              </w:rPr>
            </w:pPr>
          </w:p>
        </w:tc>
      </w:tr>
      <w:tr>
        <w:trPr>
          <w:trHeight w:val="21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other comprehensive loss, net</w:t>
            </w: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16,269</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3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(27,897)</w:t>
            </w:r>
          </w:p>
        </w:tc>
      </w:tr>
      <w:tr>
        <w:trPr>
          <w:trHeight w:val="20"/>
        </w:trPr>
        <w:tc>
          <w:tcPr>
            <w:tcW w:w="80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(formerly SFAS No. 157)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7" w:lineRule="exact"/>
        <w:rPr>
          <w:sz w:val="20"/>
          <w:szCs w:val="20"/>
          <w:color w:val="auto"/>
        </w:rPr>
      </w:pPr>
    </w:p>
    <w:p>
      <w:pPr>
        <w:ind w:left="540" w:right="1600"/>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Quoted prices (unadjusted) or identical assets or liabilities in active markets that the entity has the ability to access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162" w:lineRule="exact"/>
        <w:rPr>
          <w:sz w:val="20"/>
          <w:szCs w:val="20"/>
          <w:color w:val="auto"/>
        </w:rPr>
      </w:pPr>
    </w:p>
    <w:p>
      <w:pPr>
        <w:jc w:val="both"/>
        <w:ind w:left="540" w:right="158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Significant other observable inputs other than Level 1 prices such as quoted prices for similar assets or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quoted prices in markets that are not active; or other inputs that are observable or can be corroborated by observable market data; and</w:t>
      </w:r>
    </w:p>
    <w:p>
      <w:pPr>
        <w:spacing w:after="0" w:line="176" w:lineRule="exact"/>
        <w:rPr>
          <w:sz w:val="20"/>
          <w:szCs w:val="20"/>
          <w:color w:val="auto"/>
        </w:rPr>
      </w:pPr>
    </w:p>
    <w:p>
      <w:pPr>
        <w:jc w:val="both"/>
        <w:ind w:left="540" w:right="1580"/>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Significant unobservable inputs that reflect a reporting entity’s own assumptions that market participants would use in</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an asset or liability.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 The common stock warrant liability has been valued using the Black-Scholes option pricing model, the inputs of which are more fully described in Note 11 to the financial statements.</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other current assets, accounts payable and other accrued liabilities are reflected in the balance sheet at their estimated fair values primarily due to their short-term nature.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right="200"/>
        <w:spacing w:after="0" w:line="277" w:lineRule="auto"/>
        <w:rPr>
          <w:sz w:val="20"/>
          <w:szCs w:val="20"/>
          <w:color w:val="auto"/>
        </w:rPr>
      </w:pPr>
      <w:r>
        <w:rPr>
          <w:rFonts w:ascii="Arial" w:cs="Arial" w:eastAsia="Arial" w:hAnsi="Arial"/>
          <w:sz w:val="18"/>
          <w:szCs w:val="18"/>
          <w:color w:val="auto"/>
        </w:rPr>
        <w:t>The following table presents information about assets and liabilities recorded at fair value on a recurring basis as of March 31, 2014 and December 31, 2013 on the Company’s Balance Sheets:</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Quoted Prices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 Active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6"/>
              </w:rPr>
              <w:t>Markets For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Significant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Total 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Identical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7"/>
              </w:rPr>
              <w:t>Significant</w:t>
            </w:r>
          </w:p>
        </w:tc>
        <w:tc>
          <w:tcPr>
            <w:tcW w:w="10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Value on the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Observable</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Unobservable</w:t>
            </w:r>
          </w:p>
        </w:tc>
        <w:tc>
          <w:tcPr>
            <w:tcW w:w="10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Inputs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Inputs</w:t>
            </w:r>
          </w:p>
        </w:tc>
        <w:tc>
          <w:tcPr>
            <w:tcW w:w="100" w:type="dxa"/>
            <w:vAlign w:val="bottom"/>
          </w:tcPr>
          <w:p>
            <w:pPr>
              <w:spacing w:after="0"/>
              <w:rPr>
                <w:sz w:val="18"/>
                <w:szCs w:val="18"/>
                <w:color w:val="auto"/>
              </w:rPr>
            </w:pPr>
          </w:p>
        </w:tc>
      </w:tr>
      <w:tr>
        <w:trPr>
          <w:trHeight w:val="234"/>
        </w:trPr>
        <w:tc>
          <w:tcPr>
            <w:tcW w:w="5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Sheet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As of March 31, 2014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Short-term investments available for sale Bonds – corporate issuances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47,255,487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47,255,487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197"/>
        </w:trPr>
        <w:tc>
          <w:tcPr>
            <w:tcW w:w="55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w w:val="95"/>
              </w:rPr>
              <w:t>Short-term investments available for sale Bonds – corporate issuances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37,156,381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37,156,381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As of March 31, 2014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Common stock warrant liability</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As of December 31, 2013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warrant liability</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20"/>
                <w:szCs w:val="20"/>
                <w:color w:val="auto"/>
              </w:rPr>
            </w:pP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were no transfers of assets or liabilities between Level 1 and Level 2 and no transfers in or out of Level 3 during the three months ended March 31,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Note 7. Accrued Liabilities</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Accrued liabilities at March 31, 2014 and December 31, 2013 include the following:</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0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1,411,249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1,711,934</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3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661,151</w:t>
            </w: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900,434</w:t>
            </w:r>
          </w:p>
        </w:tc>
      </w:tr>
      <w:tr>
        <w:trPr>
          <w:trHeight w:val="216"/>
        </w:trPr>
        <w:tc>
          <w:tcPr>
            <w:tcW w:w="30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65,000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63,500</w:t>
            </w:r>
          </w:p>
        </w:tc>
      </w:tr>
      <w:tr>
        <w:trPr>
          <w:trHeight w:val="216"/>
        </w:trPr>
        <w:tc>
          <w:tcPr>
            <w:tcW w:w="30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Accrued interest on notes payable</w:t>
            </w:r>
          </w:p>
        </w:tc>
        <w:tc>
          <w:tcPr>
            <w:tcW w:w="3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48,438</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31,785</w:t>
            </w:r>
          </w:p>
        </w:tc>
      </w:tr>
      <w:tr>
        <w:trPr>
          <w:trHeight w:val="210"/>
        </w:trPr>
        <w:tc>
          <w:tcPr>
            <w:tcW w:w="300" w:type="dxa"/>
            <w:vAlign w:val="bottom"/>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00" w:type="dxa"/>
            <w:vAlign w:val="bottom"/>
          </w:tcPr>
          <w:p>
            <w:pPr>
              <w:spacing w:after="0"/>
              <w:rPr>
                <w:sz w:val="20"/>
                <w:szCs w:val="20"/>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accrued liabilities</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2,205,838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2,707,653</w:t>
            </w:r>
          </w:p>
        </w:tc>
      </w:tr>
      <w:tr>
        <w:trPr>
          <w:trHeight w:val="20"/>
        </w:trPr>
        <w:tc>
          <w:tcPr>
            <w:tcW w:w="300" w:type="dxa"/>
            <w:vAlign w:val="bottom"/>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Note 8. Note Payable</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Hercules Credit Agreement</w:t>
      </w:r>
    </w:p>
    <w:p>
      <w:pPr>
        <w:spacing w:after="0" w:line="225"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The Company anticipates that it will use any additional funding up to $15 million as provided under the agreement for working capital or in support of its previously announced strategic acquisition initiative, which is designed to identify new technologies and clinical stage products for its development pipeline.</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84" w:right="19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The obligations under the Hercules Credit Agreement are in the form of secured indebtedness bearing interest at a calculated prime-based variable rate (11.25% per annum since inception). Payments under the loan agreement are interest only for the first twelve months after loan closing, followed by a 30-month amortization period of principal and interest through the scheduled maturity date.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fee in connection with the Hercules Credit Agreement, the Company issued Hercules a warrant exercisable for a total of 194,986 shares of the Company’s common stock (the “Hercules Warrant”) at a per share exercise price of $3.59, with 50% immediately exercisable for cash or by net exercise from November 25, 2013 and the remaining 50% to be exercisable upon Hercules funding any subsequent tranches.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valued the Hercules Warrant using the Black-Scholes option pricing model and recorded $521,763 in 2013 as deferred financing fees. In calculating the value of the warrants, the Company assumed a volatility rate of 102%, risk free interest rate of 1.37%, an expected life of 5 years, a stock price of $3.55 (closing price on date of the Hercules Warrant) and no expected forfeitures nor dividends. In connection with the Hercules Credit Agreement, the Company incurred cash expenses of $352,378 which were also recorded as deferred financing fees. These deferred financing fees are being amortized as interest expense using the effective interest method over the life of the loan. For the first three months of 2014, the Company incurred $140,625 in interest expense and amortized $89,676 in deferred financing fees as interest expense in connection with the Hercules Credit Agreement.</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Following is a schedule of future principle payments due on the Hercules Credit Agreement: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Hercules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Credit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40" w:type="dxa"/>
            <w:vAlign w:val="bottom"/>
            <w:gridSpan w:val="2"/>
          </w:tcPr>
          <w:p>
            <w:pPr>
              <w:ind w:left="1140"/>
              <w:spacing w:after="0"/>
              <w:rPr>
                <w:sz w:val="20"/>
                <w:szCs w:val="20"/>
                <w:color w:val="auto"/>
              </w:rPr>
            </w:pPr>
            <w:r>
              <w:rPr>
                <w:rFonts w:ascii="Arial" w:cs="Arial" w:eastAsia="Arial" w:hAnsi="Arial"/>
                <w:sz w:val="18"/>
                <w:szCs w:val="18"/>
                <w:color w:val="auto"/>
              </w:rPr>
              <w:t>For the year ending March 31:</w:t>
            </w: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Agreement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1,878,096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Oxford &amp; Horizon Credit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2012, the Company entered into a Loan and Security Agreement (the “Oxford &amp; Horizon Credit Agreement”) with Oxford Finance LLC (“Oxford”) and Horizon Technology Finance Corporation (“Horizon”). The Oxford &amp; Horizon Credit Agreement provided for a secured term loan of up to $10 million, with 50% of any loans to be funded by Oxford and 50% to be funded by Horizon. The aggregate loan amount could have been advanced in two tranches of $5 million each. The first tranche (the “Term A Loan”) was made available to the Company on June 27, 2012 and the second tranche was to be made available, if at all, during the period beginning on the date that the Company achieved positive data in its Phase III clinical trial of RFA and ThermoDox® (the “HEAT Study”) and ending on March 31, 2013. On January 31, 2013, the Company announced it did not meet the primary endpoint of the HEAT Study.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The Term A Loan was originally scheduled to mature on October 15, 2015. As a result of the Hercules Credit Agreement discussed above, the Company terminated the Oxford &amp; Horizon Credit Agreement and repaid the outstanding principle, accrued interest and termination fees totaling approximately $4.1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proceeds of the Oxford &amp; Horizon Credit Agreement were used to fund the Company’s working capital and general corporate purposes. The obligations under the Oxford &amp; Horizon Credit Agreement were secured by substantially all assets of the Company other than its intellectual property and certain other agreed-upon exclusions.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fee in connection with the Oxford &amp; Horizon Credit Agreement, the Company issued warrants to Horizon and Oxford (the “Oxford &amp; Horizon Warrants”) to purchase the number of shares of the Company’s common stock equal to 3% of each loan amount divided by the exercise price of $13.14 per share, which was calculated as the average NASDAQ closing price of the Company’s common stock for the three days prior to the funding of the loan amount. This resulted in 11,415 warrant shares issued in connection with the Term A Loan. The Oxford &amp; Horizon Warrants issued in connection with the Term A Loan are exercisable for cash or by net exercise and will expire seven years after their issuance, which is June 27, 2019.</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valued the Oxford &amp; Horizon Warrants using the Black-Scholes option pricing model and recorded $73,654 as deferred financing fees. In calculating the value of the warrants, the Company assumed a volatility rate of 74.3%, risk free interest rate of 1.10%, an expected life of 3.5 years, a stock price of $12.60 which was the closing price on date of issuing the Oxford &amp; Horizon Warrant) and no expected forfeitures nor dividends. In connection with the Oxford &amp; Horizon Credit Agreement, the Company incurred cash expenses of $217,715 which were recorded as deferred financing fees in 2012. These deferred financing fees were amortized as interest expense over the life of the loan. During the first three months of 2013, the Company paid $146,874 in interest expense and amortized $31,560 of deferred financing fees as interest expense. The Term A Loan bore interest at a fixed rate of 11.75%.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November 2011, the Company financed $144,448 of lab equipment through a capital lease. This lease obligation has thirty monthly payments of $5,651 through February 2014. During the first quarter of 2014, the Company made principal and interest payments totaling $11,303 to satisfy the remaining obligation under this capital 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2014 Common Stock Offering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15, 2014, the Company entered into a Securities Purchase Agreement with certain institutional investors, pursuant to which the Company sold, in a registered offering, an aggregate of 3,603,604 shares of its common stock, par value $0.01 per share, and warrants to purchase up to 1,801,802 shares of Common Stock, for an aggregate purchase price of approximately $15 million (the “</w:t>
      </w:r>
      <w:r>
        <w:rPr>
          <w:rFonts w:ascii="Arial" w:cs="Arial" w:eastAsia="Arial" w:hAnsi="Arial"/>
          <w:sz w:val="17"/>
          <w:szCs w:val="17"/>
          <w:i w:val="1"/>
          <w:iCs w:val="1"/>
          <w:color w:val="auto"/>
        </w:rPr>
        <w:t>January 2014 Common Stock Offering</w:t>
      </w:r>
      <w:r>
        <w:rPr>
          <w:rFonts w:ascii="Arial" w:cs="Arial" w:eastAsia="Arial" w:hAnsi="Arial"/>
          <w:sz w:val="17"/>
          <w:szCs w:val="17"/>
          <w:color w:val="auto"/>
        </w:rPr>
        <w:t>”). The shares of common stock and warrants were sold in units, with each unit consisting of one share of common stock, a Series A warrant to purchase 0.25 share of common stock and a Series B warrant to purchase 0.25 share of common stock. Each unit was sold at a purchase price of $4.1625. Each Series A warrant will be exercisable at any time on or after its issuance date and until the five-year anniversary of the issuance date. Each Series B warrant will be exercisable at any time on or after its issuance date and until the one-year anniversary of the issuance date. Each warrant has an exercise price of $4.10 per share. Under the purchase agreement, the Company is prohibited, for a period of nine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Controlled Equity Offering</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February 1, 2013, the Company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w:t>
      </w:r>
      <w:r>
        <w:rPr>
          <w:rFonts w:ascii="Arial" w:cs="Arial" w:eastAsia="Arial" w:hAnsi="Arial"/>
          <w:sz w:val="17"/>
          <w:szCs w:val="17"/>
          <w:i w:val="1"/>
          <w:iCs w:val="1"/>
          <w:color w:val="auto"/>
        </w:rPr>
        <w:t>ATM Agreement</w:t>
      </w:r>
      <w:r>
        <w:rPr>
          <w:rFonts w:ascii="Arial" w:cs="Arial" w:eastAsia="Arial" w:hAnsi="Arial"/>
          <w:sz w:val="17"/>
          <w:szCs w:val="17"/>
          <w:color w:val="auto"/>
        </w:rPr>
        <w:t>”) with Cantor Fitzgerald &amp; Co., as sales agent (“Cantor”), pursuant to which the Company may offer and sell, from time to time, through Cantor, shares of its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February 25, 2013, the Company sold and issued an aggregate of 1,195,927 shares of common stock under the ATM Agreement, receiving approximately $6.8 million in net proceeds.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In connection with the January 2014 Common Stock Offering, the Company agreed to not sell any ATM Shares until July 22,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2013 Preferred Stock Offering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22, 2013, the Company entered into a Securities Purchase Agreement with certain institutional investors, pursuant to which the Company sold, in a registered offering, an aggregate of 15,000.00422 shares of its Series A 0% convertible preferred stock and the warrants to purchase shares of its common stock, for an aggregate purchase price of approximately $15.0 million (the “February 2013 Preferred Stock Offering”). The closing of the February 2013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2,682,764 shares of common stock, and the warrants are exercisable to purchase an aggregate of up to 1,341,382 shares of common stock. Each warrant has an exercise price of $5.31 per share, equal to the closing bid price of common stock on February 21, 2013. The warrants are immediately exercisable and expire five years after the date of issuance.</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Upon issuance, we estimated the fair value of the warrants issued in the February 2013 Preferred Stock Offering to be approximately $5.4 million using the Black-Scholes pricing model. Also, upon issuance, we recognized a one-time, non-cash deemed dividend related to the beneficial conversion feature connected to the preferred stock in the Preferred Stock Offering of approximately $4.6 million in the first three months of 2013.</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Assumptions used in the valuation of the warrants issued in the February 2013 Preferred Stock Offering are as follows:</w:t>
            </w:r>
          </w:p>
        </w:tc>
        <w:tc>
          <w:tcPr>
            <w:tcW w:w="1900" w:type="dxa"/>
            <w:vAlign w:val="bottom"/>
          </w:tcPr>
          <w:p>
            <w:pPr>
              <w:spacing w:after="0"/>
              <w:rPr>
                <w:sz w:val="20"/>
                <w:szCs w:val="20"/>
                <w:color w:val="auto"/>
              </w:rPr>
            </w:pPr>
          </w:p>
        </w:tc>
      </w:tr>
      <w:tr>
        <w:trPr>
          <w:trHeight w:val="210"/>
        </w:trPr>
        <w:tc>
          <w:tcPr>
            <w:tcW w:w="89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0.78%</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Expected volatility</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102.23%</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0.0%</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2013, 2,682,764 shares of common stock in the aggregate were issued upon conversion of all of the 15,000.00422 shares of the Series A 0%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2013 Common Stock Offering</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May 30, 2013, the Company entered into a Securities Purchase Agreement with certain institutional investors, pursuant to which the Company sold, in a registered offering, an aggregate of 1,392,109 shares of its common stock for an aggregate purchase price of approximately $9.8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28, 2013, the Company effected a 4.5-to-1 reverse stock split of its common stock which was made effective for trading purposes as of the commencement of trading on October 29, 2013. As of October 28, 2013, each nine shares of issued and outstanding common stock and equivalents were combined and converted into two shares of common stock outstanding at the time of the reverse stock split. Weighted average shares outstanding and loss attributable to common stockholders of the Company for the three months ended March 31, 2013 have been adjusted to reflect the reverse stock split.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2007, the Company adopted the Celsion Corporation 2007 Stock Incentive Plan (the “2007 Plan”) under which 222,222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and June 7, 2012, the stockholders approved amendments to the Plan. The only material difference between the original Plan and the amended Plan was the number of shares of common stock available for issuance under the amended Plan which was increased by 222,222 to a total of 444,444 shares in 2010 and by 500,000 to a total of 944,444 shares in 2012.</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the adoption of the 2007 Plan, the Company adopted two stock plans for directors, officers and employees (one in 2001 and another in 2004) under which 148,148 shares were reserved for future issuance under each of these plans. As these plans have been superseded by the 2007 Plan, any options previously granted which expire, forfeit, or cancel under these plans will be rolled into the 2007 Plan.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assumptions for determining the fair value of options granted under the Black-Scholes option pricing model:</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90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w w:val="93"/>
              </w:rPr>
              <w:t>Three Months Ended March 31,</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2013</w:t>
            </w:r>
          </w:p>
        </w:tc>
        <w:tc>
          <w:tcPr>
            <w:tcW w:w="160" w:type="dxa"/>
            <w:vAlign w:val="bottom"/>
          </w:tcPr>
          <w:p>
            <w:pPr>
              <w:spacing w:after="0"/>
              <w:rPr>
                <w:sz w:val="18"/>
                <w:szCs w:val="18"/>
                <w:color w:val="auto"/>
              </w:rPr>
            </w:pPr>
          </w:p>
        </w:tc>
      </w:tr>
      <w:tr>
        <w:trPr>
          <w:trHeight w:val="210"/>
        </w:trPr>
        <w:tc>
          <w:tcPr>
            <w:tcW w:w="678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100.72%</w:t>
            </w:r>
          </w:p>
        </w:tc>
        <w:tc>
          <w:tcPr>
            <w:tcW w:w="1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83.41%</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 free interest rate is derived from values assigned to U.S. Treasury bonds as published in the Wall Street Journal in effect at the time of grant. The model incorporates exercise, pre-vesting and post-vesting forfeiture assumptions based on analysis of historical data. The expected life of the fiscal 2014 and 2013 grants was generated using the simplified method.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A summary of the Company’s stock option and restricted stock awards for the three months ended March 31, 2014 is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Awards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Equity awards outstanding at December 31, 2013</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Equity awards granted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Equity awards exercised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Equity awards forfeited, cancelled or expired</w:t>
      </w:r>
    </w:p>
    <w:p>
      <w:pPr>
        <w:spacing w:after="0" w:line="26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Equity awards outstanding at March 31, 2014</w:t>
      </w:r>
    </w:p>
    <w:p>
      <w:pPr>
        <w:spacing w:after="0" w:line="225" w:lineRule="exact"/>
        <w:rPr>
          <w:sz w:val="20"/>
          <w:szCs w:val="20"/>
          <w:color w:val="auto"/>
        </w:rPr>
      </w:pPr>
    </w:p>
    <w:p>
      <w:pPr>
        <w:ind w:left="280"/>
        <w:spacing w:after="0" w:line="277" w:lineRule="auto"/>
        <w:rPr>
          <w:sz w:val="20"/>
          <w:szCs w:val="20"/>
          <w:color w:val="auto"/>
        </w:rPr>
      </w:pPr>
      <w:r>
        <w:rPr>
          <w:rFonts w:ascii="Arial" w:cs="Arial" w:eastAsia="Arial" w:hAnsi="Arial"/>
          <w:sz w:val="18"/>
          <w:szCs w:val="18"/>
          <w:color w:val="auto"/>
        </w:rPr>
        <w:t>Aggregate intrinsic value of outstanding awards at March 31, 2014</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Equity awards exercisable at March 31, 2014</w:t>
      </w:r>
    </w:p>
    <w:p>
      <w:pPr>
        <w:spacing w:after="0" w:line="225" w:lineRule="exact"/>
        <w:rPr>
          <w:sz w:val="20"/>
          <w:szCs w:val="20"/>
          <w:color w:val="auto"/>
        </w:rPr>
      </w:pPr>
    </w:p>
    <w:p>
      <w:pPr>
        <w:ind w:left="280" w:right="20"/>
        <w:spacing w:after="0" w:line="277" w:lineRule="auto"/>
        <w:rPr>
          <w:sz w:val="20"/>
          <w:szCs w:val="20"/>
          <w:color w:val="auto"/>
        </w:rPr>
      </w:pPr>
      <w:r>
        <w:rPr>
          <w:rFonts w:ascii="Arial" w:cs="Arial" w:eastAsia="Arial" w:hAnsi="Arial"/>
          <w:sz w:val="18"/>
          <w:szCs w:val="18"/>
          <w:color w:val="auto"/>
        </w:rPr>
        <w:t>Aggregate intrinsic value of awards exercisable at March 31, 2014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0"/>
              </w:rPr>
              <w:t>Stock Options</w:t>
            </w:r>
          </w:p>
        </w:tc>
        <w:tc>
          <w:tcPr>
            <w:tcW w:w="100" w:type="dxa"/>
            <w:vAlign w:val="bottom"/>
          </w:tcPr>
          <w:p>
            <w:pPr>
              <w:spacing w:after="0"/>
              <w:rPr>
                <w:sz w:val="20"/>
                <w:szCs w:val="20"/>
                <w:color w:val="auto"/>
              </w:rPr>
            </w:pPr>
          </w:p>
        </w:tc>
        <w:tc>
          <w:tcPr>
            <w:tcW w:w="25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Restricted Stock Awards</w:t>
            </w:r>
          </w:p>
        </w:tc>
        <w:tc>
          <w:tcPr>
            <w:tcW w:w="11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91"/>
        </w:trPr>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Weighted</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Non-vested</w:t>
            </w: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Average</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Terms of</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Restricted</w:t>
            </w: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Grant</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Exercise</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Date</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Awards</w:t>
            </w: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6"/>
              </w:rPr>
              <w:t>Outstanding</w:t>
            </w:r>
          </w:p>
        </w:tc>
        <w:tc>
          <w:tcPr>
            <w:tcW w:w="1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411"/>
        </w:trPr>
        <w:tc>
          <w:tcPr>
            <w:tcW w:w="2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861,905</w:t>
            </w:r>
          </w:p>
        </w:tc>
        <w:tc>
          <w:tcPr>
            <w:tcW w:w="8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16.29</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323,200</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(6,091)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(10,555)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1,174,550</w:t>
            </w:r>
          </w:p>
        </w:tc>
        <w:tc>
          <w:tcPr>
            <w:tcW w:w="8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112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1,756</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779,446</w:t>
            </w:r>
          </w:p>
        </w:tc>
        <w:tc>
          <w:tcPr>
            <w:tcW w:w="8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-1568450</wp:posOffset>
            </wp:positionV>
            <wp:extent cx="710057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-1294130</wp:posOffset>
            </wp:positionV>
            <wp:extent cx="710057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-1011555</wp:posOffset>
            </wp:positionV>
            <wp:extent cx="710057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-711200</wp:posOffset>
            </wp:positionV>
            <wp:extent cx="710057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-299720</wp:posOffset>
            </wp:positionV>
            <wp:extent cx="710057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0</wp:posOffset>
            </wp:positionV>
            <wp:extent cx="710057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spacing w:after="0" w:line="357" w:lineRule="exact"/>
        <w:rPr>
          <w:sz w:val="20"/>
          <w:szCs w:val="20"/>
          <w:color w:val="auto"/>
        </w:rPr>
      </w:pPr>
    </w:p>
    <w:p>
      <w:pPr>
        <w:ind w:left="1080" w:hanging="107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372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737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4420" w:space="300"/>
            <w:col w:w="6700"/>
          </w:cols>
          <w:pgMar w:left="240" w:top="584" w:right="239" w:bottom="1440" w:gutter="0" w:footer="0" w:header="0"/>
          <w:type w:val="continuous"/>
        </w:sectPr>
      </w:pPr>
    </w:p>
    <w:p>
      <w:pPr>
        <w:jc w:val="both"/>
        <w:spacing w:after="0" w:line="264" w:lineRule="auto"/>
        <w:rPr>
          <w:sz w:val="20"/>
          <w:szCs w:val="20"/>
          <w:color w:val="auto"/>
        </w:rPr>
      </w:pPr>
      <w:r>
        <w:rPr>
          <w:rFonts w:ascii="Arial" w:cs="Arial" w:eastAsia="Arial" w:hAnsi="Arial"/>
          <w:sz w:val="18"/>
          <w:szCs w:val="18"/>
          <w:color w:val="auto"/>
        </w:rPr>
        <w:t>Total compensation cost related to employee stock options and restricted stock awards amounted to $607,230 and $263,192 for the three months ended March 31, 2014 and 2013, respectively. No compensation cost related to share-based payments arrangements was capitalized as part of the cost of any asset as of March 31, 2014 and 2013.</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2014, there was $1.2 million of total unrecognized compensation cost related to non-vested share-based compensation arrangements. That cost is expected to be recognized over a weighted-average period of 2.1 years. The weighted average grant-date fair value was $3.31 and $3.92 per share for the options granted during the three months ended March 31, 2014 and 2013, respectively. The weighted average grant-date fair value was $3.72 for the restricted stock awards granted during the three months ended March 31, 2014. The Company granted 4,500 restricted stock awards during the first three months of 2014. No restricted stock grants were issued in the first three months of 2013.</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Collectively, for all the stock option plans as of March 31, 2014, there were a total of 1,189,528 shares reserved, which were comprised of 1,175,071 equity awards granted and 14,457 equity awards available for future issuance.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Note 11. Warrants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Warrants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rPr>
              <w:t>Following is a summary of all warrant activity for the first three months of 2014: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24"/>
                <w:szCs w:val="2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Warrants</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Average</w:t>
            </w:r>
          </w:p>
        </w:tc>
      </w:tr>
      <w:tr>
        <w:trPr>
          <w:trHeight w:val="234"/>
        </w:trPr>
        <w:tc>
          <w:tcPr>
            <w:tcW w:w="300" w:type="dxa"/>
            <w:vAlign w:val="bottom"/>
          </w:tcPr>
          <w:p>
            <w:pPr>
              <w:spacing w:after="0"/>
              <w:rPr>
                <w:sz w:val="20"/>
                <w:szCs w:val="20"/>
                <w:color w:val="auto"/>
              </w:rPr>
            </w:pPr>
          </w:p>
        </w:tc>
        <w:tc>
          <w:tcPr>
            <w:tcW w:w="7360" w:type="dxa"/>
            <w:vAlign w:val="bottom"/>
            <w:tcBorders>
              <w:bottom w:val="single" w:sz="8" w:color="auto"/>
            </w:tcBorders>
          </w:tcPr>
          <w:p>
            <w:pPr>
              <w:ind w:left="324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Issued</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Exercise Price</w:t>
            </w:r>
          </w:p>
        </w:tc>
        <w:tc>
          <w:tcPr>
            <w:tcW w:w="1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3,268,013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0" w:type="dxa"/>
            <w:vAlign w:val="bottom"/>
          </w:tcPr>
          <w:p>
            <w:pPr>
              <w:spacing w:after="0"/>
              <w:rPr>
                <w:sz w:val="17"/>
                <w:szCs w:val="17"/>
                <w:color w:val="auto"/>
              </w:rPr>
            </w:pPr>
          </w:p>
        </w:tc>
        <w:tc>
          <w:tcPr>
            <w:tcW w:w="7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Warrants granted in connection with the January 2014 Common Stock Offering, as more fully</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0" w:type="dxa"/>
            <w:vAlign w:val="bottom"/>
          </w:tcPr>
          <w:p>
            <w:pPr>
              <w:spacing w:after="0"/>
              <w:rPr>
                <w:sz w:val="20"/>
                <w:szCs w:val="20"/>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described in Note 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1,801,802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exercised for common stock</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10"/>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256"/>
        </w:trPr>
        <w:tc>
          <w:tcPr>
            <w:tcW w:w="300" w:type="dxa"/>
            <w:vAlign w:val="bottom"/>
          </w:tcPr>
          <w:p>
            <w:pPr>
              <w:spacing w:after="0"/>
              <w:rPr>
                <w:sz w:val="22"/>
                <w:szCs w:val="22"/>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March 31, 2014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5,069,815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r>
      <w:tr>
        <w:trPr>
          <w:trHeight w:val="197"/>
        </w:trPr>
        <w:tc>
          <w:tcPr>
            <w:tcW w:w="300" w:type="dxa"/>
            <w:vAlign w:val="bottom"/>
          </w:tcPr>
          <w:p>
            <w:pPr>
              <w:spacing w:after="0"/>
              <w:rPr>
                <w:sz w:val="17"/>
                <w:szCs w:val="17"/>
                <w:color w:val="auto"/>
              </w:rPr>
            </w:pPr>
          </w:p>
        </w:tc>
        <w:tc>
          <w:tcPr>
            <w:tcW w:w="7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300" w:type="dxa"/>
            <w:vAlign w:val="bottom"/>
          </w:tcPr>
          <w:p>
            <w:pPr>
              <w:spacing w:after="0"/>
              <w:rPr>
                <w:sz w:val="22"/>
                <w:szCs w:val="22"/>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March 31, 2014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197"/>
        </w:trPr>
        <w:tc>
          <w:tcPr>
            <w:tcW w:w="300" w:type="dxa"/>
            <w:vAlign w:val="bottom"/>
          </w:tcPr>
          <w:p>
            <w:pPr>
              <w:spacing w:after="0"/>
              <w:rPr>
                <w:sz w:val="17"/>
                <w:szCs w:val="17"/>
                <w:color w:val="auto"/>
              </w:rPr>
            </w:pPr>
          </w:p>
        </w:tc>
        <w:tc>
          <w:tcPr>
            <w:tcW w:w="7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30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(in years)</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7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Warrant Liability</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September 2009, the Company closed a registered direct offering with a select group of institutional investors that raised gross proceeds of $7.1 million and net proceeds of $6.3 million. In connection with this registered direct offering, the Company issued 448,478 shares of its common stock and warrants to purchase 224,239 shares of common stock. The warrants have an exercise price of $23.58 per share and are exercisable at any time on or after the six month anniversary of the date of issuance and on or prior to 66 months after the date of issuance. Under the terms of the warrants, upon certain transactions, including a merger, tender offer or sale of all or substantially all of the assets of the Company, each warrant holder may elect to receive a cash payment in exchange for the warrant, in an amount determined by application of the Black-Scholes option valuation model. Accordingly, pursuant to ASC 815.40, </w:t>
      </w:r>
      <w:r>
        <w:rPr>
          <w:rFonts w:ascii="Arial" w:cs="Arial" w:eastAsia="Arial" w:hAnsi="Arial"/>
          <w:sz w:val="17"/>
          <w:szCs w:val="17"/>
          <w:i w:val="1"/>
          <w:iCs w:val="1"/>
          <w:color w:val="auto"/>
        </w:rPr>
        <w:t xml:space="preserve">Derivative Instruments and Hedging - Contracts in Entity’s Own Equity, </w:t>
      </w:r>
      <w:r>
        <w:rPr>
          <w:rFonts w:ascii="Arial" w:cs="Arial" w:eastAsia="Arial" w:hAnsi="Arial"/>
          <w:sz w:val="17"/>
          <w:szCs w:val="17"/>
          <w:color w:val="auto"/>
        </w:rPr>
        <w:t>the warrants are recorded as a liability and then marked to market each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Statement of Operations in other income or expense. At the end of each subsequent quarter, the Company will revalue the fair value of the warrants and the change in fair value will be recorded as a change to the warrant liability and the difference will be recorded through the Statement of Operations in other income or expense.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warrants at March 31, 2014 and December 31, 2013 was $-0- and $3,026, respectively, calculated using the Black-Scholes option-pricing model with the following ranges of assumptions:</w:t>
      </w:r>
    </w:p>
    <w:p>
      <w:pPr>
        <w:spacing w:after="0" w:line="166" w:lineRule="exact"/>
        <w:rPr>
          <w:sz w:val="20"/>
          <w:szCs w:val="20"/>
          <w:color w:val="auto"/>
        </w:rPr>
      </w:pPr>
    </w:p>
    <w:p>
      <w:pPr>
        <w:ind w:left="7540"/>
        <w:spacing w:after="0"/>
        <w:tabs>
          <w:tab w:leader="none" w:pos="9180" w:val="left"/>
        </w:tabs>
        <w:rPr>
          <w:sz w:val="20"/>
          <w:szCs w:val="20"/>
          <w:color w:val="auto"/>
        </w:rPr>
      </w:pPr>
      <w:r>
        <w:rPr>
          <w:rFonts w:ascii="Arial" w:cs="Arial" w:eastAsia="Arial" w:hAnsi="Arial"/>
          <w:sz w:val="18"/>
          <w:szCs w:val="18"/>
          <w:b w:val="1"/>
          <w:bCs w:val="1"/>
          <w:color w:val="auto"/>
        </w:rPr>
        <w:t>March 31, 2014</w:t>
      </w:r>
      <w:r>
        <w:rPr>
          <w:sz w:val="20"/>
          <w:szCs w:val="20"/>
          <w:color w:val="auto"/>
        </w:rPr>
        <w:tab/>
      </w:r>
      <w:r>
        <w:rPr>
          <w:rFonts w:ascii="Arial" w:cs="Arial" w:eastAsia="Arial" w:hAnsi="Arial"/>
          <w:sz w:val="15"/>
          <w:szCs w:val="15"/>
          <w:b w:val="1"/>
          <w:bCs w:val="1"/>
          <w:u w:val="single" w:color="auto"/>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969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Expected volatility</w:t>
            </w:r>
          </w:p>
        </w:tc>
        <w:tc>
          <w:tcPr>
            <w:tcW w:w="3620" w:type="dxa"/>
            <w:vAlign w:val="bottom"/>
          </w:tcPr>
          <w:p>
            <w:pPr>
              <w:jc w:val="right"/>
              <w:spacing w:after="0"/>
              <w:rPr>
                <w:sz w:val="20"/>
                <w:szCs w:val="20"/>
                <w:color w:val="auto"/>
              </w:rPr>
            </w:pPr>
            <w:r>
              <w:rPr>
                <w:rFonts w:ascii="Arial" w:cs="Arial" w:eastAsia="Arial" w:hAnsi="Arial"/>
                <w:sz w:val="18"/>
                <w:szCs w:val="18"/>
                <w:color w:val="auto"/>
              </w:rPr>
              <w:t>64.74%</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620" w:type="dxa"/>
            <w:vAlign w:val="bottom"/>
          </w:tcPr>
          <w:p>
            <w:pPr>
              <w:jc w:val="right"/>
              <w:ind w:right="50"/>
              <w:spacing w:after="0"/>
              <w:rPr>
                <w:sz w:val="20"/>
                <w:szCs w:val="20"/>
                <w:color w:val="auto"/>
              </w:rPr>
            </w:pPr>
            <w:r>
              <w:rPr>
                <w:rFonts w:ascii="Arial" w:cs="Arial" w:eastAsia="Arial" w:hAnsi="Arial"/>
                <w:sz w:val="18"/>
                <w:szCs w:val="18"/>
                <w:color w:val="auto"/>
              </w:rPr>
              <w:t>1.25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36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62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-685165</wp:posOffset>
            </wp:positionV>
            <wp:extent cx="65176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-410845</wp:posOffset>
            </wp:positionV>
            <wp:extent cx="65176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5176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changes in the common stock warrant liability for the three months ended March 31, 2014:</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Beginning balance as of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-121920</wp:posOffset>
            </wp:positionV>
            <wp:extent cx="68776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Gain from the adjustment for the change in fair value included in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687768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Ending balance as of March 31, 2014</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883"/>
        <w:spacing w:after="0"/>
        <w:rPr>
          <w:sz w:val="20"/>
          <w:szCs w:val="20"/>
          <w:color w:val="auto"/>
        </w:rPr>
      </w:pPr>
      <w:r>
        <w:rPr>
          <w:rFonts w:ascii="Arial" w:cs="Arial" w:eastAsia="Arial" w:hAnsi="Arial"/>
          <w:sz w:val="18"/>
          <w:szCs w:val="18"/>
          <w:color w:val="auto"/>
        </w:rPr>
        <w:t>0.13%</w:t>
      </w:r>
    </w:p>
    <w:p>
      <w:pPr>
        <w:spacing w:after="0" w:line="23" w:lineRule="exact"/>
        <w:rPr>
          <w:sz w:val="20"/>
          <w:szCs w:val="20"/>
          <w:color w:val="auto"/>
        </w:rPr>
      </w:pPr>
    </w:p>
    <w:p>
      <w:pPr>
        <w:ind w:left="803"/>
        <w:spacing w:after="0"/>
        <w:rPr>
          <w:sz w:val="20"/>
          <w:szCs w:val="20"/>
          <w:color w:val="auto"/>
        </w:rPr>
      </w:pPr>
      <w:r>
        <w:rPr>
          <w:rFonts w:ascii="Arial" w:cs="Arial" w:eastAsia="Arial" w:hAnsi="Arial"/>
          <w:sz w:val="18"/>
          <w:szCs w:val="18"/>
          <w:color w:val="auto"/>
        </w:rPr>
        <w:t>64.74%</w:t>
      </w:r>
    </w:p>
    <w:p>
      <w:pPr>
        <w:spacing w:after="0" w:line="9" w:lineRule="exact"/>
        <w:rPr>
          <w:sz w:val="20"/>
          <w:szCs w:val="20"/>
          <w:color w:val="auto"/>
        </w:rPr>
      </w:pPr>
    </w:p>
    <w:p>
      <w:pPr>
        <w:ind w:left="883"/>
        <w:spacing w:after="0"/>
        <w:rPr>
          <w:sz w:val="20"/>
          <w:szCs w:val="20"/>
          <w:color w:val="auto"/>
        </w:rPr>
      </w:pPr>
      <w:r>
        <w:rPr>
          <w:rFonts w:ascii="Arial" w:cs="Arial" w:eastAsia="Arial" w:hAnsi="Arial"/>
          <w:sz w:val="18"/>
          <w:szCs w:val="18"/>
          <w:color w:val="auto"/>
        </w:rPr>
        <w:t>1.25</w:t>
      </w:r>
    </w:p>
    <w:p>
      <w:pPr>
        <w:spacing w:after="0" w:line="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0.00%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143" w:hanging="1143"/>
        <w:spacing w:after="0"/>
        <w:tabs>
          <w:tab w:leader="none" w:pos="1143" w:val="left"/>
        </w:tabs>
        <w:numPr>
          <w:ilvl w:val="0"/>
          <w:numId w:val="3"/>
        </w:numPr>
        <w:rPr>
          <w:rFonts w:ascii="Arial" w:cs="Arial" w:eastAsia="Arial" w:hAnsi="Arial"/>
          <w:sz w:val="18"/>
          <w:szCs w:val="18"/>
          <w:color w:val="auto"/>
        </w:rPr>
      </w:pPr>
      <w:r>
        <w:rPr>
          <w:rFonts w:ascii="Arial" w:cs="Arial" w:eastAsia="Arial" w:hAnsi="Arial"/>
          <w:sz w:val="18"/>
          <w:szCs w:val="18"/>
          <w:color w:val="auto"/>
        </w:rPr>
        <w:t>3,026</w:t>
      </w:r>
    </w:p>
    <w:p>
      <w:pPr>
        <w:spacing w:after="0" w:line="23" w:lineRule="exact"/>
        <w:rPr>
          <w:rFonts w:ascii="Arial" w:cs="Arial" w:eastAsia="Arial" w:hAnsi="Arial"/>
          <w:sz w:val="18"/>
          <w:szCs w:val="18"/>
          <w:color w:val="auto"/>
        </w:rPr>
      </w:pPr>
    </w:p>
    <w:p>
      <w:pPr>
        <w:ind w:left="1083"/>
        <w:spacing w:after="0"/>
        <w:rPr>
          <w:rFonts w:ascii="Arial" w:cs="Arial" w:eastAsia="Arial" w:hAnsi="Arial"/>
          <w:sz w:val="18"/>
          <w:szCs w:val="18"/>
          <w:color w:val="auto"/>
        </w:rPr>
      </w:pPr>
      <w:r>
        <w:rPr>
          <w:rFonts w:ascii="Arial" w:cs="Arial" w:eastAsia="Arial" w:hAnsi="Arial"/>
          <w:sz w:val="16"/>
          <w:szCs w:val="16"/>
          <w:color w:val="auto"/>
        </w:rPr>
        <w:t>(3,026)</w:t>
      </w:r>
    </w:p>
    <w:p>
      <w:pPr>
        <w:spacing w:after="0" w:line="32" w:lineRule="exact"/>
        <w:rPr>
          <w:sz w:val="20"/>
          <w:szCs w:val="20"/>
          <w:color w:val="auto"/>
        </w:rPr>
      </w:pPr>
    </w:p>
    <w:p>
      <w:pPr>
        <w:ind w:left="3"/>
        <w:spacing w:after="0"/>
        <w:tabs>
          <w:tab w:leader="none" w:pos="1423"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9779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9080" w:space="397"/>
            <w:col w:w="1943"/>
          </w:cols>
          <w:pgMar w:left="240" w:top="580"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12. Contingent Liabilities and Commitments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July 2011, the Company, as a tenant, and a landlord executed a lease (the “Lease”) for a 10,870 square foot premises located in Lawrenceville, New Jersey. In October 2011, the Company relocated its offices to Lawrenceville, New Jersey from Columbia, Maryland. The Lease has a term of 66 months and provides for 6 months of free rent; with the first monthly rent payment of approximately $23,000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Lease Term has expired. In connection with the $50,000 reduction of the standby letter of credit in April 2013, the Company reduced the escrow deposit by $50,000.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Technology Development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Development Contract and Commercial Supply Agreement with Zhejiang Hisun Pharmaceutical Co. Ltd.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mainland China, Hong Kong and Macau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As of March 31, 2014, the Company has incurred approximately $371,000 in costs to be reimbursed to Hisun.</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18, 2013, we entered into a technology development contract with Hisun, pursuant to which Hisun paid us a non-refundable research and development fee of $5 million to support our development of ThermoDox® in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based on findings of the ongoing post-study analysis of the HEAT Study data.</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660" w:right="1420" w:hanging="314"/>
        <w:spacing w:after="0" w:line="277" w:lineRule="auto"/>
        <w:tabs>
          <w:tab w:leader="none" w:pos="66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660" w:right="1420" w:hanging="314"/>
        <w:spacing w:after="0" w:line="277" w:lineRule="auto"/>
        <w:tabs>
          <w:tab w:leader="none" w:pos="66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660" w:right="1420" w:hanging="341"/>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auto"/>
        </w:rPr>
        <w:t>Development, Product Supply and Commercialization Agreement with Yakult Honsha</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fourth quarter of 2008, the Company entered into a Development, Product Supply and Commercialization Agreement with Yakult Honsha under which Yakult was granted the exclusive right to commercialize and market ThermoDox® for the Japanese market. We were paid a $2.5 million up-front licensing fee and we have the potential to receive additional payments from Yakult upon receipt of marketing approval by the Japanese Ministry of Health, Labor and Welfare as well as upon the achievement of certain levels of sales and approval for new indications. We will receive double digit escalating royalties on the sale ThermoDox® in Japan, when and if any such sales occur. We also will be the exclusive supplier of ThermoDox® to Yakult.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2011, the Company amended its Development, Product Supply and Commercialization Agreement with Yakult to provide for up to $4.0 million in an accelerated partial payment to the Company of a future drug approval milestone, which included $2.0 million paid to the Company upon the closing of the preferred equity financing the Company conducted in January 2011 and an additional $2.0 million conditioned upon the resumption of enrollment of Japanese patients in the Japan cohort of the HEAT Study. In consideration of these accelerated milestone payments from Yakult, the Company agreed to reduce future drug approval milestone payments by approximately forty percent (40%).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our Annual Report on Form 10-K for the fiscal year ended December 31, 2013 filed on March 13, 2014 with the Securities and Exchange Commission,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necessarily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Celsion is an oncology drug development company focused on the development of treatments for those suffering with difficult-to-treat forms of cancer. We are working to develop and commercialize more efficient, effective and targeted chemotherapeutic oncology drugs based on our proprietary heat-activated liposomal technology. The promise of this drug technology is to maximize efficacy while minimizing side-effects common to cancer treatments.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lead product ThermoDox® is being evaluated in a Phase III clinical trial for primary liver cancer (the OPTIMA study) and a Phase II clinical trial for recurrent chest wall breast cancer (the DIGNITY Study). ThermoDox® is a liposomal encapsulation of doxorubicin, an approved and frequently used oncology drug for the treatment of a wide range of cancers. Localized heat at mild hyperthermia temperatures (greater than 39.5 degrees Celsius) releases the encapsulated doxorubicin from the liposome enabling high concentrations of doxorubicin to be deposited preferentially in and around the targeted tumor.</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ThermoDox® in combination with radio frequency ablation (RFA) did not meet the primary endpoint of Progression Free Survival (PFS) for the 701 patient clinical trial (the “HEAT Study”) in patients with hepatocellular carcinoma (HCC), also known as primary liver cancer. Specifically, we determined, after conferring with the HEAT Study independent Data Monitoring Committee (DMC), that the HEAT Study did not meet the goal of demonstrating persuasive evidence of clinical effectiveness that could form the basis for regulatory approval. In the trial, ThermoDox® was well-tolerated with no unexpected serious adverse events. Following the announcement of the HEAT Study results, we continue to follow patients for overall survival, the secondary endpoint of the HEAT Study, on a quarterly basis. We have conducted a comprehensive analysis of the data from the HEAT Study to assess the future strategic value of ThermoDox®. As part of this analysis, we are also re-evaluating our product pipeline and research and development priorities. In April 2013, we announced the deferral of expenses associated with the Company’s Phase II study of ThermoDox® in combination with RFA for the treatment of colorectal liver metastases (the “ABLATE Study”) until such time as the Company finalizes its plans for the continuation of its development program with ThermoDox® in HCC.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The data from the HEAT Study post-hoc analysis suggests that ThermoDox® may substantially improve overall survival, when compared to the control group, in patients if their tumors undergo optimal RFA treatment. Data from five overall survival sweeps have been conducted since the top line PFS data from the HEAT Study was announced in January 2013. In April 2014, we announced that the latest overall survival data from the post-hoc analysis of results from the HEAT Study supports continued clinical development through a prospective pivotal Phase III Study. As reported on April 24, 2014, data from the latest HEAT Study post-hoc analysis as of March 31, 2014 suggest that ThermoDox® may markedly improve overall survival, compared to RFA control, in patients whose lesions undergo RFA treatment for 45 minutes or more. These findings apply to patients with single HCC lesions (64.4% of the HEAT Study population) from both size cohorts of the HEAT Study (3-5 cm and 5-7 cm) and represent a subgroup of 285 patients (41% of the patients in the HEAT Study). For this large subgroup, clinical results indicate a 50% improvement in overall survival, a Hazard Ratio of 0.666 (95% CI 0.434 - 1.022), and a p-Value of 0.06. Median overall survival for this subgroup has not yet been reached. We may choose to end this analysis of overall survival once the median is reached for either or both arms of the study.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Emerging data from the HEAT Study post-hoc analysis has been presented at various scientific and medical conferences in 2013 and 2014 by key HEAT Study investigators and leading liver cancer experts. The presentations include:</w:t>
      </w:r>
    </w:p>
    <w:p>
      <w:pPr>
        <w:spacing w:after="0" w:line="170"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World Conference on Interventional Oncology in May 2013</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Liver Cancer Association Annual Conference in September 2013</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European Conference on Interventional Oncology in June 2013 and April 2014</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completed computational modeling with supplementary preclinical animal studies supporting the relationship between heating duration and clinical outcomes.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24, 2014, we announced that the United States Food and Drug Administration (FDA), after its customary 30 day review period, has provided and allowed, subject to compliance with regulatory standards, clearance for the Company's planned pivotal, double-blind, placebo-controlled Phase III trial (the “OPTIMA Study”) of ThermoDox®, its proprietary heat-activated liposomal encapsulation of doxorubicin in combination with RFA in primary liver cancer, also known as hepatocellular carcinoma (HCC). The OPTIMA Study trial design is based on the comprehensive analysis of data from the HEAT Study, which, as described above, demonstrated that treatment with ThermoDox® resulted in a 50 percent improvement in overall survival in a substantial number of HCC patients that received an optimized RFA treatment. The Company expects to launch the study in the first half of 2014. The OPTIMA Study is designed with extensive input from globally recognized HCC researchers and clinicians and after receiving formal written consultation from the FDA. The OPTIMA Study is expected to enroll approximately 550 patients globally, with up to 100 sites in the United States, Europe, China and Asia Pacific, and will evaluate ThermoDox® in combination with RFA, which will be standardized to a minimum of 45 minutes across all investigators and sites for treating lesions 3 to 7 centimeters, versus standardized RFA alone. The primary endpoint for the trial is overall survival, and the secondary endpoint for the trial is PFS and Safety. The statistical plan calls for two interim efficacy analyses by an independent Data Monitoring Committee.</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the Company recently met with the China State Food and Drug Administration (CHINA FDA) to discuss the OPTIMA Phase III trial including minimum patient enrollment requirements supporting ThermoDox®’s registration in China. Based on those discussions, we are submitting an application for accelerated approval of the study in China. The Company plans to expand its clinical site footprint in Europe and will meet with the European Medicines Agency (EMA) during 2014.</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April 2013, we engaged Cantor Fitzgerald &amp; Co. to conduct a comprehensive review of merger and acquisition opportunities with the goal of identifying novel products with high potential, or companies, to acquire. Strategic alternatives the Company may pursue could include, but are not limited to, continuing its current operating plan, partnering or other collaboration agreements, acquisition of another company’s business or assets, or a merger or other strategic transaction. There can be no assurance that the exploration of strategic alternatives will result in any agreements or transactions, or that, if completed, any agreements or transactions will be successful or on attractive terms. To the extent we are unable to maintain a broad range of product candidates, our dependence on the success of one or a few product candidates would increase and results such as those announced in relation to the HEAT Study on January 31, 2013 will have a more significant impact on our financial prospects, financial condition and market value. As demonstrated by the HEAT Study results in January 2013,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results of operations, financial condition and market value.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91" w:lineRule="auto"/>
        <w:rPr>
          <w:sz w:val="20"/>
          <w:szCs w:val="20"/>
          <w:color w:val="auto"/>
        </w:rPr>
      </w:pPr>
      <w:r>
        <w:rPr>
          <w:rFonts w:ascii="Arial" w:cs="Arial" w:eastAsia="Arial" w:hAnsi="Arial"/>
          <w:sz w:val="16"/>
          <w:szCs w:val="16"/>
          <w:color w:val="auto"/>
        </w:rPr>
        <w:t>In 2007, the Company sold its medical device franchise to Boston Scientific Corporation for net aggregate payments of $43 million, receiving $13 million in 2007 and $15 million in each of 2008 and 2009. Since this divesture, we have dedicated our efforts and resources to the development and commercialization of cancer drugs including tumor-targeting treatments using focused heat energy in combination with heat-activated drug delivery systems. To support our research and development, we have raised gross proceeds of approximately $95 million in equity financings and warrant and option exercises in the years 2009 through 2013. In January 2014, the Company raised net proceeds of $14 million through an equity financing and, including its cash, investments and interest receivable totaling $43.1 million at the end 2013, has $57 million to fund its operations in 2014 and beyond. During 2012 and 2013, the Company secured two credit facilities totaling $20 million collectively and currently has up to $15 million remaining under the surviving facility.</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5, 2008, we entered into a development, product supply and commercialization agreement with Yakult Honsha Co., Ltd. (the Yakult Agreement) under which we granted Yakult an exclusive right to commercialize and market ThermoDox® for the Japanese market. We received a $2.5 million upfront licensing fee and may receive additional payments from Yakult upon receipt of marketing approval by the Japanese Ministry of Health, Labor and Welfare as well as upon the achievement of certain levels of sales and approval for new indications. Under the Yakult Agreement, we will receive double-digit escalating royalties on the sale of ThermoDox® in Japan, when and if any such sales occur and we also will be the exclusive supplier of ThermoDox® to Yakult. In January 2011, we amended the Yakult Agreement to provide for up to $4.0 million in an accelerated partial payment to us of a future drug approval milestone which included $2.0 million paid to us upon the closing of the preferred equity financing and an additional $2.0 million conditioned upon the resumption of enrollment of Japanese patients in the Japan cohort of the HEAT Study. In consideration of these accelerated milestone payments from Yakult, we agreed to reduce future drug approval milestone payments by approximately forty percent (40%). All other milestone payments are unaffected.</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6, 2012, we entered into a long-term commercial supply agreement with Zhejiang Hisun Pharmaceutical Co. Ltd. (Hisun) for the production of ThermoDox® in mainland China, Hong Kong and Macau (the China territory). Hisun will be responsible for providing all of the technical and regulatory support services for the manufacture of ThermoDox® in the China territory and we will repay Hisun the related development costs and fees, which we expect to be approximately $2.0 million in total, commencing on the successful completion of three registrational batches of ThermoDox®. On January 18, 2013, we broadened our relationship with Hisun by entering into a technology development contract, pursuant to which Hisun paid us a non-refundable research and development fee of $5.0 million to support our development of ThermoDox® and we will provide research data and other technical support in relation to a regulatory filing by Hisun in China for approval of ThermoDox®. Following our announcement of the HEAT Study results on January 31, 2013, we and Hisun have agreed that the technology development contract entered into on January 18, 2013 will remain in effect while the parties continue to collaborate the next steps in relation to ThermoDox®, which include the continued subgroup analysis of the Chinese cohort of patients in the HEAT Study for primary liver cancer and other activities to further the development of ThermoDox® for the China territory.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MONTHS ENDED MARCH 31,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2014, our net loss was $5.4 million compared to $0.7 million for the same period of 2013. As of March 31, 2014, we had $52.2 million in cash and short-term investments including accrued interest from short term investments.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8"/>
          </w:tcPr>
          <w:p>
            <w:pPr>
              <w:jc w:val="right"/>
              <w:ind w:right="1050"/>
              <w:spacing w:after="0"/>
              <w:rPr>
                <w:sz w:val="20"/>
                <w:szCs w:val="20"/>
                <w:color w:val="auto"/>
              </w:rPr>
            </w:pPr>
            <w:r>
              <w:rPr>
                <w:rFonts w:ascii="Arial" w:cs="Arial" w:eastAsia="Arial" w:hAnsi="Arial"/>
                <w:sz w:val="18"/>
                <w:szCs w:val="18"/>
                <w:b w:val="1"/>
                <w:bCs w:val="1"/>
                <w:color w:val="auto"/>
                <w:w w:val="94"/>
              </w:rPr>
              <w:t>Three Months Ended March 31,</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191"/>
        </w:trPr>
        <w:tc>
          <w:tcPr>
            <w:tcW w:w="5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0"/>
              </w:rPr>
              <w:t>Change</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4"/>
        </w:trPr>
        <w:tc>
          <w:tcPr>
            <w:tcW w:w="5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5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3"/>
          </w:tcPr>
          <w:p>
            <w:pPr>
              <w:spacing w:after="0"/>
              <w:rPr>
                <w:sz w:val="18"/>
                <w:szCs w:val="18"/>
                <w:color w:val="auto"/>
              </w:rPr>
            </w:pPr>
          </w:p>
        </w:tc>
        <w:tc>
          <w:tcPr>
            <w:tcW w:w="740" w:type="dxa"/>
            <w:vAlign w:val="bottom"/>
            <w:gridSpan w:val="2"/>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gridSpan w:val="3"/>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12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2,033</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7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r>
      <w:tr>
        <w:trPr>
          <w:trHeight w:val="216"/>
        </w:trPr>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20"/>
        </w:trPr>
        <w:tc>
          <w:tcPr>
            <w:tcW w:w="5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10"/>
        </w:trPr>
        <w:tc>
          <w:tcPr>
            <w:tcW w:w="512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(310)</w:t>
            </w:r>
          </w:p>
        </w:tc>
        <w:tc>
          <w:tcPr>
            <w:tcW w:w="7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216"/>
        </w:trPr>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w:t>
            </w:r>
          </w:p>
        </w:tc>
        <w:tc>
          <w:tcPr>
            <w:tcW w:w="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w:t>
            </w:r>
          </w:p>
        </w:tc>
      </w:tr>
      <w:tr>
        <w:trPr>
          <w:trHeight w:val="20"/>
        </w:trPr>
        <w:tc>
          <w:tcPr>
            <w:tcW w:w="5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10"/>
        </w:trPr>
        <w:tc>
          <w:tcPr>
            <w:tcW w:w="51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4,892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435</w:t>
            </w:r>
          </w:p>
        </w:tc>
        <w:tc>
          <w:tcPr>
            <w:tcW w:w="7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r>
      <w:tr>
        <w:trPr>
          <w:trHeight w:val="210"/>
        </w:trPr>
        <w:tc>
          <w:tcPr>
            <w:tcW w:w="5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(5,202)</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(4,767)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435</w:t>
            </w:r>
          </w:p>
        </w:tc>
        <w:tc>
          <w:tcPr>
            <w:tcW w:w="720" w:type="dxa"/>
            <w:vAlign w:val="bottom"/>
          </w:tcPr>
          <w:p>
            <w:pPr>
              <w:spacing w:after="0"/>
              <w:rPr>
                <w:sz w:val="18"/>
                <w:szCs w:val="18"/>
                <w:color w:val="auto"/>
              </w:rPr>
            </w:pPr>
          </w:p>
        </w:tc>
        <w:tc>
          <w:tcPr>
            <w:tcW w:w="740" w:type="dxa"/>
            <w:vAlign w:val="bottom"/>
            <w:gridSpan w:val="2"/>
          </w:tcPr>
          <w:p>
            <w:pPr>
              <w:jc w:val="right"/>
              <w:ind w:right="120"/>
              <w:spacing w:after="0" w:line="216" w:lineRule="exact"/>
              <w:rPr>
                <w:sz w:val="20"/>
                <w:szCs w:val="20"/>
                <w:color w:val="auto"/>
              </w:rPr>
            </w:pPr>
            <w:r>
              <w:rPr>
                <w:rFonts w:ascii="Arial" w:cs="Arial" w:eastAsia="Arial" w:hAnsi="Arial"/>
                <w:sz w:val="14"/>
                <w:szCs w:val="14"/>
                <w:color w:val="auto"/>
              </w:rPr>
              <w:t>9.1</w:t>
            </w:r>
            <w:r>
              <w:rPr>
                <w:rFonts w:ascii="Arial" w:cs="Arial" w:eastAsia="Arial" w:hAnsi="Arial"/>
                <w:sz w:val="25"/>
                <w:szCs w:val="25"/>
                <w:color w:val="auto"/>
                <w:vertAlign w:val="superscript"/>
              </w:rPr>
              <w:t>%</w:t>
            </w:r>
          </w:p>
        </w:tc>
      </w:tr>
      <w:tr>
        <w:trPr>
          <w:trHeight w:val="20"/>
        </w:trPr>
        <w:tc>
          <w:tcPr>
            <w:tcW w:w="5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research and development fee of $5 million to support our development of ThermoDox® in the China territory. The $5.0 million received as a non-refundable payment from Hisun in the first quarter 2013 has been recorded to deferred revenue and will be amortized over the 10 year term of the agreement; therefore we recorded deferred revenue of $125,000 in each of the first quarters of 2014 and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Research and development (R&amp;D) expenses decreased by $0.3 million from $3.2 million in the first quarter of 2013 to $2.9 million in the same period of 2014. Costs associated with the HEAT Study decreased to $0.3 million in the first quarter of 2014 from $1.3 million in the same period of 2013 primarily due to the reduced costs associated with the HEAT Study as we follow patients for overall survival. We incurred costs of $0.7 million related to the initiation of the OPTIMA Study in the first quarter of 2014. Costs associated with our recurrent chest wall breast cancer clinical trial remained relatively unchanged at $0.1 million in the first quarter of 2014 and 2013. Other R&amp;D costs related to preclinical operations and regulatory operations remained unchanged at $0.1 million in the first quarter of 2014 compared to the same period of 2013. Costs associated with the production of ThermoDox® decreased slightly to $1.1 million in the first quarter of 2014 compared to $1.2 million incurred during the first quarter of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(G&amp;A) expenses increased by $0.7 million to $2.4 million in the first quarter of 2014 compared to $1.7 million in the same period of 2013. This increase is primarily the result of increases in insurance costs ($0.2 million) coupled with increases in personnel costs ($0.5 million). Higher personnel costs reflect $0.2 million increase in non-cash stock option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auto"/>
        </w:rPr>
        <w:t>Other Expense and Income and Interest Expense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warrant liability was incurred as a result of warrants we issued in a public offering in September 2009 and are required to be recorded at fair value at each balance sheet date with changes in fair value recorded in earnings. This liability associated with these warrants is calculated at its fair market value using the Black-Scholes option-pricing model and is adjusted at the end of each quarter. At March 31, 2014, the fair value of this liability was $0 and the resulting benefit was insignificant in the first quarter of 2014. At March 31, 2013, the decrease in the fair value of this liability resulted in the Company recording a non-cash benefit of $4.3 million based on the change in the fair value of the warrants during the first quarter of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$0.2 million in interest expense in each of the first quarters of 2014 and 2013 in connection with its debt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excluding the net aggregate payments received from Boston Scientific of $43 million through the divestiture of our medical device business in 2007 (which we received in installments of $13 million in 2007 and $15 million in each of 2008 and 2009), we have incurred significant losses and negative cash flows from operations. We have financed our operations primarily through the net proceeds we received in this divesture, subsequent sales of equity, credit facilities and amounts received under our product licensing agreement with Yakult and our technology development agreement with Hisun. The process of developing and commercializing ThermoDox®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$175 million at March 31, 2014.</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2014, we had total current assets of $52.8 million (including cash, cash equivalents and short term investments and related interest receivable on short term investments of $52.2 million) and current liabilities of $5.2 million, resulting in net working capital of $47.6 million. At December 31, 2013 we had total current assets of $43.8 million (including cash, cash equivalents and short term investments and related interest receivable on short term investments of $43.1 million) and current liabilities of $4.7 million, resulting in net working capital of $39.1 million.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for the first quarter of 2014 was $4.8 million. The net loss for the first quarter of 2014 included $0.6 million in non-cash stock-based compensation expense.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$4.8 million net cash used in operating activities was mostly funded from cash and short term investments. At March 31, 2014, we had cash, cash equivalents and short term investments and related interest receivable on short term investments of $52.2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$13.8 million during the first quarter of 2014 which resulted from the net proceeds from sale of 3,603,604 shares of its common stock in a registered direct offering the Company completed in January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2014, the Company sold in a registered direct offering, an aggregate of 3,603,604 shares of common stock and warrants to purchase up to 1,801,802 shares of Common Stock, for an aggregate purchase price of approximately $15 million.</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25, 2013, the Company entered into the Hercules Credit Agreement, pursuant to which the Company may borrow a secured term loan of up to $20 million in multiple tranches. The Company drew the first tranche of $5 million at the closing on November 25, 2013 and used approximately $4 million of the proceeds to repay the outstanding obligations under a loan agreement with Oxford Finance LLC and Horizon Technology Finance Corporation. The Company may request an additional $15 million in up to three advances with each advance in a minimum amount of $5 million, unless otherwise agreed upon by the Company and Hercules, before June 30, 2014 unless extended upon Hercules’ consent. The loan bears an interest at a floating per annum rate equal to the greater of (i) 11.25 percent and (ii) the sum of 11.25 percent plus the prime rate minus 3.25 percent. Payments under the loan agreement are interest only for the first twelve months after loan closing, followed by a 30-month amortization period of principal and interest through the scheduled maturity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79" w:lineRule="auto"/>
        <w:rPr>
          <w:sz w:val="20"/>
          <w:szCs w:val="20"/>
          <w:color w:val="auto"/>
        </w:rPr>
      </w:pPr>
      <w:r>
        <w:rPr>
          <w:rFonts w:ascii="Arial" w:cs="Arial" w:eastAsia="Arial" w:hAnsi="Arial"/>
          <w:sz w:val="17"/>
          <w:szCs w:val="17"/>
          <w:color w:val="auto"/>
        </w:rPr>
        <w:t>We believe that our cash and investment resources of $52.2 million on hand at March 31, 2014 are sufficient to fund operations through 2016.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The Company pays Cantor a commission of 3% of the aggregate gross proceeds from each sale of ATM Shares. From February 1, 2013 through February 25, 2013, the Company has sold and issued an aggregate of 1,195,927 shares under the ATM Agreement, receiving approximately $6.8 million in net proceeds. In connection with the registered direct offering in January 2014, the Company agreed not to sell any ATM Shares until July 22, 2014.</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eliminate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off-balance sheet financing arrangements. There were no material changes during the three months ended March 31, 2014 to our operating leases, which are disclosed in the contractual commitments table in our Annual Report on Form 10-K for the fiscal year ended December 31, 2013 filed on March 13, 2014 with the Securities and Exchange Commission.</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balance sheet at fair value with unrealized gains or losses reported as a component of accumulated other comprehensive income (loss) included in stockholders’ equity.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2014,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three months ended March 31, 2014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is a summary of the risk factors, uncertainties and assumptions that we believe are most relevant to our business. These are factors that, individually or in the aggregate, we think could cause our actual results to differ significantly from anticipated or historical results and our forward-looking statements. Additional risks that we currently believe are immaterial may also impair our business operations. Investors should carefully consider the risks described below before making an investment decision, and you should understand that it is not possible to predict or identify all such factors. Consequently, you should not consider the following to be a complete discussion of all potential risks or uncertainties.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2013 filed on March 13, 2014 with the Securities and Exchange Commission (SEC). In assessing these risks, investors should also refer to the other information contained or incorporated by reference in this Quarterly Report on Form 10-Q and our Annual Report on Form 10-K for the fiscal year ended December 31, 2013 filed on March 13, 2014 with the SEC including our consolidated financial statements and related notes, and our other filings made from time to time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$175 million at March 31, 2014. For the years ended December 31, 2011, 2012, 2013 and the three months ended March 31, 2014, we incurred a net loss of $23.2 million, $26.6 million, $8.3 million and $5.4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and other new products and these products have been clinically tested, approved by the U.S.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meets its primary endpoint in the Phase III HEAT Study.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We expect to launch a pivotal, double-blind, placebo-controlled Phase III trial of ThermoDox® in combination with RFA in primary liver cancer, known as the OPTIMA study,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very risky. It will take us several years to complete clinical trials.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This process generally takes a number of years and requires the expenditure of substantial resources. The time required for completing testing and obtaining approvals is uncertain, and the FDA and foreign regulatory agencies have substantial discretion, at any phase of development, to terminate clinical studies, require additional clinical development or other testing, delay or withhold registration and marketing approval and mandate product withdrawals, including recalls. In addition, undesirable side effects caused by our drug candidates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any product marketing limitations or a product withdrawal would negatively impact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is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 to follow the patients enrolled in the Heat study to the secondary endpoint, overall survival. Based on the overall survival data from the post-hoc analysis of results from the HEAT Study, launched a pivotal, double-blind, placebo-controlled Phase III trial of ThermoDox® in combination with RFA in primary liver cancer, known as the OPTIMA Study, in the first quarter of 2014. ThermoDox® is currently also being evaluated in Phase II clinical trials and other preclinical studies. We do not expect to realize any revenue from product sales in the next several years, if at all. Accordingly, our revenue sources are, and will remain, extremely limited until our product candidates are clinically tested, approved by the FDA or foreign regulatory agencies and successfully marketed. We cannot guarantee that any of our product candidates will be successfully tested, approved by the FDA or foreign regulatory agency or marketed, successfully or otherwise, at any time in the foreseeable future or at all.</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March 31, 2014, we had approximately $52.2 million in cash, cash equivalents and short-term investments. We have substantial future capital requirements to continue our research and development activities and advance our drug candidates through various development stages. For example, ThermoDox® is being evaluated in a Phase II clinical trial for recurrent chest wall breast cancer and other preclinical studies</w:t>
      </w:r>
      <w:r>
        <w:rPr>
          <w:rFonts w:ascii="Arial" w:cs="Arial" w:eastAsia="Arial" w:hAnsi="Arial"/>
          <w:sz w:val="17"/>
          <w:szCs w:val="17"/>
          <w:color w:val="auto"/>
          <w:strike w:val="1"/>
        </w:rPr>
        <w:t>,</w:t>
      </w:r>
      <w:r>
        <w:rPr>
          <w:rFonts w:ascii="Arial" w:cs="Arial" w:eastAsia="Arial" w:hAnsi="Arial"/>
          <w:sz w:val="17"/>
          <w:szCs w:val="17"/>
          <w:color w:val="auto"/>
        </w:rPr>
        <w:t xml:space="preserve"> and we launched the OPTIMA study in the first quarter of 2014. We will continue to conduct additional analyses of the data from the HEAT Study to assess the future strategic value of ThermoDox® and are performing sub-group analysis of the Chinese cohort of patients in the HEAT Study and other activities for further development of ThermoDox® for mainland China, Hong Kong and Macau. 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successfully engage in strategic transactions, which could adversely affect our ability to develop and commercialize product candidates, impact our cash position, increase our expense and present significant distractions to our management.</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We have entered into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Additionally, we have a joint research agreement with Philips Healthcare, a division of Royal Philips Electronics, to evaluate the combination of Philips’ high intensity focused ultrasound (HIFU) with ThermoDox® to determine the potential of this combination to treat a broad range of cancers. If we breach any provisions of the license and research agreements, we may our ability to use the subject technology, as well as compensation for our efforts in developing or exploiting the technology. Any such loss of rights and access to technology could have a material adverse effect on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 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rely, and expect to continue to rely, on third-party clinical investigators, clinical research organizations (CROs), clinical data management organizations and consultants to design, conduct, supervise and monitor our clinical trials. Because we do not have the ability to conduct our own clinical trials, we must rely on the efforts of others and have limited control over, and cannot predict accurately, the timing of such trials, the costs associated with such trials or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76" w:lineRule="auto"/>
        <w:rPr>
          <w:sz w:val="20"/>
          <w:szCs w:val="20"/>
          <w:color w:val="auto"/>
        </w:rPr>
      </w:pPr>
      <w:r>
        <w:rPr>
          <w:rFonts w:ascii="Arial" w:cs="Arial" w:eastAsia="Arial" w:hAnsi="Arial"/>
          <w:sz w:val="17"/>
          <w:szCs w:val="17"/>
          <w:color w:val="auto"/>
        </w:rPr>
        <w:t>In all events, we are responsible for ensuring that each of our clinical trials is conducted in accordance with the general investigational plan and protocols for the trial. The FDA requires clinical trials to be conducted in accordance with good clinical practices, including for conducting, recording and reporting the results of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such event could have a material adverse effect on our business, financial condition, results of operations and prospects.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 A Form 483 notice is generally issued at the conclusion of an FDA inspection and lists conditions the FDA inspectors believe may violate FDA regulations. FDA guidelines specify that a warning letter is issued only for violations of “regulatory significance” for which the failure to adequately and promptly achieve correction may be expected to result in an enforcement action.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These actual and potential changes are causing the marketplace to put increased emphasis on the delivery of more cost-effective treatments. In addition, uncertainty remains regarding proposed significant reforms to the U.S. health care system.</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payers as clinically useful, cost effective and safe. Any or our drug candidates may prove not to be effective in practice. If testing and clinical practice do not confirm the safety and efficacy of our product candidates or even if further testing and clinical practice produce positive results but the medical community does not view these new forms of treatment as effective and desirable, our efforts to market our new products may fail, which would have an adverse effect on our business, financial condition and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products and business.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significantly on the continued contributions of our executive officers, scientific and technical personnel and consultants, and on our ability to attract additional personnel as we seek to implement our business strategy and develop our products and businesses.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$42.12 and a low price of $3.47 in the 52-week period ended December 31, 2013, as adjusted to reflect the 4.5-to-1 reverse split of our common stock effected as of October 28, 2013, and a high price of $4.57 and a low price of $3.03 from January 2, 2014 through May 7, 2014. Among the factors that may cause the market price of our common stock to fluctuate are the risks described in this “Risk Factors” section and other factors, including: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1340" w:hanging="805"/>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 especially changes in laws and regulations applicable to our product candidates;</w:t>
      </w:r>
    </w:p>
    <w:p>
      <w:pPr>
        <w:spacing w:after="0" w:line="170" w:lineRule="exact"/>
        <w:rPr>
          <w:rFonts w:ascii="Arial" w:cs="Arial" w:eastAsia="Arial" w:hAnsi="Arial"/>
          <w:sz w:val="18"/>
          <w:szCs w:val="18"/>
          <w:color w:val="auto"/>
        </w:rPr>
      </w:pPr>
    </w:p>
    <w:p>
      <w:pPr>
        <w:ind w:left="1340" w:hanging="805"/>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170"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or our competitors, and the timing of these introductions or announcements;</w:t>
      </w:r>
    </w:p>
    <w:p>
      <w:pPr>
        <w:spacing w:after="0" w:line="236" w:lineRule="exact"/>
        <w:rPr>
          <w:rFonts w:ascii="Arial" w:cs="Arial" w:eastAsia="Arial" w:hAnsi="Arial"/>
          <w:sz w:val="17"/>
          <w:szCs w:val="17"/>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1340" w:hanging="805"/>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 and</w:t>
      </w:r>
    </w:p>
    <w:p>
      <w:pPr>
        <w:spacing w:after="0" w:line="225" w:lineRule="exact"/>
        <w:rPr>
          <w:rFonts w:ascii="Arial" w:cs="Arial" w:eastAsia="Arial" w:hAnsi="Arial"/>
          <w:sz w:val="18"/>
          <w:szCs w:val="18"/>
          <w:color w:val="auto"/>
        </w:rPr>
      </w:pPr>
    </w:p>
    <w:p>
      <w:pPr>
        <w:ind w:left="1340" w:hanging="8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May 7, 2014, we had 17,217,066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order to raise additional capital or pursue strategic transactions, we may in the future offer, issue or sell additional shares of our common stock or other securities convertible into or exchangeable for our common stock. Our stockholders may experience significant dilution as a result of future equity offerings or issuance. Investors purchasing shares or other securities in the future could have rights superior to existing stockholders. As of May 7, 2014, we have a significant number of securities convertible into, or allowing the purchase of, our common stock, including 5,069,815 shares of common stock issuable upon exercise of warrants outstanding, 1,175,071 options to purchase shares of our common stock and restricted stock awards outstanding, and 14,475 shares of common stock reserved for future issuance under our stock incentive plans. Under the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entered into with Cantor Fitzgerald &amp; Co. on February 1, 2013, we may offer and sell, from time to time through “at-the-market” offerings, up to an aggregate of $25 million of shares of our common stock and we only sold $6.8 million under the agreement as of May 7, 2014.</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May 7, 2014, the closing sale price of our common stock was $3.19, the total market value of our publicly held shares of our common stock (excluding shares held by our executive officers, directors and 10% or more stockholders) was approximately $54 million and the total market value of our listed securities was approximately $55 million. There is no assurance that we will continue to meet the minimum closing price requirement and other listing requirements. As of March 31, 2014, we had stockholders’ equity of $40.6 million.</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28, 2013, we effected a 4.5-to-1 reverse stock split of our common stock primarily for purposes of increasing the market price of our common stock, among others, and our common stock started to trade on the post-split basis on October 29, 2013. Other companies have found that the increased stock prices resulting from reverse splits tend to diminish over time unless supported by positive developments in the business. The closing price of our common stock as reported on The NASDAQ Capital Market has declined from $5.14 on October 29, 2013 to $3.19 on May 7, 2014.</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2013, 2012 and 2011 the Company performed analyses to determine if there were changes in ownership, as defined by Section 382 of the Internal Revenue Code that would limit its ability to utilize certain net operating loss and tax credit carry forwards. The Company determined that it experienced an ownership change, as defined by Section 382, in connection with certain common stock offerings on July 25, 2011, February 5, 2013 and on June 3, 2013. As a result, the utilization of the Company's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634"/>
        </w:trPr>
        <w:tc>
          <w:tcPr>
            <w:tcW w:w="840" w:type="dxa"/>
            <w:vAlign w:val="bottom"/>
          </w:tcPr>
          <w:p>
            <w:pPr>
              <w:ind w:left="300"/>
              <w:spacing w:after="0"/>
              <w:rPr>
                <w:sz w:val="20"/>
                <w:szCs w:val="20"/>
                <w:color w:val="auto"/>
              </w:rPr>
            </w:pPr>
            <w:r>
              <w:rPr>
                <w:rFonts w:ascii="Arial" w:cs="Arial" w:eastAsia="Arial" w:hAnsi="Arial"/>
                <w:sz w:val="18"/>
                <w:szCs w:val="18"/>
                <w:color w:val="auto"/>
              </w:rPr>
              <w:t>4.1</w:t>
            </w:r>
          </w:p>
        </w:tc>
        <w:tc>
          <w:tcPr>
            <w:tcW w:w="10260" w:type="dxa"/>
            <w:vAlign w:val="bottom"/>
          </w:tcPr>
          <w:p>
            <w:pPr>
              <w:ind w:left="540"/>
              <w:spacing w:after="0"/>
              <w:rPr>
                <w:sz w:val="20"/>
                <w:szCs w:val="20"/>
                <w:color w:val="auto"/>
              </w:rPr>
            </w:pPr>
            <w:r>
              <w:rPr>
                <w:rFonts w:ascii="Arial" w:cs="Arial" w:eastAsia="Arial" w:hAnsi="Arial"/>
                <w:sz w:val="18"/>
                <w:szCs w:val="18"/>
                <w:color w:val="auto"/>
                <w:w w:val="91"/>
              </w:rPr>
              <w:t>Form of Series A Common Stock Purchase Warrant incorporated herein by reference to Exhibit 4.1 to the Current Report on Form 8-</w:t>
            </w:r>
          </w:p>
        </w:tc>
      </w:tr>
      <w:tr>
        <w:trPr>
          <w:trHeight w:val="230"/>
        </w:trPr>
        <w:tc>
          <w:tcPr>
            <w:tcW w:w="840" w:type="dxa"/>
            <w:vAlign w:val="bottom"/>
          </w:tcPr>
          <w:p>
            <w:pPr>
              <w:spacing w:after="0"/>
              <w:rPr>
                <w:sz w:val="20"/>
                <w:szCs w:val="20"/>
                <w:color w:val="auto"/>
              </w:rPr>
            </w:pPr>
          </w:p>
        </w:tc>
        <w:tc>
          <w:tcPr>
            <w:tcW w:w="10260" w:type="dxa"/>
            <w:vAlign w:val="bottom"/>
          </w:tcPr>
          <w:p>
            <w:pPr>
              <w:ind w:left="540"/>
              <w:spacing w:after="0"/>
              <w:rPr>
                <w:sz w:val="20"/>
                <w:szCs w:val="20"/>
                <w:color w:val="auto"/>
              </w:rPr>
            </w:pPr>
            <w:r>
              <w:rPr>
                <w:rFonts w:ascii="Arial" w:cs="Arial" w:eastAsia="Arial" w:hAnsi="Arial"/>
                <w:sz w:val="18"/>
                <w:szCs w:val="18"/>
                <w:color w:val="auto"/>
              </w:rPr>
              <w:t>K of the Company filed with the SEC on January 21, 2014.</w:t>
            </w:r>
          </w:p>
        </w:tc>
      </w:tr>
      <w:tr>
        <w:trPr>
          <w:trHeight w:val="418"/>
        </w:trPr>
        <w:tc>
          <w:tcPr>
            <w:tcW w:w="840" w:type="dxa"/>
            <w:vAlign w:val="bottom"/>
          </w:tcPr>
          <w:p>
            <w:pPr>
              <w:ind w:left="300"/>
              <w:spacing w:after="0"/>
              <w:rPr>
                <w:sz w:val="20"/>
                <w:szCs w:val="20"/>
                <w:color w:val="auto"/>
              </w:rPr>
            </w:pPr>
            <w:r>
              <w:rPr>
                <w:rFonts w:ascii="Arial" w:cs="Arial" w:eastAsia="Arial" w:hAnsi="Arial"/>
                <w:sz w:val="18"/>
                <w:szCs w:val="18"/>
                <w:color w:val="auto"/>
              </w:rPr>
              <w:t>4.2</w:t>
            </w:r>
          </w:p>
        </w:tc>
        <w:tc>
          <w:tcPr>
            <w:tcW w:w="10260" w:type="dxa"/>
            <w:vAlign w:val="bottom"/>
          </w:tcPr>
          <w:p>
            <w:pPr>
              <w:ind w:left="540"/>
              <w:spacing w:after="0"/>
              <w:rPr>
                <w:sz w:val="20"/>
                <w:szCs w:val="20"/>
                <w:color w:val="auto"/>
              </w:rPr>
            </w:pPr>
            <w:r>
              <w:rPr>
                <w:rFonts w:ascii="Arial" w:cs="Arial" w:eastAsia="Arial" w:hAnsi="Arial"/>
                <w:sz w:val="18"/>
                <w:szCs w:val="18"/>
                <w:color w:val="auto"/>
                <w:w w:val="90"/>
              </w:rPr>
              <w:t>Form of Series B Common Stock Purchase Warrant incorporated herein by reference to Exhibit 4.2 to the Current Report on Form 8-K</w:t>
            </w:r>
          </w:p>
        </w:tc>
      </w:tr>
      <w:tr>
        <w:trPr>
          <w:trHeight w:val="230"/>
        </w:trPr>
        <w:tc>
          <w:tcPr>
            <w:tcW w:w="840" w:type="dxa"/>
            <w:vAlign w:val="bottom"/>
          </w:tcPr>
          <w:p>
            <w:pPr>
              <w:spacing w:after="0"/>
              <w:rPr>
                <w:sz w:val="20"/>
                <w:szCs w:val="20"/>
                <w:color w:val="auto"/>
              </w:rPr>
            </w:pPr>
          </w:p>
        </w:tc>
        <w:tc>
          <w:tcPr>
            <w:tcW w:w="10260" w:type="dxa"/>
            <w:vAlign w:val="bottom"/>
          </w:tcPr>
          <w:p>
            <w:pPr>
              <w:ind w:left="540"/>
              <w:spacing w:after="0"/>
              <w:rPr>
                <w:sz w:val="20"/>
                <w:szCs w:val="20"/>
                <w:color w:val="auto"/>
              </w:rPr>
            </w:pPr>
            <w:r>
              <w:rPr>
                <w:rFonts w:ascii="Arial" w:cs="Arial" w:eastAsia="Arial" w:hAnsi="Arial"/>
                <w:sz w:val="18"/>
                <w:szCs w:val="18"/>
                <w:color w:val="auto"/>
              </w:rPr>
              <w:t>of the Company filed with the SEC on January 21, 2014.</w:t>
            </w:r>
          </w:p>
        </w:tc>
      </w:tr>
      <w:tr>
        <w:trPr>
          <w:trHeight w:val="418"/>
        </w:trPr>
        <w:tc>
          <w:tcPr>
            <w:tcW w:w="840" w:type="dxa"/>
            <w:vAlign w:val="bottom"/>
          </w:tcPr>
          <w:p>
            <w:pPr>
              <w:ind w:left="300"/>
              <w:spacing w:after="0"/>
              <w:rPr>
                <w:sz w:val="20"/>
                <w:szCs w:val="20"/>
                <w:color w:val="auto"/>
              </w:rPr>
            </w:pPr>
            <w:r>
              <w:rPr>
                <w:rFonts w:ascii="Arial" w:cs="Arial" w:eastAsia="Arial" w:hAnsi="Arial"/>
                <w:sz w:val="18"/>
                <w:szCs w:val="18"/>
                <w:color w:val="auto"/>
              </w:rPr>
              <w:t>10.1</w:t>
            </w:r>
          </w:p>
        </w:tc>
        <w:tc>
          <w:tcPr>
            <w:tcW w:w="10260" w:type="dxa"/>
            <w:vAlign w:val="bottom"/>
          </w:tcPr>
          <w:p>
            <w:pPr>
              <w:ind w:left="540"/>
              <w:spacing w:after="0"/>
              <w:rPr>
                <w:sz w:val="20"/>
                <w:szCs w:val="20"/>
                <w:color w:val="auto"/>
              </w:rPr>
            </w:pPr>
            <w:r>
              <w:rPr>
                <w:rFonts w:ascii="Arial" w:cs="Arial" w:eastAsia="Arial" w:hAnsi="Arial"/>
                <w:sz w:val="18"/>
                <w:szCs w:val="18"/>
                <w:color w:val="auto"/>
                <w:w w:val="91"/>
              </w:rPr>
              <w:t>Securities Purchase Agreement dated as of January 15, 2014, by and among Celsion Corporation and the purchasers named therein</w:t>
            </w:r>
          </w:p>
        </w:tc>
      </w:tr>
      <w:tr>
        <w:trPr>
          <w:trHeight w:val="216"/>
        </w:trPr>
        <w:tc>
          <w:tcPr>
            <w:tcW w:w="840" w:type="dxa"/>
            <w:vAlign w:val="bottom"/>
          </w:tcPr>
          <w:p>
            <w:pPr>
              <w:spacing w:after="0"/>
              <w:rPr>
                <w:sz w:val="18"/>
                <w:szCs w:val="18"/>
                <w:color w:val="auto"/>
              </w:rPr>
            </w:pPr>
          </w:p>
        </w:tc>
        <w:tc>
          <w:tcPr>
            <w:tcW w:w="10260" w:type="dxa"/>
            <w:vAlign w:val="bottom"/>
          </w:tcPr>
          <w:p>
            <w:pPr>
              <w:ind w:left="540"/>
              <w:spacing w:after="0"/>
              <w:rPr>
                <w:sz w:val="20"/>
                <w:szCs w:val="20"/>
                <w:color w:val="auto"/>
              </w:rPr>
            </w:pPr>
            <w:r>
              <w:rPr>
                <w:rFonts w:ascii="Arial" w:cs="Arial" w:eastAsia="Arial" w:hAnsi="Arial"/>
                <w:sz w:val="18"/>
                <w:szCs w:val="18"/>
                <w:color w:val="auto"/>
                <w:w w:val="91"/>
              </w:rPr>
              <w:t>incorporated herein by reference to Exhibit 10.1 to the Current Report on Form 8-K of the Company filed with the SEC on January 21,</w:t>
            </w:r>
          </w:p>
        </w:tc>
      </w:tr>
      <w:tr>
        <w:trPr>
          <w:trHeight w:val="230"/>
        </w:trPr>
        <w:tc>
          <w:tcPr>
            <w:tcW w:w="840" w:type="dxa"/>
            <w:vAlign w:val="bottom"/>
          </w:tcPr>
          <w:p>
            <w:pPr>
              <w:spacing w:after="0"/>
              <w:rPr>
                <w:sz w:val="20"/>
                <w:szCs w:val="20"/>
                <w:color w:val="auto"/>
              </w:rPr>
            </w:pPr>
          </w:p>
        </w:tc>
        <w:tc>
          <w:tcPr>
            <w:tcW w:w="10260" w:type="dxa"/>
            <w:vAlign w:val="bottom"/>
          </w:tcPr>
          <w:p>
            <w:pPr>
              <w:ind w:left="540"/>
              <w:spacing w:after="0"/>
              <w:rPr>
                <w:sz w:val="20"/>
                <w:szCs w:val="20"/>
                <w:color w:val="auto"/>
              </w:rPr>
            </w:pPr>
            <w:r>
              <w:rPr>
                <w:rFonts w:ascii="Arial" w:cs="Arial" w:eastAsia="Arial" w:hAnsi="Arial"/>
                <w:sz w:val="18"/>
                <w:szCs w:val="18"/>
                <w:color w:val="auto"/>
              </w:rPr>
              <w:t>2014.</w:t>
            </w:r>
          </w:p>
        </w:tc>
      </w:tr>
      <w:tr>
        <w:trPr>
          <w:trHeight w:val="472"/>
        </w:trPr>
        <w:tc>
          <w:tcPr>
            <w:tcW w:w="840" w:type="dxa"/>
            <w:vAlign w:val="bottom"/>
          </w:tcPr>
          <w:p>
            <w:pPr>
              <w:ind w:left="300"/>
              <w:spacing w:after="0"/>
              <w:rPr>
                <w:sz w:val="20"/>
                <w:szCs w:val="20"/>
                <w:color w:val="auto"/>
              </w:rPr>
            </w:pPr>
            <w:r>
              <w:rPr>
                <w:rFonts w:ascii="Arial" w:cs="Arial" w:eastAsia="Arial" w:hAnsi="Arial"/>
                <w:sz w:val="18"/>
                <w:szCs w:val="18"/>
                <w:color w:val="auto"/>
              </w:rPr>
              <w:t>31.1+</w:t>
            </w:r>
          </w:p>
        </w:tc>
        <w:tc>
          <w:tcPr>
            <w:tcW w:w="10260" w:type="dxa"/>
            <w:vAlign w:val="bottom"/>
          </w:tcPr>
          <w:p>
            <w:pPr>
              <w:ind w:left="540"/>
              <w:spacing w:after="0"/>
              <w:rPr>
                <w:sz w:val="20"/>
                <w:szCs w:val="20"/>
                <w:color w:val="auto"/>
              </w:rPr>
            </w:pPr>
            <w:r>
              <w:rPr>
                <w:rFonts w:ascii="Arial" w:cs="Arial" w:eastAsia="Arial" w:hAnsi="Arial"/>
                <w:sz w:val="18"/>
                <w:szCs w:val="18"/>
                <w:color w:val="auto"/>
                <w:w w:val="93"/>
              </w:rPr>
              <w:t>Certification of Chief Executive Officer pursuant to Rule 13a-14(a)/15d-14(a), as adopted pursuant to Section 302 of the Sarbanes-</w:t>
            </w:r>
          </w:p>
        </w:tc>
      </w:tr>
      <w:tr>
        <w:trPr>
          <w:trHeight w:val="230"/>
        </w:trPr>
        <w:tc>
          <w:tcPr>
            <w:tcW w:w="840" w:type="dxa"/>
            <w:vAlign w:val="bottom"/>
          </w:tcPr>
          <w:p>
            <w:pPr>
              <w:spacing w:after="0"/>
              <w:rPr>
                <w:sz w:val="20"/>
                <w:szCs w:val="20"/>
                <w:color w:val="auto"/>
              </w:rPr>
            </w:pPr>
          </w:p>
        </w:tc>
        <w:tc>
          <w:tcPr>
            <w:tcW w:w="10260" w:type="dxa"/>
            <w:vAlign w:val="bottom"/>
          </w:tcPr>
          <w:p>
            <w:pPr>
              <w:ind w:left="540"/>
              <w:spacing w:after="0"/>
              <w:rPr>
                <w:sz w:val="20"/>
                <w:szCs w:val="20"/>
                <w:color w:val="auto"/>
              </w:rPr>
            </w:pPr>
            <w:r>
              <w:rPr>
                <w:rFonts w:ascii="Arial" w:cs="Arial" w:eastAsia="Arial" w:hAnsi="Arial"/>
                <w:sz w:val="18"/>
                <w:szCs w:val="18"/>
                <w:color w:val="auto"/>
              </w:rPr>
              <w:t>Oxley Act of 2002.</w:t>
            </w:r>
          </w:p>
        </w:tc>
      </w:tr>
      <w:tr>
        <w:trPr>
          <w:trHeight w:val="418"/>
        </w:trPr>
        <w:tc>
          <w:tcPr>
            <w:tcW w:w="840" w:type="dxa"/>
            <w:vAlign w:val="bottom"/>
          </w:tcPr>
          <w:p>
            <w:pPr>
              <w:ind w:left="300"/>
              <w:spacing w:after="0"/>
              <w:rPr>
                <w:sz w:val="20"/>
                <w:szCs w:val="20"/>
                <w:color w:val="auto"/>
              </w:rPr>
            </w:pPr>
            <w:r>
              <w:rPr>
                <w:rFonts w:ascii="Arial" w:cs="Arial" w:eastAsia="Arial" w:hAnsi="Arial"/>
                <w:sz w:val="18"/>
                <w:szCs w:val="18"/>
                <w:color w:val="auto"/>
              </w:rPr>
              <w:t>31.2+</w:t>
            </w:r>
          </w:p>
        </w:tc>
        <w:tc>
          <w:tcPr>
            <w:tcW w:w="10260" w:type="dxa"/>
            <w:vAlign w:val="bottom"/>
          </w:tcPr>
          <w:p>
            <w:pPr>
              <w:ind w:left="540"/>
              <w:spacing w:after="0"/>
              <w:rPr>
                <w:sz w:val="20"/>
                <w:szCs w:val="20"/>
                <w:color w:val="auto"/>
              </w:rPr>
            </w:pPr>
            <w:r>
              <w:rPr>
                <w:rFonts w:ascii="Arial" w:cs="Arial" w:eastAsia="Arial" w:hAnsi="Arial"/>
                <w:sz w:val="18"/>
                <w:szCs w:val="18"/>
                <w:color w:val="auto"/>
                <w:w w:val="93"/>
              </w:rPr>
              <w:t>Certification of Chief Financial Officer pursuant to Rule 13a-14(a)/15d-14(a), as adopted pursuant to Section 302 of the Sarbanes-</w:t>
            </w:r>
          </w:p>
        </w:tc>
      </w:tr>
      <w:tr>
        <w:trPr>
          <w:trHeight w:val="230"/>
        </w:trPr>
        <w:tc>
          <w:tcPr>
            <w:tcW w:w="840" w:type="dxa"/>
            <w:vAlign w:val="bottom"/>
          </w:tcPr>
          <w:p>
            <w:pPr>
              <w:spacing w:after="0"/>
              <w:rPr>
                <w:sz w:val="20"/>
                <w:szCs w:val="20"/>
                <w:color w:val="auto"/>
              </w:rPr>
            </w:pPr>
          </w:p>
        </w:tc>
        <w:tc>
          <w:tcPr>
            <w:tcW w:w="10260" w:type="dxa"/>
            <w:vAlign w:val="bottom"/>
          </w:tcPr>
          <w:p>
            <w:pPr>
              <w:ind w:left="540"/>
              <w:spacing w:after="0"/>
              <w:rPr>
                <w:sz w:val="20"/>
                <w:szCs w:val="20"/>
                <w:color w:val="auto"/>
              </w:rPr>
            </w:pPr>
            <w:r>
              <w:rPr>
                <w:rFonts w:ascii="Arial" w:cs="Arial" w:eastAsia="Arial" w:hAnsi="Arial"/>
                <w:sz w:val="18"/>
                <w:szCs w:val="18"/>
                <w:color w:val="auto"/>
              </w:rPr>
              <w:t>Oxley Act of 2002.</w:t>
            </w:r>
          </w:p>
        </w:tc>
      </w:tr>
      <w:tr>
        <w:trPr>
          <w:trHeight w:val="432"/>
        </w:trPr>
        <w:tc>
          <w:tcPr>
            <w:tcW w:w="840" w:type="dxa"/>
            <w:vAlign w:val="bottom"/>
          </w:tcPr>
          <w:p>
            <w:pPr>
              <w:ind w:left="300"/>
              <w:spacing w:after="0"/>
              <w:rPr>
                <w:sz w:val="20"/>
                <w:szCs w:val="20"/>
                <w:color w:val="auto"/>
              </w:rPr>
            </w:pPr>
            <w:r>
              <w:rPr>
                <w:rFonts w:ascii="Arial" w:cs="Arial" w:eastAsia="Arial" w:hAnsi="Arial"/>
                <w:sz w:val="18"/>
                <w:szCs w:val="18"/>
                <w:color w:val="auto"/>
              </w:rPr>
              <w:t>32.1*</w:t>
            </w:r>
          </w:p>
        </w:tc>
        <w:tc>
          <w:tcPr>
            <w:tcW w:w="10260" w:type="dxa"/>
            <w:vAlign w:val="bottom"/>
          </w:tcPr>
          <w:p>
            <w:pPr>
              <w:ind w:left="5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2" w:lineRule="exact"/>
        <w:rPr>
          <w:sz w:val="20"/>
          <w:szCs w:val="20"/>
          <w:color w:val="auto"/>
        </w:rPr>
      </w:pPr>
    </w:p>
    <w:p>
      <w:pPr>
        <w:ind w:left="1440" w:hanging="1102"/>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1380" w:right="100" w:hanging="1079"/>
        <w:spacing w:after="0" w:line="259" w:lineRule="auto"/>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March 31, 2014, formatted in XBRL (Extensible Business Reporting Language): (i) the unaudited Balance Sheets, (ii) the unaudited Statements of Operations, (iii) the unaudited Statements of Comprehensive Loss, (iv) the unaudited Statements of Cash Flows, (v) the unaudited Statements of Change in Stockholders' Equity (Deficit), and (vi) Notes to Financial Statements.</w:t>
      </w:r>
    </w:p>
    <w:p>
      <w:pPr>
        <w:spacing w:after="0" w:line="187" w:lineRule="exact"/>
        <w:rPr>
          <w:sz w:val="20"/>
          <w:szCs w:val="20"/>
          <w:color w:val="auto"/>
        </w:rPr>
      </w:pPr>
    </w:p>
    <w:p>
      <w:pPr>
        <w:jc w:val="both"/>
        <w:ind w:left="1380" w:right="40" w:hanging="354"/>
        <w:spacing w:after="0" w:line="259"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00"/>
          </w:cols>
          <w:pgMar w:left="240" w:top="580" w:right="55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8, 2014</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14605</wp:posOffset>
            </wp:positionV>
            <wp:extent cx="3310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1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4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Michael H. Tardugno</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28816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4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W. Church</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28816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680" w:type="dxa"/>
            <w:vAlign w:val="bottom"/>
          </w:tcPr>
          <w:p>
            <w:pPr>
              <w:spacing w:after="0"/>
              <w:rPr>
                <w:sz w:val="17"/>
                <w:szCs w:val="17"/>
                <w:color w:val="auto"/>
              </w:rPr>
            </w:pPr>
          </w:p>
        </w:tc>
      </w:tr>
      <w:tr>
        <w:trPr>
          <w:trHeight w:val="488"/>
        </w:trPr>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3800" w:type="dxa"/>
            <w:vAlign w:val="bottom"/>
          </w:tcPr>
          <w:p>
            <w:pPr>
              <w:spacing w:after="0"/>
              <w:rPr>
                <w:sz w:val="24"/>
                <w:szCs w:val="24"/>
                <w:color w:val="auto"/>
              </w:rPr>
            </w:pPr>
          </w:p>
        </w:tc>
        <w:tc>
          <w:tcPr>
            <w:tcW w:w="6080" w:type="dxa"/>
            <w:vAlign w:val="bottom"/>
            <w:gridSpan w:val="2"/>
          </w:tcPr>
          <w:p>
            <w:pPr>
              <w:jc w:val="center"/>
              <w:ind w:right="3820"/>
              <w:spacing w:after="0"/>
              <w:rPr>
                <w:sz w:val="20"/>
                <w:szCs w:val="20"/>
                <w:color w:val="auto"/>
              </w:rPr>
            </w:pPr>
            <w:r>
              <w:rPr>
                <w:rFonts w:ascii="Arial" w:cs="Arial" w:eastAsia="Arial" w:hAnsi="Arial"/>
                <w:sz w:val="18"/>
                <w:szCs w:val="18"/>
                <w:b w:val="1"/>
                <w:bCs w:val="1"/>
                <w:color w:val="auto"/>
                <w:w w:val="90"/>
              </w:rPr>
              <w:t>Description of</w:t>
            </w:r>
          </w:p>
        </w:tc>
      </w:tr>
      <w:tr>
        <w:trPr>
          <w:trHeight w:val="234"/>
        </w:trPr>
        <w:tc>
          <w:tcPr>
            <w:tcW w:w="920" w:type="dxa"/>
            <w:vAlign w:val="bottom"/>
          </w:tcPr>
          <w:p>
            <w:pPr>
              <w:ind w:left="120"/>
              <w:spacing w:after="0"/>
              <w:rPr>
                <w:sz w:val="20"/>
                <w:szCs w:val="20"/>
                <w:color w:val="auto"/>
              </w:rPr>
            </w:pPr>
            <w:r>
              <w:rPr>
                <w:rFonts w:ascii="Arial" w:cs="Arial" w:eastAsia="Arial" w:hAnsi="Arial"/>
                <w:sz w:val="18"/>
                <w:szCs w:val="18"/>
                <w:b w:val="1"/>
                <w:bCs w:val="1"/>
                <w:color w:val="auto"/>
              </w:rPr>
              <w:t>Number</w:t>
            </w:r>
          </w:p>
        </w:tc>
        <w:tc>
          <w:tcPr>
            <w:tcW w:w="3800" w:type="dxa"/>
            <w:vAlign w:val="bottom"/>
          </w:tcPr>
          <w:p>
            <w:pPr>
              <w:spacing w:after="0"/>
              <w:rPr>
                <w:sz w:val="20"/>
                <w:szCs w:val="20"/>
                <w:color w:val="auto"/>
              </w:rPr>
            </w:pPr>
          </w:p>
        </w:tc>
        <w:tc>
          <w:tcPr>
            <w:tcW w:w="6080" w:type="dxa"/>
            <w:vAlign w:val="bottom"/>
            <w:gridSpan w:val="2"/>
          </w:tcPr>
          <w:p>
            <w:pPr>
              <w:jc w:val="center"/>
              <w:ind w:right="3820"/>
              <w:spacing w:after="0"/>
              <w:rPr>
                <w:sz w:val="20"/>
                <w:szCs w:val="20"/>
                <w:color w:val="auto"/>
              </w:rPr>
            </w:pPr>
            <w:r>
              <w:rPr>
                <w:rFonts w:ascii="Arial" w:cs="Arial" w:eastAsia="Arial" w:hAnsi="Arial"/>
                <w:sz w:val="18"/>
                <w:szCs w:val="18"/>
                <w:b w:val="1"/>
                <w:bCs w:val="1"/>
                <w:color w:val="auto"/>
                <w:w w:val="87"/>
              </w:rPr>
              <w:t>Documents</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w w:val="90"/>
              </w:rPr>
              <w:t>Form of Series A Common Stock Purchase Warrant incorporated herein by reference to Exhibit 4.1 to the Current Report on Form 8-K</w:t>
            </w:r>
          </w:p>
        </w:tc>
      </w:tr>
      <w:tr>
        <w:trPr>
          <w:trHeight w:val="230"/>
        </w:trPr>
        <w:tc>
          <w:tcPr>
            <w:tcW w:w="920" w:type="dxa"/>
            <w:vAlign w:val="bottom"/>
          </w:tcPr>
          <w:p>
            <w:pPr>
              <w:spacing w:after="0"/>
              <w:rPr>
                <w:sz w:val="20"/>
                <w:szCs w:val="20"/>
                <w:color w:val="auto"/>
              </w:rPr>
            </w:pP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of the Company filed with the SEC on January 21,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w w:val="90"/>
              </w:rPr>
              <w:t>Form of Series B Common Stock Purchase Warrant incorporated herein by reference to Exhibit 4.2 to the Current Report on Form 8-K</w:t>
            </w:r>
          </w:p>
        </w:tc>
      </w:tr>
      <w:tr>
        <w:trPr>
          <w:trHeight w:val="230"/>
        </w:trPr>
        <w:tc>
          <w:tcPr>
            <w:tcW w:w="920" w:type="dxa"/>
            <w:vAlign w:val="bottom"/>
          </w:tcPr>
          <w:p>
            <w:pPr>
              <w:spacing w:after="0"/>
              <w:rPr>
                <w:sz w:val="20"/>
                <w:szCs w:val="20"/>
                <w:color w:val="auto"/>
              </w:rPr>
            </w:pP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of the Company filed with the SEC on January 21,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w w:val="91"/>
              </w:rPr>
              <w:t>Securities Purchase Agreement dated as of January 15, 2014, by and among Celsion Corporation and the purchasers named therein</w:t>
            </w:r>
          </w:p>
        </w:tc>
      </w:tr>
      <w:tr>
        <w:trPr>
          <w:trHeight w:val="216"/>
        </w:trPr>
        <w:tc>
          <w:tcPr>
            <w:tcW w:w="920" w:type="dxa"/>
            <w:vAlign w:val="bottom"/>
          </w:tcPr>
          <w:p>
            <w:pPr>
              <w:spacing w:after="0"/>
              <w:rPr>
                <w:sz w:val="18"/>
                <w:szCs w:val="18"/>
                <w:color w:val="auto"/>
              </w:rPr>
            </w:pP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w w:val="91"/>
              </w:rPr>
              <w:t>incorporated herein by reference to Exhibit 10.1 to the Current Report on Form 8-K of the Company filed with the SEC on January 21,</w:t>
            </w:r>
          </w:p>
        </w:tc>
      </w:tr>
      <w:tr>
        <w:trPr>
          <w:trHeight w:val="230"/>
        </w:trPr>
        <w:tc>
          <w:tcPr>
            <w:tcW w:w="9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2014.</w:t>
            </w:r>
          </w:p>
        </w:tc>
        <w:tc>
          <w:tcPr>
            <w:tcW w:w="140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w w:val="93"/>
              </w:rPr>
              <w:t>Certification of Chief Executive Officer pursuant to Rule 13a-14(a)/15d-14(a), as adopted pursuant to Section 302 of the Sarbanes-</w:t>
            </w:r>
          </w:p>
        </w:tc>
      </w:tr>
      <w:tr>
        <w:trPr>
          <w:trHeight w:val="230"/>
        </w:trPr>
        <w:tc>
          <w:tcPr>
            <w:tcW w:w="920" w:type="dxa"/>
            <w:vAlign w:val="bottom"/>
          </w:tcPr>
          <w:p>
            <w:pPr>
              <w:spacing w:after="0"/>
              <w:rPr>
                <w:sz w:val="20"/>
                <w:szCs w:val="20"/>
                <w:color w:val="auto"/>
              </w:rPr>
            </w:pP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w w:val="93"/>
              </w:rPr>
              <w:t>Certification of Chief Financial Officer pursuant to Rule 13a-14(a)/15d-14(a), as adopted pursuant to Section 302 of the Sarbanes-</w:t>
            </w:r>
          </w:p>
        </w:tc>
      </w:tr>
      <w:tr>
        <w:trPr>
          <w:trHeight w:val="230"/>
        </w:trPr>
        <w:tc>
          <w:tcPr>
            <w:tcW w:w="920" w:type="dxa"/>
            <w:vAlign w:val="bottom"/>
          </w:tcPr>
          <w:p>
            <w:pPr>
              <w:spacing w:after="0"/>
              <w:rPr>
                <w:sz w:val="20"/>
                <w:szCs w:val="20"/>
                <w:color w:val="auto"/>
              </w:rPr>
            </w:pP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9880" w:type="dxa"/>
            <w:vAlign w:val="bottom"/>
            <w:gridSpan w:val="3"/>
          </w:tcPr>
          <w:p>
            <w:pPr>
              <w:ind w:left="1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2" w:lineRule="exact"/>
        <w:rPr>
          <w:sz w:val="20"/>
          <w:szCs w:val="20"/>
          <w:color w:val="auto"/>
        </w:rPr>
      </w:pPr>
    </w:p>
    <w:p>
      <w:pPr>
        <w:ind w:left="1140" w:hanging="110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230"/>
              <w:spacing w:after="0"/>
              <w:rPr>
                <w:sz w:val="20"/>
                <w:szCs w:val="20"/>
                <w:color w:val="auto"/>
              </w:rPr>
            </w:pPr>
            <w:r>
              <w:rPr>
                <w:rFonts w:ascii="Arial" w:cs="Arial" w:eastAsia="Arial" w:hAnsi="Arial"/>
                <w:sz w:val="18"/>
                <w:szCs w:val="18"/>
                <w:color w:val="auto"/>
                <w:w w:val="95"/>
              </w:rPr>
              <w:t>101**</w:t>
            </w:r>
          </w:p>
        </w:tc>
        <w:tc>
          <w:tcPr>
            <w:tcW w:w="9920" w:type="dxa"/>
            <w:vAlign w:val="bottom"/>
          </w:tcPr>
          <w:p>
            <w:pPr>
              <w:ind w:left="320"/>
              <w:spacing w:after="0"/>
              <w:rPr>
                <w:sz w:val="20"/>
                <w:szCs w:val="20"/>
                <w:color w:val="auto"/>
              </w:rPr>
            </w:pPr>
            <w:r>
              <w:rPr>
                <w:rFonts w:ascii="Arial" w:cs="Arial" w:eastAsia="Arial" w:hAnsi="Arial"/>
                <w:sz w:val="18"/>
                <w:szCs w:val="18"/>
                <w:color w:val="auto"/>
                <w:w w:val="94"/>
              </w:rPr>
              <w:t>The following materials from the Company’s Quarterly Report on Form 10-Q for the quarter ended March 31, 2014, formatted in</w:t>
            </w:r>
          </w:p>
        </w:tc>
      </w:tr>
      <w:tr>
        <w:trPr>
          <w:trHeight w:val="216"/>
        </w:trPr>
        <w:tc>
          <w:tcPr>
            <w:tcW w:w="760" w:type="dxa"/>
            <w:vAlign w:val="bottom"/>
          </w:tcPr>
          <w:p>
            <w:pPr>
              <w:spacing w:after="0"/>
              <w:rPr>
                <w:sz w:val="18"/>
                <w:szCs w:val="18"/>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w w:val="91"/>
              </w:rPr>
              <w:t>XBRL (Extensible Business Reporting Language): (i) the unaudited Balance Sheets, (ii) the unaudited Statements of Operations, (iii)</w:t>
            </w:r>
          </w:p>
        </w:tc>
      </w:tr>
      <w:tr>
        <w:trPr>
          <w:trHeight w:val="216"/>
        </w:trPr>
        <w:tc>
          <w:tcPr>
            <w:tcW w:w="760" w:type="dxa"/>
            <w:vAlign w:val="bottom"/>
          </w:tcPr>
          <w:p>
            <w:pPr>
              <w:spacing w:after="0"/>
              <w:rPr>
                <w:sz w:val="18"/>
                <w:szCs w:val="18"/>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w w:val="93"/>
              </w:rPr>
              <w:t>the unaudited Statements of Comprehensive Loss, (iv) the unaudited Statements of Cash Flows, (v) the unaudited Statements of</w:t>
            </w:r>
          </w:p>
        </w:tc>
      </w:tr>
      <w:tr>
        <w:trPr>
          <w:trHeight w:val="230"/>
        </w:trPr>
        <w:tc>
          <w:tcPr>
            <w:tcW w:w="76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Change in Stockholders' Equity (Deficit), and (vi) Notes to Financial Statements.</w:t>
            </w:r>
          </w:p>
        </w:tc>
      </w:tr>
    </w:tbl>
    <w:p>
      <w:pPr>
        <w:spacing w:after="0" w:line="202" w:lineRule="exact"/>
        <w:rPr>
          <w:sz w:val="20"/>
          <w:szCs w:val="20"/>
          <w:color w:val="auto"/>
        </w:rPr>
      </w:pPr>
    </w:p>
    <w:p>
      <w:pPr>
        <w:ind w:left="1080" w:right="20" w:hanging="104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80" w:right="40" w:hanging="104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 101 is being furnished and, in accordance with Rule 406T of Regulation S-T, shall not be deemed to be “filed” for purposes of Section 18 of the Securities Exchange Act of 1934, as amended, or otherwise subject to liability of that section, nor shall such exhibit be deemed to be incorporated by reference in any registration statement or other document filed under the Securities Act of 1933, as amended, or the Securities Exchange Act.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800"/>
          </w:cols>
          <w:pgMar w:left="540" w:top="567" w:right="5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880" w:hanging="507"/>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880" w:right="60" w:hanging="507"/>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60" w:hanging="507"/>
        <w:spacing w:after="0" w:line="308"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507"/>
        <w:spacing w:after="0" w:line="291"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 (f)), for the registrant and have:</w:t>
      </w:r>
    </w:p>
    <w:p>
      <w:pPr>
        <w:spacing w:after="0" w:line="210" w:lineRule="exact"/>
        <w:rPr>
          <w:rFonts w:ascii="Arial" w:cs="Arial" w:eastAsia="Arial" w:hAnsi="Arial"/>
          <w:sz w:val="16"/>
          <w:szCs w:val="16"/>
          <w:color w:val="auto"/>
        </w:rPr>
      </w:pPr>
    </w:p>
    <w:p>
      <w:pPr>
        <w:jc w:val="both"/>
        <w:ind w:left="880" w:right="60" w:hanging="265"/>
        <w:spacing w:after="0" w:line="264"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right="60" w:hanging="275"/>
        <w:spacing w:after="0" w:line="264"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60" w:hanging="265"/>
        <w:spacing w:after="0" w:line="308" w:lineRule="auto"/>
        <w:tabs>
          <w:tab w:leader="none" w:pos="8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880" w:right="60" w:hanging="275"/>
        <w:spacing w:after="0" w:line="342" w:lineRule="auto"/>
        <w:tabs>
          <w:tab w:leader="none" w:pos="8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880" w:right="60" w:hanging="507"/>
        <w:spacing w:after="0" w:line="342"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80" w:right="60" w:hanging="265"/>
        <w:spacing w:after="0" w:line="277"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60" w:hanging="275"/>
        <w:spacing w:after="0" w:line="277"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3100" w:type="dxa"/>
            <w:vAlign w:val="bottom"/>
          </w:tcPr>
          <w:p>
            <w:pPr>
              <w:spacing w:after="0"/>
              <w:rPr>
                <w:sz w:val="20"/>
                <w:szCs w:val="20"/>
                <w:color w:val="auto"/>
              </w:rPr>
            </w:pPr>
            <w:r>
              <w:rPr>
                <w:rFonts w:ascii="Arial" w:cs="Arial" w:eastAsia="Arial" w:hAnsi="Arial"/>
                <w:sz w:val="18"/>
                <w:szCs w:val="18"/>
                <w:color w:val="auto"/>
              </w:rPr>
              <w:t>May 8, 2014</w:t>
            </w:r>
          </w:p>
        </w:tc>
        <w:tc>
          <w:tcPr>
            <w:tcW w:w="6700" w:type="dxa"/>
            <w:vAlign w:val="bottom"/>
            <w:gridSpan w:val="2"/>
          </w:tcPr>
          <w:p>
            <w:pPr>
              <w:ind w:left="21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Michael H. Tardugno</w:t>
            </w:r>
          </w:p>
        </w:tc>
      </w:tr>
      <w:tr>
        <w:trPr>
          <w:trHeight w:val="195"/>
        </w:trPr>
        <w:tc>
          <w:tcPr>
            <w:tcW w:w="3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0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3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880" w:hanging="507"/>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880" w:right="60" w:hanging="507"/>
        <w:spacing w:after="0" w:line="26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60" w:hanging="507"/>
        <w:spacing w:after="0" w:line="30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507"/>
        <w:spacing w:after="0" w:line="291"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 (f)), for the registrant and have:</w:t>
      </w:r>
    </w:p>
    <w:p>
      <w:pPr>
        <w:spacing w:after="0" w:line="210" w:lineRule="exact"/>
        <w:rPr>
          <w:rFonts w:ascii="Arial" w:cs="Arial" w:eastAsia="Arial" w:hAnsi="Arial"/>
          <w:sz w:val="16"/>
          <w:szCs w:val="16"/>
          <w:color w:val="auto"/>
        </w:rPr>
      </w:pPr>
    </w:p>
    <w:p>
      <w:pPr>
        <w:jc w:val="both"/>
        <w:ind w:left="900" w:right="60" w:hanging="258"/>
        <w:spacing w:after="0" w:line="264" w:lineRule="auto"/>
        <w:tabs>
          <w:tab w:leader="none" w:pos="9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right="60" w:hanging="275"/>
        <w:spacing w:after="0" w:line="264"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60" w:hanging="265"/>
        <w:spacing w:after="0" w:line="308" w:lineRule="auto"/>
        <w:tabs>
          <w:tab w:leader="none" w:pos="8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880" w:right="60" w:hanging="275"/>
        <w:spacing w:after="0" w:line="342" w:lineRule="auto"/>
        <w:tabs>
          <w:tab w:leader="none" w:pos="8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880" w:right="60" w:hanging="507"/>
        <w:spacing w:after="0" w:line="342"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80" w:right="60" w:hanging="265"/>
        <w:spacing w:after="0" w:line="277"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60" w:hanging="275"/>
        <w:spacing w:after="0" w:line="277"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3100" w:type="dxa"/>
            <w:vAlign w:val="bottom"/>
          </w:tcPr>
          <w:p>
            <w:pPr>
              <w:spacing w:after="0"/>
              <w:rPr>
                <w:sz w:val="20"/>
                <w:szCs w:val="20"/>
                <w:color w:val="auto"/>
              </w:rPr>
            </w:pPr>
            <w:r>
              <w:rPr>
                <w:rFonts w:ascii="Arial" w:cs="Arial" w:eastAsia="Arial" w:hAnsi="Arial"/>
                <w:sz w:val="18"/>
                <w:szCs w:val="18"/>
                <w:color w:val="auto"/>
              </w:rPr>
              <w:t>May 8, 2014</w:t>
            </w:r>
          </w:p>
        </w:tc>
        <w:tc>
          <w:tcPr>
            <w:tcW w:w="6700" w:type="dxa"/>
            <w:vAlign w:val="bottom"/>
            <w:gridSpan w:val="2"/>
          </w:tcPr>
          <w:p>
            <w:pPr>
              <w:ind w:left="21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Jeffrey W. Church</w:t>
            </w:r>
          </w:p>
        </w:tc>
      </w:tr>
    </w:tbl>
    <w:p>
      <w:pPr>
        <w:ind w:left="772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7720"/>
        <w:spacing w:after="0"/>
        <w:rPr>
          <w:sz w:val="20"/>
          <w:szCs w:val="20"/>
          <w:color w:val="auto"/>
        </w:rPr>
      </w:pPr>
      <w:r>
        <w:rPr>
          <w:rFonts w:ascii="Arial" w:cs="Arial" w:eastAsia="Arial" w:hAnsi="Arial"/>
          <w:sz w:val="17"/>
          <w:szCs w:val="17"/>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2014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May 8, 2014</w:t>
            </w:r>
          </w:p>
        </w:tc>
        <w:tc>
          <w:tcPr>
            <w:tcW w:w="6720" w:type="dxa"/>
            <w:vAlign w:val="bottom"/>
            <w:gridSpan w:val="3"/>
          </w:tcPr>
          <w:p>
            <w:pPr>
              <w:ind w:left="21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tc>
      </w:tr>
      <w:tr>
        <w:trPr>
          <w:trHeight w:val="195"/>
        </w:trPr>
        <w:tc>
          <w:tcPr>
            <w:tcW w:w="30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3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May 8, 2014</w:t>
            </w:r>
          </w:p>
        </w:tc>
        <w:tc>
          <w:tcPr>
            <w:tcW w:w="6720" w:type="dxa"/>
            <w:vAlign w:val="bottom"/>
            <w:gridSpan w:val="3"/>
          </w:tcPr>
          <w:p>
            <w:pPr>
              <w:ind w:left="2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tc>
      </w:tr>
      <w:tr>
        <w:trPr>
          <w:trHeight w:val="195"/>
        </w:trPr>
        <w:tc>
          <w:tcPr>
            <w:tcW w:w="30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3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jc w:val="both"/>
        <w:ind w:firstLine="8"/>
        <w:spacing w:after="0" w:line="264" w:lineRule="auto"/>
        <w:tabs>
          <w:tab w:leader="none" w:pos="1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lvl w:ilvl="1">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2019-12-05T21:12:48Z</dcterms:created>
  <dcterms:modified xsi:type="dcterms:W3CDTF">2019-12-05T21:12:48Z</dcterms:modified>
</cp:coreProperties>
</file>