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211455</wp:posOffset>
            </wp:positionV>
            <wp:extent cx="5746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100965</wp:posOffset>
            </wp:positionV>
            <wp:extent cx="574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0" w:right="1880" w:hanging="4012"/>
        <w:spacing w:after="0" w:line="493" w:lineRule="auto"/>
        <w:tabs>
          <w:tab w:leader="none" w:pos="7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223520</wp:posOffset>
            </wp:positionV>
            <wp:extent cx="5746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CELSION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73025</wp:posOffset>
            </wp:positionV>
            <wp:extent cx="574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86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52-1256615</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28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6"/>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8"/>
              </w:rPr>
              <w:t>997 LENOX DRIVE, SUITE 100</w:t>
            </w:r>
          </w:p>
        </w:tc>
        <w:tc>
          <w:tcPr>
            <w:tcW w:w="28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34"/>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rPr>
              <w:t>LAWRENCEVILLE, NJ</w:t>
            </w:r>
          </w:p>
        </w:tc>
        <w:tc>
          <w:tcPr>
            <w:tcW w:w="586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08648</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8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Title of Each Class</w:t>
            </w: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28"/>
        </w:trPr>
        <w:tc>
          <w:tcPr>
            <w:tcW w:w="5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COMMON STOCK, PAR VALUE $0.01 PER SHARE</w:t>
            </w:r>
          </w:p>
        </w:tc>
        <w:tc>
          <w:tcPr>
            <w:tcW w:w="5560" w:type="dxa"/>
            <w:vAlign w:val="bottom"/>
          </w:tcPr>
          <w:p>
            <w:pPr>
              <w:jc w:val="center"/>
              <w:spacing w:after="0"/>
              <w:rPr>
                <w:sz w:val="20"/>
                <w:szCs w:val="20"/>
                <w:color w:val="auto"/>
              </w:rPr>
            </w:pPr>
            <w:r>
              <w:rPr>
                <w:rFonts w:ascii="Arial" w:cs="Arial" w:eastAsia="Arial" w:hAnsi="Arial"/>
                <w:sz w:val="18"/>
                <w:szCs w:val="18"/>
                <w:b w:val="1"/>
                <w:bCs w:val="1"/>
                <w:color w:val="auto"/>
              </w:rPr>
              <w:t>NASDAQ CAPITAL MARKET</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855980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520" w:space="180"/>
            <w:col w:w="260" w:space="120"/>
            <w:col w:w="180" w:space="220"/>
            <w:col w:w="220" w:space="140"/>
            <w:col w:w="1580"/>
          </w:cols>
          <w:pgMar w:left="240" w:top="552"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80" w:space="180"/>
            <w:col w:w="260" w:space="140"/>
            <w:col w:w="160" w:space="220"/>
            <w:col w:w="220" w:space="140"/>
            <w:col w:w="1420"/>
          </w:cols>
          <w:pgMar w:left="240" w:top="552" w:right="239" w:bottom="1440" w:gutter="0" w:footer="0" w:header="0"/>
          <w:type w:val="continuous"/>
        </w:sectPr>
      </w:pPr>
    </w:p>
    <w:p>
      <w:pPr>
        <w:spacing w:after="0" w:line="37"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552" w:right="239" w:bottom="1440" w:gutter="0" w:footer="0" w:header="0"/>
          <w:type w:val="continuous"/>
        </w:sectPr>
      </w:pPr>
    </w:p>
    <w:p>
      <w:pPr>
        <w:spacing w:after="0" w:line="124"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4">
            <w:col w:w="1720" w:space="300"/>
            <w:col w:w="3580" w:space="320"/>
            <w:col w:w="2640" w:space="720"/>
            <w:col w:w="2140"/>
          </w:cols>
          <w:pgMar w:left="240" w:top="552" w:right="239" w:bottom="1440" w:gutter="0" w:footer="0" w:header="0"/>
          <w:type w:val="continuous"/>
        </w:sectPr>
      </w:pPr>
    </w:p>
    <w:p>
      <w:pPr>
        <w:spacing w:after="0" w:line="207" w:lineRule="exact"/>
        <w:tabs>
          <w:tab w:leader="none" w:pos="9760" w:val="left"/>
          <w:tab w:leader="none" w:pos="10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June 30, 2014, the aggregate market value of the common stock held by non-affiliates of the Registrant was approximately $68,261,264 based on the closing sale price for the Registrant’s common stock on that date as reported by The NASDAQ Capital Market. For purposes of this calculation, shares of common stock held by directors and officers of the Registrant at June 30, 2014 were excluded. This determination of executive officers and directors as affiliates is not necessarily a conclusive determination for any other purpose.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2015, 19,984,703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Portions of the Registrant’s definitive Proxy Statement to be filed for its 2015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ind w:left="260"/>
              <w:spacing w:after="0"/>
              <w:rPr>
                <w:sz w:val="20"/>
                <w:szCs w:val="20"/>
                <w:color w:val="auto"/>
              </w:rPr>
            </w:pPr>
            <w:r>
              <w:rPr>
                <w:rFonts w:ascii="Arial" w:cs="Arial" w:eastAsia="Arial" w:hAnsi="Arial"/>
                <w:sz w:val="18"/>
                <w:szCs w:val="18"/>
                <w:color w:val="auto"/>
              </w:rPr>
              <w:t>BUSINESS</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FORWARD-LOOKING STATEMENTS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OVERVIEW</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THERMODOX® (DOXORUBICIN ENCAPSULATED IN HEAT-ACTIVATED LIPOSOME)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THERMODOX® IN RELATION TO PRIMARY LIVER CANCER</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Liver Cancer Overview</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Celsion’s Approach</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Phase I Clinical Trial – Primary Liver Cancer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Phase III Clinical Trial – Primary Liver Cancer (The HEAT Study)</w:t>
            </w: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Phase III Clinical Trial – Primary Liver Cancer (The OPTIMA Study)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THERMODOX® IN RELATION TO CANCERS OTHER THAN PRIMARY LIVER CANCER</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Recurrent Chest Wall Breast Cancer Overview</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Celsion’s Approach</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Breast Cancer Clinical Phase I/II Trial – The DIGNITY Study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Breast Cancer Clinical Phase II Trial – The Euro- DIGNITY Study</w:t>
            </w:r>
          </w:p>
        </w:tc>
        <w:tc>
          <w:tcPr>
            <w:tcW w:w="1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Early Access Program for ThermoDox® for the Treatment of Patients with RCW Breast Cancer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Acquisition of EGEN</w:t>
            </w:r>
          </w:p>
        </w:tc>
        <w:tc>
          <w:tcPr>
            <w:tcW w:w="1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Ovarian Cancer Overview</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Celsion’s Approach</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GEN-1 Single Agent Clinical Trials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GEN-1 Combination Clinical Trials</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THERAPLAS™ TECHNOLOGY PLATFORM</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THERASILENCE™ TECHNOLOGY PLATFORM</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BUSINESS STRATEGY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RESEARCH AND DEVELOPMENT EXPENDITURES</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GOVERNMENT REGULATION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Regulation in the United States</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Post-Approval Requirements</w:t>
            </w: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Inspections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Recalls</w:t>
            </w: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FDA Regulations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Regulation outside of the U.S</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MANUFACTURING AND SUPPLY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LIABILITY AND INSURANCE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COMPETITION</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ThermoDox®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GEN-1</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INTELLECTUAL PROPERTY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Licenses</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 and Proprietary Rights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EMPLOYEES</w:t>
            </w: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INFORMATION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AVAILABLE INFORMATION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shd w:val="clear" w:color="auto" w:fill="CCEEFF"/>
          </w:tcPr>
          <w:p>
            <w:pPr>
              <w:spacing w:after="0"/>
              <w:rPr>
                <w:sz w:val="18"/>
                <w:szCs w:val="18"/>
                <w:color w:val="auto"/>
              </w:rPr>
            </w:pP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LIQUIDITY AND CAPITAL RESOURCES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tcPr>
          <w:p>
            <w:pPr>
              <w:spacing w:after="0"/>
              <w:rPr>
                <w:sz w:val="18"/>
                <w:szCs w:val="18"/>
                <w:color w:val="auto"/>
              </w:rPr>
            </w:pPr>
          </w:p>
        </w:tc>
        <w:tc>
          <w:tcPr>
            <w:tcW w:w="8780" w:type="dxa"/>
            <w:vAlign w:val="bottom"/>
          </w:tcPr>
          <w:p>
            <w:pPr>
              <w:ind w:left="260"/>
              <w:spacing w:after="0"/>
              <w:rPr>
                <w:sz w:val="20"/>
                <w:szCs w:val="20"/>
                <w:color w:val="auto"/>
              </w:rPr>
            </w:pPr>
            <w:r>
              <w:rPr>
                <w:rFonts w:ascii="Arial" w:cs="Arial" w:eastAsia="Arial" w:hAnsi="Arial"/>
                <w:sz w:val="18"/>
                <w:szCs w:val="18"/>
                <w:color w:val="auto"/>
              </w:rPr>
              <w:t>RECENT EVENTS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878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MINE SAFETY DISCLOSURES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jc w:val="center"/>
              <w:ind w:right="77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jc w:val="center"/>
              <w:ind w:right="770"/>
              <w:spacing w:after="0"/>
              <w:rPr>
                <w:sz w:val="20"/>
                <w:szCs w:val="20"/>
                <w:color w:val="auto"/>
              </w:rPr>
            </w:pPr>
            <w:r>
              <w:rPr>
                <w:rFonts w:ascii="Arial" w:cs="Arial" w:eastAsia="Arial" w:hAnsi="Arial"/>
                <w:sz w:val="18"/>
                <w:szCs w:val="18"/>
                <w:b w:val="1"/>
                <w:bCs w:val="1"/>
                <w:color w:val="auto"/>
              </w:rPr>
              <w:t>FORM 10-K</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80" w:type="dxa"/>
            <w:vAlign w:val="bottom"/>
          </w:tcPr>
          <w:p>
            <w:pPr>
              <w:jc w:val="center"/>
              <w:ind w:right="770"/>
              <w:spacing w:after="0"/>
              <w:rPr>
                <w:sz w:val="20"/>
                <w:szCs w:val="20"/>
                <w:color w:val="auto"/>
              </w:rPr>
            </w:pPr>
            <w:r>
              <w:rPr>
                <w:rFonts w:ascii="Arial" w:cs="Arial" w:eastAsia="Arial" w:hAnsi="Arial"/>
                <w:sz w:val="18"/>
                <w:szCs w:val="18"/>
                <w:b w:val="1"/>
                <w:bCs w:val="1"/>
                <w:color w:val="auto"/>
                <w:w w:val="96"/>
              </w:rPr>
              <w:t>TABLE OF CONTENTS (continued)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line="201" w:lineRule="exact"/>
              <w:rPr>
                <w:sz w:val="20"/>
                <w:szCs w:val="20"/>
                <w:color w:val="auto"/>
              </w:rPr>
            </w:pPr>
            <w:r>
              <w:rPr>
                <w:rFonts w:ascii="Arial" w:cs="Arial" w:eastAsia="Arial" w:hAnsi="Arial"/>
                <w:sz w:val="18"/>
                <w:szCs w:val="18"/>
                <w:color w:val="auto"/>
              </w:rPr>
              <w:t>ITEM 5.</w:t>
            </w:r>
          </w:p>
        </w:tc>
        <w:tc>
          <w:tcPr>
            <w:tcW w:w="9880" w:type="dxa"/>
            <w:vAlign w:val="bottom"/>
          </w:tcPr>
          <w:p>
            <w:pPr>
              <w:ind w:left="100"/>
              <w:spacing w:after="0" w:line="201" w:lineRule="exact"/>
              <w:rPr>
                <w:sz w:val="20"/>
                <w:szCs w:val="20"/>
                <w:color w:val="auto"/>
              </w:rPr>
            </w:pPr>
            <w:r>
              <w:rPr>
                <w:rFonts w:ascii="Arial" w:cs="Arial" w:eastAsia="Arial" w:hAnsi="Arial"/>
                <w:sz w:val="18"/>
                <w:szCs w:val="18"/>
                <w:color w:val="auto"/>
                <w:w w:val="97"/>
              </w:rPr>
              <w:t>MARKET FOR REGISTRANT’S COMMON EQUITY, RELATED STOCKHOLDER MATTERS AND ISSUER PURCHASES OF</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8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 Price for Our Common Stock</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8"/>
                <w:szCs w:val="18"/>
                <w:color w:val="auto"/>
              </w:rPr>
              <w:t>Performance Graph</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 Policy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Shares of Equity Securities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8"/>
                <w:szCs w:val="18"/>
                <w:color w:val="auto"/>
              </w:rPr>
              <w:t>Issuer Purchases of Equity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SELECTED FINANCIAL DATA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7.</w:t>
            </w:r>
          </w:p>
        </w:tc>
        <w:tc>
          <w:tcPr>
            <w:tcW w:w="988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Overview</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Significant Events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Critical Accounting Policies and Estimates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Results Of 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Condition, Liquidity and Capital Resources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Contractual Obligations</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Off-Balance Sheet Arrangements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7A.</w:t>
            </w:r>
          </w:p>
        </w:tc>
        <w:tc>
          <w:tcPr>
            <w:tcW w:w="988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9.</w:t>
            </w:r>
          </w:p>
        </w:tc>
        <w:tc>
          <w:tcPr>
            <w:tcW w:w="988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9B.</w:t>
            </w:r>
          </w:p>
        </w:tc>
        <w:tc>
          <w:tcPr>
            <w:tcW w:w="988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11.</w:t>
            </w:r>
          </w:p>
        </w:tc>
        <w:tc>
          <w:tcPr>
            <w:tcW w:w="988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 12.</w:t>
            </w:r>
          </w:p>
        </w:tc>
        <w:tc>
          <w:tcPr>
            <w:tcW w:w="98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SECURITY OWNERSHIP OF CERTAIN BENEFICIAL OWNERS AND MANAGEMENT AND RELATED STOCKHOLDER</w:t>
            </w:r>
          </w:p>
        </w:tc>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MATTERS</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13.</w:t>
            </w:r>
          </w:p>
        </w:tc>
        <w:tc>
          <w:tcPr>
            <w:tcW w:w="988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15.</w:t>
            </w:r>
          </w:p>
        </w:tc>
        <w:tc>
          <w:tcPr>
            <w:tcW w:w="988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FINANCIAL STATEMENTS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 FINANCIAL STATEMENT SCHEDULES</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EXHIBITS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9"/>
              </w:rPr>
              <w:t>SIGNATURES</w:t>
            </w:r>
          </w:p>
        </w:tc>
        <w:tc>
          <w:tcPr>
            <w:tcW w:w="9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Certain of the statements contained in this Annual Report on Form 10-K are forward-looking and constitute forward-looking statements within the meaning of the Private Securities Litigation Reform Act of 1995.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or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 on Form 10-K. 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on Form 10-K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w:t>
      </w:r>
    </w:p>
    <w:p>
      <w:pPr>
        <w:spacing w:after="0" w:line="3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Unless the context requires otherwise or unless otherwise noted, all references in this Annual Report on Form 10-K to “Celsion” “the Company”, “we”, “us”, or “our” are to Celsion Corporation, a Delaware corporation and its wholly owned subsidiary, CLSN Laboratories, Inc., also a Delaware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Celsion Corporation (“Celsion” or “the Company”)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for primary liver cancer (the OPTIMA study) starting in the first half of 2014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Celsius) releases the encapsulated doxorubicin from the liposome enabling high concentrations of doxorubicin to be deposited preferentially in and around the targeted tumor.</w:t>
      </w:r>
    </w:p>
    <w:p>
      <w:pPr>
        <w:spacing w:after="0" w:line="18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On January 31, 2013, we announced that ThermoDox® in combination with radio frequency ablation (RFA) did not meet the primary endpoint of Progression Free Survival (PFS) for the 701 patient clinical trial in patients with hepatocellular carcinoma (HCC), also known as primary liver cancer (the HEAT Study). Specifically, we determined, after conferring with the HEAT Study independent Data Monitoring Committee (iDMC), that the HEAT study did not meet the goal of demonstrating persuasive evidence of clinical effectiveness that could form the basis for regulatory approval. In the trial,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was well-tolerated with no unexpected serious adverse events. Following the announcement of the HEAT Study results, we continue to follow patients for overall survival (OS), the secondary endpoint of the HEAT Study, on a quarterly basis. We have conducted a comprehensive analysis of the data from the HEAT Study to assess the future strategic value of ThermoDox</w:t>
      </w:r>
      <w:r>
        <w:rPr>
          <w:rFonts w:ascii="Arial" w:cs="Arial" w:eastAsia="Arial" w:hAnsi="Arial"/>
          <w:sz w:val="28"/>
          <w:szCs w:val="28"/>
          <w:color w:val="auto"/>
          <w:vertAlign w:val="superscript"/>
        </w:rPr>
        <w:t>®</w:t>
      </w:r>
      <w:r>
        <w:rPr>
          <w:rFonts w:ascii="Arial" w:cs="Arial" w:eastAsia="Arial" w:hAnsi="Arial"/>
          <w:sz w:val="17"/>
          <w:szCs w:val="17"/>
          <w:color w:val="auto"/>
        </w:rPr>
        <w:t>. As part of this analysis, we also evaluated our product pipeline and research and development priorities. In April 2013, we announced the deferral of expenses associated with the Company’s Phase II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RFA for the treatment of colorectal liver metastases (The ABLATE Study) until such time as the Company finalizes its plans for the continuation of its development program with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HCC.</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data from the HEAT Study post-hoc analysis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overall survival, when compared to the control group, in patients if their lesions undergo a 45 minute RFA procedure standardized for a lesion greater than 3 cm in diameter. Data from seven OS sweeps have been conducted since the top line PFS data from the HEAT Study were announced in January 2013, with each data set showing progressive improvement in statistical significance. The most recent post-hoc OS analysis data from the HEAT Study (as of January 15, 2015) announced in February 2015 demonstrated that in a large, well bounded, subgroup of patients (n=285, 41% of the study patients), the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standardized RFA provided a 59% improvement in OS compared to optimized RFA alone. The Hazard Ratio at this latest quarterly OS analysis is 0.628 (95% CI 0.420 - 0.939) with a p-value of 0.02. These data continue to strongly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significantly improve overall survival compared to a RFA control in patients whose lesions undergo optimized RFA treatment for 45 minutes or more. These findings apply to patients with single HCC lesions (64.4% of the HEAT Study population) from both size cohorts of the HEAT Study (3-5 cm and 5-7 cm) and represent a subgroup of 285 patients. Median overall survival for the subgroup has not yet been reached. We may choose to end this analysis of overall survival once the median is reached for both arms of the study.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from the HEAT Study post-hoc analysis have been presented at five scientific and medical conferences in 2013 and 2014 by key HEAT Study investigators and leading liver cancer experts. The presentations include:</w:t>
      </w:r>
    </w:p>
    <w:p>
      <w:pPr>
        <w:spacing w:after="0" w:line="170" w:lineRule="exact"/>
        <w:rPr>
          <w:sz w:val="20"/>
          <w:szCs w:val="20"/>
          <w:color w:val="auto"/>
        </w:rPr>
      </w:pPr>
    </w:p>
    <w:p>
      <w:pPr>
        <w:ind w:left="1120" w:hanging="44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1120" w:hanging="44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1120" w:hanging="44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and 2014</w:t>
      </w:r>
    </w:p>
    <w:p>
      <w:pPr>
        <w:spacing w:after="0" w:line="9" w:lineRule="exact"/>
        <w:rPr>
          <w:rFonts w:ascii="Arial" w:cs="Arial" w:eastAsia="Arial" w:hAnsi="Arial"/>
          <w:sz w:val="18"/>
          <w:szCs w:val="18"/>
          <w:color w:val="auto"/>
        </w:rPr>
      </w:pPr>
    </w:p>
    <w:p>
      <w:pPr>
        <w:ind w:left="1120" w:hanging="44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Society of Clinical Oncology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Meeting in June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We also completed computational modeling with supplementary prospective preclinical animal studies supporting the relationship between heating duration and clinical outcomes.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2014, we announced that the U.S. Food and Drug Administration (FDA), after its customary 30 day review period, accepted without comment, subject to compliance with regulatory standards,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resulted in a 59%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100 sites in the United States, Europe, China and elsewhere in the Asia Pacific region, and will evaluate ThermoDox®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DMC.</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has met with the China State Food and Drug Administration (CHINA FDA) to discuss the OPTIMA Phase III Study including minimum patient enrollment requirements supporting the registration of ThermoDox® in China. Based on those discussions, we have submitted an application for accelerated approval of the OPTIMA Study in China. We also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acheivement of three major milestone events as follows:</w:t>
      </w:r>
    </w:p>
    <w:p>
      <w:pPr>
        <w:spacing w:after="0" w:line="166" w:lineRule="exact"/>
        <w:rPr>
          <w:sz w:val="20"/>
          <w:szCs w:val="20"/>
          <w:color w:val="auto"/>
        </w:rPr>
      </w:pPr>
    </w:p>
    <w:p>
      <w:pPr>
        <w:ind w:left="1120" w:hanging="32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ovarian cancer patients ($12.0 million);</w:t>
      </w:r>
    </w:p>
    <w:p>
      <w:pPr>
        <w:spacing w:after="0" w:line="225" w:lineRule="exact"/>
        <w:rPr>
          <w:rFonts w:ascii="Arial" w:cs="Arial" w:eastAsia="Arial" w:hAnsi="Arial"/>
          <w:sz w:val="18"/>
          <w:szCs w:val="18"/>
          <w:color w:val="auto"/>
        </w:rPr>
      </w:pPr>
    </w:p>
    <w:p>
      <w:pPr>
        <w:ind w:left="1120" w:hanging="32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GBM cancer patients ($12.0 million); and</w:t>
      </w:r>
    </w:p>
    <w:p>
      <w:pPr>
        <w:spacing w:after="0" w:line="225" w:lineRule="exact"/>
        <w:rPr>
          <w:rFonts w:ascii="Arial" w:cs="Arial" w:eastAsia="Arial" w:hAnsi="Arial"/>
          <w:sz w:val="18"/>
          <w:szCs w:val="18"/>
          <w:color w:val="auto"/>
        </w:rPr>
      </w:pPr>
    </w:p>
    <w:p>
      <w:pPr>
        <w:ind w:left="1120" w:hanging="32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self-liquidating payment of 50% of all fees received from the licensing of TherSilence (up to $6.0 million).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acquisition, we purchased GEN-1 (formerly known as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In February 2015, we announced that the FDA accepted, without comment, the Phase I dose-escalation clinical trial of GEN-1 in combination with the standard of care in neo-adjuvant ovarian cancer. The clinical trial will identify a safe, tolerable and potentially therapeutically active dose of GEN-1 while maximizing an immune response. The trial is designed to enroll three to six patients per dose level and will evaluate safety and efficacy and attempt to define an optimal dose to carry forward into a Phase II trial. We expect to initiate enrollment for the trial in the second half of 2015 at five to six U.S. clinical centers.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2007, we sold our medical device franchise to Boston Scientific Corporation for net aggregate payments of $43 million, receiving $13 million in 2007 and $15 million in each of 2008 and 2009. Since this divesture, we have dedicated our efforts and resources to the development and commercialization of cancer drugs including tumor-targeting chemotherapy treatments using focused heat energy in combination with heat-activated drug delivery systems, immunotherapies and RNA-based therapies. To support our research and development, we raised gross proceeds of approximately $95 million in equity financings and warrant and option exercises in the years 2009 through 2013. In January 2014, we raised net proceeds of $14 million through an equity financing. We had cash, cash equivalents, short-term investments and interest receivable totaling $37 million at the end at December 31, 2014. We have one credit facility for a total principle amount of up to $20 million and have drawn down $10 million under this credit facility.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6"/>
          <w:szCs w:val="16"/>
          <w:color w:val="auto"/>
        </w:rPr>
        <w:t>On December 5, 2008, we entered into a development, product supply and commercialization agreement with Yakult Honsha Co., Ltd. (the Yakult Agreement) under which we granted Yakult an exclusive right to commercialize and market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Japanese market. We received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double-digit escalating royalties on the sale of ThermoDox® in Japan, when and if any such sales occur, and we also will be the exclusive supplier of ThermoDox® to Yakult.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40%. All other milestone payments were unaffected.</w:t>
      </w:r>
    </w:p>
    <w:p>
      <w:pPr>
        <w:spacing w:after="0" w:line="183" w:lineRule="exact"/>
        <w:rPr>
          <w:sz w:val="20"/>
          <w:szCs w:val="20"/>
          <w:color w:val="auto"/>
        </w:rPr>
      </w:pPr>
    </w:p>
    <w:p>
      <w:pPr>
        <w:jc w:val="both"/>
        <w:spacing w:after="0" w:line="195"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mainland China, Hong Kong and Macau (the China territory). Hisun will be responsible for providing all of the technical and regulatory support services for the manufacture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the China territory and we will repay Hisun the related development costs and fees, which we expect to be approximately $1.2 million in total, commencing on the successful completion of three registrational batches of ThermoDox</w:t>
      </w:r>
      <w:r>
        <w:rPr>
          <w:rFonts w:ascii="Arial" w:cs="Arial" w:eastAsia="Arial" w:hAnsi="Arial"/>
          <w:sz w:val="28"/>
          <w:szCs w:val="28"/>
          <w:color w:val="auto"/>
          <w:vertAlign w:val="superscript"/>
        </w:rPr>
        <w:t>®</w:t>
      </w:r>
      <w:r>
        <w:rPr>
          <w:rFonts w:ascii="Arial" w:cs="Arial" w:eastAsia="Arial" w:hAnsi="Arial"/>
          <w:sz w:val="17"/>
          <w:szCs w:val="17"/>
          <w:color w:val="auto"/>
        </w:rPr>
        <w:t>. In March 2015, results of stability tests performed by Hisun demonstrated it successfully completed three registration batches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all of which show substantial chemical equivalence with investigational product produced by the Company’s current contract manufacturer. We plan to qualify and seek regulatory approval for HISUN to serve as an approved manufacturer for China and Europe.</w:t>
      </w:r>
    </w:p>
    <w:p>
      <w:pPr>
        <w:spacing w:after="0" w:line="206"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On January 18, 2013, we broadened our relationship with Hisun by entering into a technology development contract, pursuant to which Hisun paid us a non-refundable research and development fee of $5.0 million to support our development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Following our announcement of the HEAT Study results on January 31, 2013, we and Hisun agreed that the technology development contract entered into on January 18, 2013 will remain in effect while the parties continue to collaborate the next steps in relation to ThermoDox</w:t>
      </w:r>
      <w:r>
        <w:rPr>
          <w:rFonts w:ascii="Arial" w:cs="Arial" w:eastAsia="Arial" w:hAnsi="Arial"/>
          <w:sz w:val="28"/>
          <w:szCs w:val="28"/>
          <w:color w:val="auto"/>
          <w:vertAlign w:val="superscript"/>
        </w:rPr>
        <w:t>®</w:t>
      </w:r>
      <w:r>
        <w:rPr>
          <w:rFonts w:ascii="Arial" w:cs="Arial" w:eastAsia="Arial" w:hAnsi="Arial"/>
          <w:sz w:val="17"/>
          <w:szCs w:val="17"/>
          <w:color w:val="auto"/>
        </w:rPr>
        <w:t>, which include the continued subgroup analysis of the Chinese cohort of patients in the HEAT Study for primary liver cancer and other activities to further the development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China territory.</w:t>
      </w:r>
    </w:p>
    <w:p>
      <w:pPr>
        <w:spacing w:after="0" w:line="7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On July 19, 2013, we and Hisun entered into a Memorandum of Understanding to pursue ongoing collaborations for the continued clinical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technology transfer relating to the commercial manufacture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China territory. This expanded collaboration includes development of the next generation liposomal formulation with the goal of creating safer, more efficacious versions of marketed cancer chemotherapeutics.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 (DOXORUBICIN ENCAPSULATED IN HEAT-ACTIVATED LIPOSOME)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Celsion has licensed this novel, heat-activated liposomal technology that is differentiated from other liposomes through its unique low heat-activated release of encapsulated chemotherapeutic agents.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using several available focused-heat technologies, such as radio frequency ablation (RFA), microwave energy and high intensity focused ultrasound (HIFU), to activate the release of drugs from our novel heat-sensitive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Primary liver cancer (hepatocellular carcinoma or HCC) is one of the most common and deadliest forms of cancer worldwide. It ranks as the fifth most common solid tumor cancer. It is estimated that up to 90% of liver cancer patients will die within five years of diagnosis. The incidence of primary liver cancer is approximately 28,000 cases per year in the United States, approximately 40,000 cases per year in Europe and is rapidly growing worldwide at approximately 800,000 cases per year. HCC has the fastest rate of growth of all cancers and is projected to be the most prevalent form of cancer by 2020. HCC is commonly diagnosed in patients with longstanding hepatic disease and cirrhosis (primarily due to hepatitis C in the U.S. and Europe and hepatitis B in Asia).</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While RFA uses extremely high temperatures (greater than 80° Celsius) to ablate the tumor, it may fail to treat micro-metastases in the outer margins of the ablation zone because temperatures in the periphery may not be high enough to destroy the cancer cells. Celsion’s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approach is designed to utilize the ability of RFA devices to ablate the center of the tumor while simultaneously thermally activating the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liposome to release its encapsulated doxorubicin to kill remaining viable cancer cells throughout the heated region, including the tumor ablation margins. This novel treatment approach is intended to deliver the drug directly to those cancer cells that survive RFA. This approach will also increase the delivery of the doxorubicin at the desired tumor site while potentially reducing drug exposure distant to the tumor site.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Phase I Clinical Trial - Primary Liver Cancer</w:t>
      </w:r>
    </w:p>
    <w:p>
      <w:pPr>
        <w:spacing w:after="0" w:line="206" w:lineRule="exact"/>
        <w:rPr>
          <w:sz w:val="20"/>
          <w:szCs w:val="20"/>
          <w:color w:val="auto"/>
        </w:rPr>
      </w:pPr>
    </w:p>
    <w:p>
      <w:pPr>
        <w:jc w:val="both"/>
        <w:ind w:right="140"/>
        <w:spacing w:after="0" w:line="216" w:lineRule="auto"/>
        <w:rPr>
          <w:sz w:val="20"/>
          <w:szCs w:val="20"/>
          <w:color w:val="auto"/>
        </w:rPr>
      </w:pPr>
      <w:r>
        <w:rPr>
          <w:rFonts w:ascii="Arial" w:cs="Arial" w:eastAsia="Arial" w:hAnsi="Arial"/>
          <w:sz w:val="18"/>
          <w:szCs w:val="18"/>
          <w:color w:val="auto"/>
        </w:rPr>
        <w:t>In the second quarter of 2007, we completed our first Phase I single dose escalation clinical trial that investigated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for the treatment of primary and metastatic liver cancer. The study was carried out at the National Cancer Institute (NCI), which is part of the National Institutes of Health (NIH) and Queen Mary Hospital in Hong Kong.</w:t>
      </w:r>
    </w:p>
    <w:p>
      <w:pPr>
        <w:spacing w:after="0" w:line="181" w:lineRule="exact"/>
        <w:rPr>
          <w:sz w:val="20"/>
          <w:szCs w:val="20"/>
          <w:color w:val="auto"/>
        </w:rPr>
      </w:pPr>
    </w:p>
    <w:p>
      <w:pPr>
        <w:jc w:val="both"/>
        <w:spacing w:after="0" w:line="183" w:lineRule="auto"/>
        <w:rPr>
          <w:sz w:val="20"/>
          <w:szCs w:val="20"/>
          <w:color w:val="auto"/>
        </w:rPr>
      </w:pPr>
      <w:r>
        <w:rPr>
          <w:rFonts w:ascii="Arial" w:cs="Arial" w:eastAsia="Arial" w:hAnsi="Arial"/>
          <w:sz w:val="18"/>
          <w:szCs w:val="18"/>
          <w:color w:val="auto"/>
        </w:rPr>
        <w:t>In 2007 we initiated a second Phase I dose escalation study designed to investigate simplification of the current RFA/ThermoDox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treatment regimen including a single vial formulation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designed for commercial distribution. The study also permitted multiple dosing in liver cancer patients. This clinical trial was completed in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701 Patient Global Clinical Trial - Primary Liver Cancer (The HEAT Study)</w:t>
      </w:r>
    </w:p>
    <w:p>
      <w:pPr>
        <w:spacing w:after="0" w:line="206"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The HEAT Study for ThermoDox</w:t>
      </w:r>
      <w:r>
        <w:rPr>
          <w:rFonts w:ascii="Arial" w:cs="Arial" w:eastAsia="Arial" w:hAnsi="Arial"/>
          <w:sz w:val="30"/>
          <w:szCs w:val="30"/>
          <w:color w:val="auto"/>
          <w:vertAlign w:val="superscript"/>
        </w:rPr>
        <w:t>®</w:t>
      </w:r>
      <w:r>
        <w:rPr>
          <w:rFonts w:ascii="Arial" w:cs="Arial" w:eastAsia="Arial" w:hAnsi="Arial"/>
          <w:sz w:val="18"/>
          <w:szCs w:val="18"/>
          <w:color w:val="auto"/>
        </w:rPr>
        <w:t>, in combination with RFA, was conducted in patients with primary liver cancer under a Special Protocol Assessment agreed to with the FDA. The Special Protocol Assessment (SPA) agreed to with the FDA specified PFS as the HEAT Study’s primary endpoint. We scheduled a meeting with the HEAT Study independent DMC on January 30, 2013 in order to conduct an analysis of the HEAT Study’s PFS endpoint. Following review by the DMC, on January 31, 2013, we announced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did not meet the HEAT Study’s primary endpoint of PFS. Specifically, we determined, after conferring with the DMC, that the HEAT Study did not meet the goal of demonstrating persuasive evidence of clinical effectiveness that could form the basis for regulatory approval in the population chosen for the HEAT Study. The HEAT Study was designed to show a 33 percent improvement in PFS with 80 percent power and a p-value = 0.05.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provided for in the SPA, we continue to follow the patients enrolled in the HEAT Study to the secondary endpoint of overall survival. We have evaluated data from seven sweeps of overall survival since the announcement of the HEAT Study’s primary endpoint result, with each showing progressive improvement in statistical significance. In January 2014, we announced that the OS data from the post-hoc analysis of results from the HEAT Study support continued clinical development through a prospective pivotal Phase III Study. The post-hoc data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overall survival, when compared to the control group, in patients whose lesions undergo optimized RFA treatment for 45 minutes or more. The most recent post-hoc analysis data from the HEAT Study announced in February 2015 demonstrate that the patient subgroup in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arm whose RFA procedure lasted longer than 45 minutes (285 patients or 41% of the study patients), experienced a 59% improvement in overall survival, with a Hazard Ratio of 0.628 (95% CI 0.420 - 0.939) and a P-value of 0.02. A multivariate analysis we conducted supports our hypothesis that RFA time is the determining factor in improving OS. This information should be viewed with caution since it is based on a retrospective analysis of a subgroup that has not reached its median point for the overall survival analysis. We may choose to end this analysis of overall survival once the median is reached for both arms of the study.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completed computational modeling with supplementary prospective preclinical animal studies which support the relationship between heating duration and clinical outcomes.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III Global Clinical Trial - Primary Liver Cancer (The OPTIMA Study)</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Based on the overall survival data from the post-hoc analysis of results from HEAT Study, we submitted our proposed pivotal Phase III clinical protocol for the FDA review in the fourth quarter of 2013. On February 24, 2014, we announced that the FDA, after its customary 30 day review period, accepted without comment, subject to compliance with regulatory standards, clearance for the OPTIMA Study our pivotal, double-blind, placebo-controlled Phase III trial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standardized RFA in primary liver cancer, also known as HCC. The OPTIMA Study trial design is based on a comprehensive analysis of data from our Phase III HEAT Study.</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Designed with extensive input from globally recognized HCC researchers and clinicians and after formal written consultation with the FDA, the OPTIMA Study was launched in the first half of 2014. The OPTIMA Study is expected to enroll up to 550 patients globally at up to 100 sites in the United States, Europe,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OPTIMA Study is 80% powered to show a 33% improvement in OS. The statistical plan calls for two interim efficacy analyses by an independent DMC. As reported in February 2015, post-hoc data from the HEAT Study demonstrate that a sizable, well bounded subgroup of patients in the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arm whose RFA procedure lasted longer than 45 minutes experienced a 59% improvement in overall survival, with a Hazard Ratio of 0.628 (95% CI 0.420 - 0.939) and a P-value = 0.02.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224" w:lineRule="auto"/>
        <w:rPr>
          <w:sz w:val="20"/>
          <w:szCs w:val="20"/>
          <w:color w:val="auto"/>
        </w:rPr>
      </w:pPr>
      <w:r>
        <w:rPr>
          <w:rFonts w:ascii="Arial" w:cs="Arial" w:eastAsia="Arial" w:hAnsi="Arial"/>
          <w:sz w:val="18"/>
          <w:szCs w:val="18"/>
          <w:color w:val="auto"/>
        </w:rPr>
        <w:t>In addition, the Company has met with the China State Food and Drug Administration (CHINA FDA) to discuss the OPTIMA Phase III Study including minimum patient enrollment requirements supporting the registration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China. Based on those discussions, we have submitted an application for accelerated approval of the OPTIMA Study in China. We also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continue with partnerships, such as our arrangement with Hisun to the extent feasible. In addition, we have assessed our product pipeline and research and development priorities. As we evaluate strategic alternatives, we will need to consider a number of factors, including investment in, or acquisition of, complementary businesses, technologies or products, possible capital raising transactions, partnering opportunities and working capital requirements. We expect that the strength of our balance sheet will afford us the opportunity to evaluate our future development plans. However, as demonstrated by the HEAT Study results announced on January 31,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CANCERS OTHER THAN PRIMARY LIVER CANCER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2012, we announced collaboration with the University of Oxford to begin an early phase clinical study of ThermoDox® plus HIFU in the treatment of metastatic liver cancer. The trial, which is supported by the National Institute for Health Research Oxford Biomedical Research Centre, will be carried out as a multidisciplinary collaboration between us, the Oxford University Institute of Biomedical Engineering and the Oxford University Hospitals NHS Trust. This early phase clinical study is being finalized and will require approval from a local ethics committee.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collaboration with the Focused Ultrasound Foundation, we are sponsoring preclinical studies designed to explore the use of ThermoDox® in combination with MR-guided HIFU for the treatment of pancreatic cancer. The studies are being conducted at the University of Washington (UW) School of Medicine. The UW research includes animal models to confirm the ability of HIFU to target concentrations of doxorubicin in proprietary pancreatic cancer cell lines and in vivo studies to assess the response to these tumors treated using ThermoDox® with and without HIFU-induced hyperthermia. We believe that these collaborations are providing important new device technologies such as HIFU to activate our low heat sensitive liposomal technology in difficult-to-treat cancers.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Recurrent Chest Wall (RCW) Breast Cancer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Breast cancer is the most common malignancy in women in both the United States and the world. Despite a variety of therapeutic approaches, up to 40% of the estimated 95,000 patients in the United States undergoing a mastectomy as their primary treatment will develop locally recurrent RCW breast cancer. There is currently no effective chemotherapeutic standard of care for RCW breast cancer and as a result, many of these patients will die within two years of the recurrence. Patients with RCW breast cancer suffer from disfiguring tumors and other symptoms including pain, foul-smelling wounds, and a very visual reminder of tumor progression.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actively seeking a targeted localized treatment for breast cancer using ThermoDox® in conjunction with localized microwave hyperthermia to treat RCW breast cancer. Studies at Duke University and other centers have indicated that heat may improve the therapeutic action of non-temperature sensitive liposomal doxorubicin formulations in advanced loco-regional breast cancer. Our liposomal encapsulated doxorubicin is released by heat generated from an external microwave tissue hyperthermia device that is placed on a woman’s chest. The microwave hyperthermia heats the target to a temperature adequate to activate ThermoDox® but not to ablate the tissue like RFA. Upon heating to 39.5º to 42º C, a significant concentration of doxorubicin is released directly to the tumor. As in our liver cancer program, we use a commercially available thermotherapy device to heat the target tissue and activate ThermoDox® at the desired target site.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Microwave hyperthermia as a separate standalone treatment has been found to have the ability to kill breast cancer cells. Because breast cancer cells have higher water content than surrounding normal cells, the tumor is heated to a greater extent than normal breast tissue and is selectively destroyed. Therefore, heating cancer cells with a microwave device for sixty minutes at 43°C has been found to be tumoricidal. We expect that the combination of microwave hyperthermia and ThermoDox® will be more efficacious than microwave hyperthermia alone or treatment with existing non-heat activated liposomal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I/II Clinical Trial - The DIGNITY Study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2009, the Company commenced an open label, dose-escalating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Phase I/Phase II clinical trial for patients with RCW breast cancer – (the DIGNITY Study).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w:t>
      </w:r>
    </w:p>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completed enrollment of the Phase I portion of the study in 2010 and an independent Data Safety Monitoring Board declared 50mg/m2 to be the Phase II dose. The Phase II portion of the DIGNITY Study protocol has been reviewed by the FDA and enrollment commenced in the first quarter of 2013. The trial is designed to enroll up to 20 patients at five clinical sites in the United States and is evaluating ThermoDox® in combination with mild hyperthermia. Enrollment is expected to be completed in mid-2015 with final clinical results to be reported in the second half of 2015.</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Duke University conducted a Phase I dose escalating ThermoDox® study in patients with RCW breast cancer and has presented preliminary results from the 16 enrolled patients that characterize the safety of the drug in RCW patients and the feasibility of ThermoDox® administration in these patients. In December 2013, we announced combined clinical data from our DIGNITY study and the Duke University sponsored Phase I trial of ThermoDox® plus hyperthermia in RCW breast cancer. The two similarly designed Phase I studies enrolled patients with highly resistant tumors found on the chest wall and who had progressed on previous therapy including chemotherapy, radiation therapy and hormone therapy. ThermoDox® in combination with mild hyperthermia was evaluated in these patients in up to six cycles. Both studies employed an open label 3+3 dose escalation study design to determine the Maximum Tolerated Dose, evaluate safety and determine early effects of ThermoDox® in combination with mild hyperthermia. There were 29 patients treated in the two trials, including 11 patients in the DIGNITY Study and 18 patients in the Duke study. Of the 29 patients, 23 were eligible for evaluation of efficacy. A local response rate of over 60 percent was reported in 14 of the 23 evaluable patients with five complete responses and nine partial responses.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July 24, 2014, we announced interim data from the DIGNITY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RCW Breast Cancer. Of the 14 patients enrolled and treated, ten were eligible for evaluation of efficacy. Based on data available to date, approximately 60% of patients experienced a stabilization of their highly refractory disease with a local response rate of 50% observed in the ten evaluable patients, notably three complete responses, two partial responses and one patient with stable disease. These data are consistent with the combined clinical data from the two Phase I trials discussed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 Clinical Trial - The Euro-DIGNITY Study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anticipates a Phase II study of RadioTherapy (RT), HyperThermia (HT) and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treat patients with local-regional recurrent chest wall breast cancer will be initiated by six to eight physicians and institutions located in Italy, Israel, the Netherlands, Poland and the Czech Republic (the Euro-DIGNITY Study). The Euro-DIGNITY Study will be Phase II study enrolling up to 100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LRR breast cancer, (ii) to evaluate the duration of local control complete response (CR), partial response (PR) and stable disease (SD) following treatment with ThermoDox/Hyperthermia/Radiotherapy up to 24 months among patients with LRR breast cancer and (iii) to assess Patient Reported Quality of Life using the FACT-B and Brief Pain Inventory (BPI) following treatment with ThermoDox/Hyperthermia/Radiotherapy among patients with LRR breast cancer.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Access Program for ThermoDox</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for the Treatment of Patients with RCW Breast Cancer</w:t>
      </w:r>
    </w:p>
    <w:p>
      <w:pPr>
        <w:spacing w:after="0" w:line="115" w:lineRule="exact"/>
        <w:rPr>
          <w:sz w:val="20"/>
          <w:szCs w:val="20"/>
          <w:color w:val="auto"/>
        </w:rPr>
      </w:pPr>
    </w:p>
    <w:p>
      <w:pPr>
        <w:jc w:val="both"/>
        <w:spacing w:after="0" w:line="183" w:lineRule="auto"/>
        <w:rPr>
          <w:sz w:val="20"/>
          <w:szCs w:val="20"/>
          <w:color w:val="auto"/>
        </w:rPr>
      </w:pPr>
      <w:r>
        <w:rPr>
          <w:rFonts w:ascii="Arial" w:cs="Arial" w:eastAsia="Arial" w:hAnsi="Arial"/>
          <w:sz w:val="18"/>
          <w:szCs w:val="18"/>
          <w:color w:val="auto"/>
        </w:rPr>
        <w:t>On January 13, 2015, we entered into an Early Access Agreement with Impatients N.V., a Netherlands company (Impatients), pursuant to which Impatients will develop and execute through its brand myTomorrows an early access program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that may otherwise be subject to approvals from such regulatory authorities before the sale and distribution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relevant territories. We will be responsible for the manufacture and supply of quantities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Impatients for use in the Early Access Program and Impatients will distribute and sell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pursuant to such authorization, exemptions or waivers.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20, 2014, we completed the acquisition of substantially all of the assets of EGEN, Inc. (EGEN) pursuant to an Asset Purchase Agreement (EGEN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acquisition, we purchased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Ovarian cancer is the most lethal of gynecological malignancies among women with an overall five year survival rate of 44.6% between the years 2004 to 2010.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to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Interleukin-12 (IL-12) is a pluripotent cytokine with potent immune-stimulatory and anti-angiogenic properties. The precedence for a therapeutic role of IL-12 in ovarian cancer is based on epidemiologic and preclinical data.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Celsion’s GEN-1 approach for IL-12 delivery is designed to achieve local concentrations of IL-12 at the tumor site with minimal increases in systemic circulation. This DNA-based approach involves intraperitoneal (IP) administration of an IL-12 plasmid formulated with a proprietary lipopolymer delivery system PEG-PEI-Cholesterol. In this approach, our GEN-1 immunotherapy is combined with standard chemotherapy drugs to achieve better clinical outcome than with chemotherapy alone. Increases in IL-12 concentrations at the tumor site for several days after a single administration will create a potent immune environment against the tumor and a direct killing of the tumor with concomitant use of cytotoxic chemotherapy together will resulting in more robust and durable antitumor response than chemotherapy alone. The activation of the body’s immune system will potentially eliminate the chemotherapy resistant cells and lower the risk of recurrence.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Single Agent Clinical Trials</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First-In-Man, Phase 1 clinical trial of GEN-1 monotherapy was conducted to determine the safety/tolerability of IP administered GEN-1 in platinum-resistant (Stage III and IV) ovarian cancer patients who had received 2-6 prior chemotherapy treatments. This open label, non-randomized, dose escalation study enrolled a total of 13 patients in 4 dose escalation cohorts (0.6 (n=3), 3.0 (n=3), 12 (n=4), and 24 (n=3) mg/m</w:t>
      </w:r>
      <w:r>
        <w:rPr>
          <w:rFonts w:ascii="Arial" w:cs="Arial" w:eastAsia="Arial" w:hAnsi="Arial"/>
          <w:sz w:val="28"/>
          <w:szCs w:val="28"/>
          <w:color w:val="auto"/>
          <w:vertAlign w:val="superscript"/>
        </w:rPr>
        <w:t>2</w:t>
      </w:r>
      <w:r>
        <w:rPr>
          <w:rFonts w:ascii="Arial" w:cs="Arial" w:eastAsia="Arial" w:hAnsi="Arial"/>
          <w:sz w:val="17"/>
          <w:szCs w:val="17"/>
          <w:color w:val="auto"/>
        </w:rPr>
        <w:t>). All four weekly treatments of IP administered GEN-1 at escalating doses were well tolerated. Thirty nine percent (39%) of patients treated had stable disease.</w:t>
      </w:r>
    </w:p>
    <w:p>
      <w:pPr>
        <w:spacing w:after="0" w:line="179"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In a Phase II study, GEN-1 IP was administered at 24 mg/m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dose once every week until progression or intolerable toxicity in women with persistent epithelial ovarian, fallopian tube or primary peritoneal cancer. The GEN-1 treatment was well tolerated within this Phase II Study..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Combination Clinical Trials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Phase I dose-escalation trial of IP GEN-1 (12 mg/m</w:t>
      </w:r>
      <w:r>
        <w:rPr>
          <w:rFonts w:ascii="Arial" w:cs="Arial" w:eastAsia="Arial" w:hAnsi="Arial"/>
          <w:sz w:val="30"/>
          <w:szCs w:val="30"/>
          <w:color w:val="auto"/>
          <w:vertAlign w:val="superscript"/>
        </w:rPr>
        <w:t>2</w:t>
      </w:r>
      <w:r>
        <w:rPr>
          <w:rFonts w:ascii="Arial" w:cs="Arial" w:eastAsia="Arial" w:hAnsi="Arial"/>
          <w:sz w:val="18"/>
          <w:szCs w:val="18"/>
          <w:color w:val="auto"/>
        </w:rPr>
        <w:t>, 18 mg/m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and 24 mg/m</w:t>
      </w:r>
      <w:r>
        <w:rPr>
          <w:rFonts w:ascii="Arial" w:cs="Arial" w:eastAsia="Arial" w:hAnsi="Arial"/>
          <w:sz w:val="30"/>
          <w:szCs w:val="30"/>
          <w:color w:val="auto"/>
          <w:vertAlign w:val="superscript"/>
        </w:rPr>
        <w:t>2</w:t>
      </w:r>
      <w:r>
        <w:rPr>
          <w:rFonts w:ascii="Arial" w:cs="Arial" w:eastAsia="Arial" w:hAnsi="Arial"/>
          <w:sz w:val="18"/>
          <w:szCs w:val="18"/>
          <w:color w:val="auto"/>
        </w:rPr>
        <w:t>) plus IV carboplatin (AUC 5)/docetaxel (75 mg/m</w:t>
      </w:r>
      <w:r>
        <w:rPr>
          <w:rFonts w:ascii="Arial" w:cs="Arial" w:eastAsia="Arial" w:hAnsi="Arial"/>
          <w:sz w:val="30"/>
          <w:szCs w:val="30"/>
          <w:color w:val="auto"/>
          <w:vertAlign w:val="superscript"/>
        </w:rPr>
        <w:t>2</w:t>
      </w:r>
      <w:r>
        <w:rPr>
          <w:rFonts w:ascii="Arial" w:cs="Arial" w:eastAsia="Arial" w:hAnsi="Arial"/>
          <w:sz w:val="18"/>
          <w:szCs w:val="18"/>
          <w:color w:val="auto"/>
        </w:rPr>
        <w:t>) was examined in recurrent ovarian cancer patients who had previously treated with first-line chemotherapy and had disease recurrence 6 months after treatment (the platinum-sensitive disease) with a total of 13 patients enrolled in the study. The GEN-1 treatment administered in combination with carboplatin/docetaxel was well tolerated. Increasing the GEN-1 dosing frequency from 4 treatments to 8 treatments in conjunction with chemotherapy was also well tolerated. There were no apparent drug related, clinically significant negative trends in laboratory test results, vital sign measurements, or physical examination findings. The best clinical response rate was 92% including 17% CR, 33% PR and 42% SD. The median progression-free survival and overall survival for all treatment groups was 8.8 months and 16.6 months, respectively.</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Based on encouraging results from GEN-1 monotherapy Phase I and Phase II clinical trials in platinum resistant ovarian cancer patients, a Phase Ib combination trial of GEN-1 plus Doxil initiated in this patient population was conducted. Since the clinical responses to second line therapies is poor (historically the objective response rates are less than 15%), it is hypothesized that the addition of GEN-1 would improve the clinical outcome in this difficult to treat patient population. This trial, which was a standard 3 + 3 Phase I, three cohort, dose escalation study in three cohorts which enrolled 16 evaluable patients receiving increasing doses of Doxil and GEN-1. Of these 16 evaluable patients on this study, a clinical benefit of 57.1% (PR=21.4%; SD=35.7%) was found in the 14 patients with a measurable disease. The highest number of partial responses was found at the highest dose level (36 mg/m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dose of GEN-1 combined with 50 mg/m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Doxil) which demonstrated that the maximum tolerated dose was not exceeded. These results from the combination trial are highly encouraging since the historical Objective Response Rate in Doxil treated patients is less than 15%.</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2015, we announced that we submitted to the FDA a Phase I clinical trial protocol for GEN-1 for the treatment of ovarian cancer. The protocol, developed with guidance from the Company’s Medical Advisory Board, is designed to establish a safe dose and biological activity of GEN-1 in newly diagnosed ovarian cancer patients who will be undergoing neoadjuvant chemotherapy. The clinical trial will identify a safe, tolerable and potentially therapeutically active dose of GEN-1 while maximizing an immune response with the potential to identify an enhanced population for definitive study. In February 2015, we announced that the FDA has accepted, without comment, the Phase I dose-escalation clinical trial of GEN-1 in combination with the standard of care in neo-adjuvant ovarian cancer. The trial is designed to enroll three to six patients per dose level and will evaluate safety and efficacy and attempt to define an optimal dose to carry forward into a Phase II trial. We expect to initiate enrollment for the trial in the second half of 2015 at five to six U.S. clinical centers.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THERAPLAS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TECHNOLOGY PLATFORM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a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design of TheraPlas delivery systems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escaped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approach to improve PEI activity involved crosslinking low-molecular-weight PEIs through degradable linkages to create larger and degradable structures. Two cross-linked polymers have been synthesized with this approach and optimized for transfection activity. Both cross-linked polymers expressed several fold higher transfection activity than their respective monomers and lower cyotoxicity than a commercially available 25 kDa polymer. One embodiment of the polymer is being developed for in vivo delivery of plasmid DNA and mRNA. Intravenous administration of the nanoparticles carrying DNA or mRNA payload in mice has produced expression with high degree of lung specificity. The lung specificity and safety for mRNA delivery following intravenous administration in mice has been confirmed in non-human primates. These results demonstrate potential clinical utility for delivery of therapeutic DNA and RNA for lung diseases and pulmonary disorders.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excellent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an excellent position to capitalize on the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THERASILENCE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TECHNOLOGY PLATFORM</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TheraSilence™ is a technology platform for the delivery of synthetically-generated inhibitory RNA (RNAi) such as small inhibitory RNAs (siRNAs), microRNAs, microRNA mimics, and related molecules that can regulate protein expression at the transcript level by exploiting endogenous cell mechanisms. Inhibitory RNA based therapies have tremendous potential for targeting virtually any disease related gene with a high degree of specificity and thus eliminating so called “non-drugable” target classes. The TheraSilence™ technology addresses the primary obstacle to nucleic acid-based therapeutics which is the efficient delivery to target cells. Specifically, a delivery system needs to be able to protect the RNAi from nuclease degradation, transfer the molecule across the cellular membranes and release the material so that it can be available to the endogenous RNA silencing machinery. We have developed proprietary, novel structures that are able to interact with the RNAi molecules forming protective nanoparticles that can be readily taken up into cells. In addition, these systems are chemically flexible and amenable to attachment of tissue-targeted ligands, in vivo stabilizing agents and other functional moieties which can tailor a formulation for a particular application and delivery modality. We believe that these features can provide high specificity for RNAi delivery to select tissue, enhance stability and reduce in vivo toxicity. In-vivo proof-of-concept studies of our most advanced system have shown the ability to deliver RNAi molecules specifically to the pulmonary vascular following intravenous administration. Using this delivery system we have been able to show in mice that delivery of a siRNA molecule that targets anti-vascular endothelial receptor 2 (VEGF2), a protein that is critical for the growth of new blood vessels in tumors, can significantly inhibit lung tumor growth. Additionally, delivery of an anti-micro RNA molecule into rats with experimentally induced pulmonary arterial hypertension was able to normalize vascular remodeling that occurs in the lung and restore cardiac function that is compromised as a result of the disease. This suggests that this delivery system can effective deliver numerous potentially therapeutic molecular targets and may have application for the treatment of numerous lung diseases.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engaged in a limited amount of research and development in our own facilities and have sponsored research programs in partnership with various research institutions, including the National Cancer Institute and Duke University. We are currently, with minimal cash expenditures, sponsoring clinical and pre-clinical research at the University of Oxford, University of Utrecht, Brigham and Women’s Hospital and the University of Washington. The majority of the spending in research and development is for the funding of ThermoDox® clinical trials. Research and development expenses were approximately $15.0 million, $9.4 million and $15.8 million for the years ended December 31, 2014, 2013 and 2012, respectively. See </w:t>
      </w:r>
      <w:r>
        <w:rPr>
          <w:rFonts w:ascii="Arial" w:cs="Arial" w:eastAsia="Arial" w:hAnsi="Arial"/>
          <w:sz w:val="18"/>
          <w:szCs w:val="18"/>
          <w:i w:val="1"/>
          <w:iCs w:val="1"/>
          <w:color w:val="auto"/>
        </w:rPr>
        <w:t>Item 7 –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 </w:t>
      </w:r>
      <w:r>
        <w:rPr>
          <w:rFonts w:ascii="Arial" w:cs="Arial" w:eastAsia="Arial" w:hAnsi="Arial"/>
          <w:sz w:val="18"/>
          <w:szCs w:val="18"/>
          <w:color w:val="auto"/>
        </w:rPr>
        <w:t>for additional information regarding expenditures related to our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activities, pre-clinical tests and clinical trials are subject to extensive regulation by the FDA as would the manufacturing, marketing and labeling of our products, if any. The Federal Food, Drug and Cosmetic Act, the Public Health Service Act and the regulations promulgated by the FDA govern, among other things, the testing, manufacture, safety, efficacy, labeling, storage, record keeping, approval, advertising, promotion, import and export of our products.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Under these statutes, our heat-activated liposomes will be regulated as a new drug. The steps ordinarily required before such products can be marketed in the U.S. include (a) pre-clinical and clinical studies; (b) the submission to the FDA of an application for, or approval, as an Investigational New Drug application (IND), which must become effective before human clinical trials may commence; (c) adequate and well-controlled human clinical trials to establish the safety and efficacy of the product; (d) the submission to the FDA of a New Drug Application (NDA); and (e) FDA approval of the application, including approval of all product labeling.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Pre-clinical tests include laboratory evaluation of product chemistry,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 or that a product candidate otherwise will come to market.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involve the administration of therapy to humans under the supervision of a qualified principal investigator. Clinical trials must be conducted in accordance with good clinical practices under protocols submitted to the FDA as part of an IND. Also, each clinical trial must be approved and conducted under the auspices of an internal review board (IRB), and with patient informed consent. An IRB will consider, among other things, ethical factors and the safety of human subjects and the possible liability of the institution conducting the clinical trials.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are typically conducted in two or three sequential phases, but the phases may overlap. Phase I clinical trials involve the initial introduction of the therapy to a small number of subjects. Phase II trials are generally larger trials conducted in the target population. Phase II studies may serve as the pivotal trials, providing the demonstration of safety and effectiveness required for approval. However, the FDA may require additional, post-market trials as a condition of approval. In the case of drugs and biological products, Phase II clinical trials generally are conducted in a target patient population to gather evidence about the pharmacokinetics, safety and biological or clinical efficacy of the drug for specific indications, to determine dosage tolerance and optimal dosage and to identify possible adverse effects and safety risks. When a drug or biological compound has shown evidence of efficacy and an acceptable safety profile in Phase II evaluations, Phase III clinical trials are undertaken to serve as the pivotal trials to demonstrate clinical efficacy and safety in an expanded patient population.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On January 31, 2013, we announced that ThermoDox® in combination with RFA did not meet the primary endpoint of the HEAT study in patients with HCC, also known as primary liver cancer. Specifically, we determined, after conferring with the DMC, that the HEAT study did not meet the goal of demonstrating persuasive evidence of clinical effectiveness that could form the basis for regulatory approval in the population chosen for the HEAT study.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24, 2014, we announced that the FDA, after its customary 30 day review period, accepted without comment, subject to compliance with regulatory standards, clearance for the OPTIMA Study our pivotal, double-blind, placebo-controlled Phase III trial of ThermoDox® in combination with RFA in primary liver cancer, also known as HCC. The OPTIMA Study trial design is based on a comprehensive analysis of data from our Phase III HEAT Study.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Either the FDA or we may suspend clinical trials at any time, if the FDA, our independent DMC, or we conclude that clinical subjects are being exposed to an unacceptable health risk or for other reasons.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FDA also examines whether there was bias in the conduct of clinical trials. The conduct of clinical trials is complex and difficult, especially in pivotal Phase II or Phase III trials. There can be no assurance that the design or the performance of the pivotal clinical trial protocols or any of our current or future product candidates will be successful.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results of pre-clinical studies and clinical trials, if successful, are submitted in an application for FDA approval to market the drug or biological product for a specified use. The testing and approval process requires substantial time and effort, and there can be no assurance that any approval will be granted for any product at any time, according to any schedule, or at all. The FDA may refuse to accept or approve an application if it believes that applicable regulatory criteria are not satisfied. The FDA may also require additional testing for safety and efficacy. Moreover,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30" w:lineRule="auto"/>
        <w:rPr>
          <w:sz w:val="20"/>
          <w:szCs w:val="20"/>
          <w:color w:val="auto"/>
        </w:rPr>
      </w:pPr>
      <w:r>
        <w:rPr>
          <w:rFonts w:ascii="Arial" w:cs="Arial" w:eastAsia="Arial" w:hAnsi="Arial"/>
          <w:sz w:val="17"/>
          <w:szCs w:val="17"/>
          <w:color w:val="auto"/>
        </w:rPr>
        <w:t>In 2009, the FDA granted orphan drug designation for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treatment of HCC. Orphan drug designation entitles the Company to seven years of market exclusivity following regulatory approval, if any, FDA assistance in clinical trial design, a reduction in FDA user fees, U.S. tax credits related to development expenses and the opportunity to apply for funding from the U.S. government to defray the costs of clinical trial expenses.</w:t>
      </w:r>
    </w:p>
    <w:p>
      <w:pPr>
        <w:spacing w:after="0" w:line="20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Any FDA-approved drug utilizing the patented technologies may also be eligible for regulatory exclusivities, such as new chemical entity exclusivity of five years in the US, and orphan drug exclusivity of seven years in the US and ten years in Europe. Additionally, an FDA-approved drug may be eligible for Biologics Exclusivity of 12 years in the US, ten years in Europe, five years in Australia, eight years in Canada and eight years in Japan.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After receipt of necessary regulatory approvals, if any, for initial manufacturing and sale of our product candidates, our contract manufacturing facilities and products are subject to ongoing review and periodic inspection. Each U.S. drug manufacturing establishment must be registered with the FDA. Manufacturing establishments in the U.S. and abroad are subject to inspections by the FDA and must comply with current good manufacturing practices. In order to ensure full technical compliance with such practices, manufacturers must expend funds, time and effort in the areas of production and quality control. In addition, the FDA may impose post-approval requirements on us, including the requirement that we conduct specified post-marketing studies.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are in compliance with FDA regulations. Following such inspections, the FDA may issue notices on Form 483 and warning letters that require certain activities identified during the inspection to be modified. A Form 483 notice is generally issued at the conclusion of an FDA inspection and lists conditions the FDA inspectors believe may violate FDA regulations. FDA guidelines specify that a warning letter only is to be issued for violations of “regulatory significance” for which the failure to adequately and promptly achieve correction may be expected to result in an enforcement 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Recalls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FDA Regulations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are also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Regulation Outside of the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regulations in the U.S., we will be subject to regulations of other countries governing any clinical trials and commercial sales and distribution of our product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and China,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European Union regulatory systems, a company may submit marketing authorization applications either under a centralized or decentralized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2011, the European Commission granted orphan drug designation for ThermoDox® for the treatment of HCC in Europe. As established by the EMA, orphan drug designation provides for scientific advice and regulatory assistance from the EMA, direct access to centralized marketing authorization and certain financial incentives, such as reduction of fees associated with pre-authorization inspections and marketing authorization application fees. The orphan drug designation in Europe also provides 10 years of market exclusivity subsequent to product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current Good Manufacturing Practice (cGMP) conditions. cGMP is a regulatory standard for the production of pharmaceuticals that will be used in humans.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intense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GEN-1’s studied indications include ovarian cancer and glioblastoma multiforme (GBM) brain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the competitive landscape for both indications, early stage indications are treated with chemotherapy (temozolomide, BCNU, CCNU for brain cancer; docetaxel, doxil and cisplatinum for ovarian cancer), while later stage ovarian and GBM cancer are treated with Bevacizumab - Avastin</w:t>
      </w:r>
      <w:r>
        <w:rPr>
          <w:rFonts w:ascii="Arial" w:cs="Arial" w:eastAsia="Arial" w:hAnsi="Arial"/>
          <w:sz w:val="30"/>
          <w:szCs w:val="30"/>
          <w:color w:val="auto"/>
          <w:vertAlign w:val="superscript"/>
        </w:rPr>
        <w:t>®</w:t>
      </w:r>
      <w:r>
        <w:rPr>
          <w:rFonts w:ascii="Arial" w:cs="Arial" w:eastAsia="Arial" w:hAnsi="Arial"/>
          <w:sz w:val="18"/>
          <w:szCs w:val="18"/>
          <w:color w:val="auto"/>
        </w:rPr>
        <w:t>, an anti-angiogenesis inhibitor. Avastin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currently also being evaluated for early stage disease.</w:t>
      </w:r>
    </w:p>
    <w:p>
      <w:pPr>
        <w:spacing w:after="0" w:line="5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product positioning for both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w:t>
      </w:r>
      <w:r>
        <w:rPr>
          <w:rFonts w:ascii="Arial" w:cs="Arial" w:eastAsia="Arial" w:hAnsi="Arial"/>
          <w:sz w:val="30"/>
          <w:szCs w:val="30"/>
          <w:color w:val="auto"/>
          <w:vertAlign w:val="superscript"/>
        </w:rPr>
        <w:t>®</w:t>
      </w:r>
      <w:r>
        <w:rPr>
          <w:rFonts w:ascii="Arial" w:cs="Arial" w:eastAsia="Arial" w:hAnsi="Arial"/>
          <w:sz w:val="18"/>
          <w:szCs w:val="18"/>
          <w:color w:val="auto"/>
        </w:rPr>
        <w:t>. We plan to initiate clinical studies in the second half of 2015 for both indications.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United States patents.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United States, which expires in 2018, and to future patents received by Duke in Canada, Europe, Japan and Australia, where it has patent applications have been granted. The European grant provides coverage in the European Community. For this technology, our license rights are worldwide, including the United States, Canada, certain European countries, Australia, Hong Kong, and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2013, Celsion announced that its proprietary patent application, "Method of Storing Nanoparticle Formulations," had been allowed in China and granted in South Korea and Australia. Celsion holds an exclusive license agreement with Duke University for its temperature-sensitive liposome technology that covers the ThermoDox® formulation. Celsion's newly issued patents pertain specifically to methods of storing stabilized, temperature-sensitive liposomal formulations and will assist in the protection of global rights. These patents will extend the overall term of the ThermoDox® patent portfolio to 2026. The patents in these three countries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ThermoDox technology, we either exclusively license or own US and international patents with claims and methods and compositions of matters that cover various aspects of LTSL technology, with expiration dates ranging from 2019 to 2026.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TheraPlas technology, we own three US and international patent families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TheraSilence technology, we own multiple US and international patent families and related applications with claims and methods and compositions of matters that cover various aspects of TheraSilence technology, with expiration dates to 2031.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RAST technology, we own US and international patents with claims and methods and compositions of matters that cover various aspects of RAST technology, with expiration dates to 2030.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 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 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89" w:lineRule="auto"/>
        <w:rPr>
          <w:sz w:val="20"/>
          <w:szCs w:val="20"/>
          <w:color w:val="auto"/>
        </w:rPr>
      </w:pPr>
      <w:r>
        <w:rPr>
          <w:rFonts w:ascii="Arial" w:cs="Arial" w:eastAsia="Arial" w:hAnsi="Arial"/>
          <w:sz w:val="16"/>
          <w:szCs w:val="16"/>
          <w:color w:val="auto"/>
        </w:rPr>
        <w:t>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Item 1A, Risk Factors,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Item 1A, Risk Factors,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11, 2015, we employed 28 full-time employees. We also maintain active independent contractor relationships with various individuals, most of whom have month-to-month or annual consulting agreements. None of our employees are covered by a collective bargaining agreement, and we consider our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Celsion was founded in 1982 and is a Delaware corporation. Our principal executive offices are located at 997 Lenox Drive, Suite 100, Lawrenceville, NJ 08648. Our telephone number is (609) 896-9100. The Company’s website is </w:t>
      </w:r>
      <w:r>
        <w:rPr>
          <w:rFonts w:ascii="Arial" w:cs="Arial" w:eastAsia="Arial" w:hAnsi="Arial"/>
          <w:sz w:val="18"/>
          <w:szCs w:val="18"/>
          <w:u w:val="single" w:color="auto"/>
          <w:color w:val="auto"/>
        </w:rPr>
        <w:t>www.celsion.com</w:t>
      </w:r>
      <w:r>
        <w:rPr>
          <w:rFonts w:ascii="Arial" w:cs="Arial" w:eastAsia="Arial" w:hAnsi="Arial"/>
          <w:sz w:val="18"/>
          <w:szCs w:val="18"/>
          <w:color w:val="auto"/>
        </w:rPr>
        <w:t>. The information contained in, or that can be accessed through, our website is not part of, and is not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available free of charge through our website, www.celsion.com, our Annual Report on Form 10-K,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In addition, copies of these documents will be made available free of charge upon written request. The public may read and copy any materials filed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on Form 10-K and should not be relied upon.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and 2013, we issued a total of 8.0 million shares of common stock; including shares of common stock issued upon conversion of the 15,000.00422 shares of Series A 0% convertible preferred stock, in the following equity transactions for an aggregate $46.6 million in gross proceeds. On October 28, 2013, we effected a 4.5-to-1 reverse stock split of our common stock. Unless otherwise expressly stated, the share and per share data in this section and elsewhere in this Annual Report on Form 10-K have been adjusted to reflect the reverse stock split.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ind w:left="860" w:hanging="420"/>
        <w:spacing w:after="0" w:line="238"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February 1,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pursuant to which we may offer and sell, from time to time through “at-the-market” offerings, shares of our common stock having an aggregate offering price of up to $25.0 million. From February 1, 2013 through February 25, 2013, we sold and issued an aggregate of 1,195,923 shares of common stock under such agreement for approximately $6.8 million in aggregate gross proceeds.</w:t>
      </w:r>
    </w:p>
    <w:p>
      <w:pPr>
        <w:spacing w:after="0" w:line="202" w:lineRule="exact"/>
        <w:rPr>
          <w:rFonts w:ascii="Arial" w:cs="Arial" w:eastAsia="Arial" w:hAnsi="Arial"/>
          <w:sz w:val="17"/>
          <w:szCs w:val="17"/>
          <w:color w:val="auto"/>
        </w:rPr>
      </w:pPr>
    </w:p>
    <w:p>
      <w:pPr>
        <w:jc w:val="both"/>
        <w:ind w:left="860" w:hanging="420"/>
        <w:spacing w:after="0" w:line="279"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February 22, 2013, we entered into a Securities Purchase Agreement with certain institutional investors, pursuant to which the we sold, in a registered direct offering, an aggregate of 15,000.00422 shares of our Series A 0% convertible preferred stock and warrants to purchase up to 1,341,382 shares of common stock, for an aggregate purchase price of approximately $15.0 million in gross proceeds. All of the shares of Series A 0% convertible preferred stock have been converted into 2,682,764 shares of common stock.</w:t>
      </w:r>
    </w:p>
    <w:p>
      <w:pPr>
        <w:spacing w:after="0" w:line="171" w:lineRule="exact"/>
        <w:rPr>
          <w:rFonts w:ascii="Arial" w:cs="Arial" w:eastAsia="Arial" w:hAnsi="Arial"/>
          <w:sz w:val="17"/>
          <w:szCs w:val="17"/>
          <w:color w:val="auto"/>
        </w:rPr>
      </w:pPr>
    </w:p>
    <w:p>
      <w:pPr>
        <w:jc w:val="both"/>
        <w:ind w:left="860" w:hanging="420"/>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30, 2013, we entered into a Securities Purchase Agreement with certain institutional investors, pursuant to which we sold, in a registered direct offering, an aggregate of 1,392,109 shares of our common stock for an aggregate purchase price of approximately $9.8 million in gross proceeds.</w:t>
      </w:r>
    </w:p>
    <w:p>
      <w:pPr>
        <w:spacing w:after="0" w:line="181" w:lineRule="exact"/>
        <w:rPr>
          <w:rFonts w:ascii="Arial" w:cs="Arial" w:eastAsia="Arial" w:hAnsi="Arial"/>
          <w:sz w:val="18"/>
          <w:szCs w:val="18"/>
          <w:color w:val="auto"/>
        </w:rPr>
      </w:pPr>
    </w:p>
    <w:p>
      <w:pPr>
        <w:jc w:val="both"/>
        <w:ind w:left="860" w:hanging="420"/>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we received gross proceeds of approximately $0.4 million from the exercise of warrants and common stock options to purchase 30,499 shares of common stock.</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costs incurred in connection with the acquisition.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investment resources of $37.1 million on hand at December 31, 2014, coupled with our access to the ATM, are sufficient to fund operations through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13, 2015, we entered into an Early Access Agreement with Impatients N.V., a Netherlands company (Impatients), pursuant to which Impatients will develop and execute through its brand myTomorrows an early access program for ThermoDox®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w:t>
      </w:r>
    </w:p>
    <w:p>
      <w:pPr>
        <w:spacing w:after="0" w:line="18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Under the Early Access Agreement, we granted to Impatients, specifically for the treatment of RCW breast cancer in the Territory, an exclusive, royalty-free right to perform the early access program activities, reference regulatory documentation and approvals that we own, and use our trademarks relating to ThermoDox</w:t>
      </w:r>
      <w:r>
        <w:rPr>
          <w:rFonts w:ascii="Arial" w:cs="Arial" w:eastAsia="Arial" w:hAnsi="Arial"/>
          <w:sz w:val="30"/>
          <w:szCs w:val="30"/>
          <w:color w:val="auto"/>
          <w:vertAlign w:val="superscript"/>
        </w:rPr>
        <w:t>®</w:t>
      </w:r>
      <w:r>
        <w:rPr>
          <w:rFonts w:ascii="Arial" w:cs="Arial" w:eastAsia="Arial" w:hAnsi="Arial"/>
          <w:sz w:val="18"/>
          <w:szCs w:val="18"/>
          <w:color w:val="auto"/>
        </w:rPr>
        <w:t>. In addition, we granted to Impatients an option to negotiate an exclusive license to distribute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Territory after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receives regulatory approval in a country within the Territory.</w:t>
      </w:r>
    </w:p>
    <w:p>
      <w:pPr>
        <w:spacing w:after="0" w:line="69"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Territory, we will be obligated to pay Impatients, subject to a maximum cap, a low single-digit royalty of net sales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(Exchange Act), and Section 27A of the Securities Act of 1933, as amended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$195 million at December 31, 2014. For the years ended December 31, 2012, 2013 and 2014, we incurred a net loss of $25.5 million, $8.3 million and $25.2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(formerly known as EGEN-</w:t>
      </w:r>
    </w:p>
    <w:p>
      <w:pPr>
        <w:spacing w:after="0" w:line="5" w:lineRule="exact"/>
        <w:rPr>
          <w:sz w:val="20"/>
          <w:szCs w:val="20"/>
          <w:color w:val="auto"/>
        </w:rPr>
      </w:pPr>
    </w:p>
    <w:p>
      <w:pPr>
        <w:jc w:val="both"/>
        <w:ind w:firstLine="8"/>
        <w:spacing w:after="0" w:line="269" w:lineRule="auto"/>
        <w:tabs>
          <w:tab w:leader="none" w:pos="381" w:val="left"/>
        </w:tabs>
        <w:numPr>
          <w:ilvl w:val="0"/>
          <w:numId w:val="6"/>
        </w:numPr>
        <w:rPr>
          <w:rFonts w:ascii="Arial" w:cs="Arial" w:eastAsia="Arial" w:hAnsi="Arial"/>
          <w:sz w:val="17"/>
          <w:szCs w:val="17"/>
          <w:color w:val="auto"/>
        </w:rPr>
      </w:pPr>
      <w:r>
        <w:rPr>
          <w:rFonts w:ascii="Arial" w:cs="Arial" w:eastAsia="Arial" w:hAnsi="Arial"/>
          <w:sz w:val="17"/>
          <w:szCs w:val="17"/>
          <w:color w:val="auto"/>
        </w:rPr>
        <w:t>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and we plan to initial a Phase I dose-escalation clinical trial of GEN-1 in combination with the standard of care in neo-adjuvant ovarian cancer in the second half of. The delivery technology platforms that we purchased from EGEN are in preclinical stages of development. We do not expect to realize any revenue from product sales in the next several years, if at all, other than the sale of reagent products we acquired from EGEN.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December 31, 2014, we had approximately $ 37.1 million in cash, cash equivalents and short-term investments. We have substantial future capital requirements to continue our research and development activities and advance our drug candidates through various development stages, including the product candidates and technology platforms that we purchased from EGEN in June 2014. For example, ThermoDox® is being evaluated in a Phase III clinical trial in combination with RFA for the treatment of primary liver cancer, a Phase II clinical trial for the treatment of recurrent chest wall breast cancer and other preclinical studies. We plan to initial a Phase I dose-escalation clinical trial of GEN-1 in combination with the standard of care in neo-adjuvant ovarian cancer in the second half of 2015.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(formerly known as EGEN-001) and its therapeutic platform technologies, TheraPlas™ 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acquired operations and product candidates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to materialize.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We have incurred, and will continue to incur, significant costs in connection with our acquisition of substantially all of the assets of EGEN.</w:t>
      </w:r>
    </w:p>
    <w:p>
      <w:pPr>
        <w:spacing w:after="0" w:line="241"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We have incurred and expect to continue to incur a number of non-recurring costs associated with our integration of the assets purchased from EGEN. These costs and expenses include the incurrence of $5.0 million of new indebtedness and approximately $1.4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6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340" w:hanging="10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340" w:hanging="10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40" w:right="140" w:hanging="2"/>
        <w:spacing w:after="0" w:line="277" w:lineRule="auto"/>
        <w:tabs>
          <w:tab w:leader="none" w:pos="3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left="340" w:hanging="10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340" w:hanging="10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69"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or our drug candidates may prove not to be effective in practice.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$4.57 and a low price of $2.30 in the 52-week period ended December 31, 2014 and a high price of $3.15 and a low price of $2.20 from January 2, 2015 through March 10, 2015.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1420" w:hanging="494"/>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1420" w:hanging="494"/>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1420" w:right="20" w:hanging="494"/>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25" w:lineRule="exact"/>
        <w:rPr>
          <w:rFonts w:ascii="Arial" w:cs="Arial" w:eastAsia="Arial" w:hAnsi="Arial"/>
          <w:sz w:val="18"/>
          <w:szCs w:val="18"/>
          <w:color w:val="auto"/>
        </w:rPr>
      </w:pPr>
    </w:p>
    <w:p>
      <w:pPr>
        <w:ind w:left="1420" w:hanging="481"/>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11, 2015, we had 19,984,703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10, 2015, we have a significant number of securities convertible into, or allowing the purchase of, our common stock, including 4,169,914 shares of common stock issuable upon exercise of warrants outstanding, 1,751,773 options to purchase shares of our common stock and restricted stock awards outstanding, and 1,922,497 shares of common stock reserved for future issuance under our stock incentive plans. Under the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had only sold $6.8 million under the Sales Agreement as of March 10, 2015.</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March 10, 2015, the closing sale price of our common stock was $2.76, the total market value of our publicly held shares of our common stock (excluding shares held by our executive officers, directors and 10% or more stockholders) was approximately $47.4 million and the total market value of our listed securities was approximately $55.2 million. There is no assurance that we will continue to meet the minimum closing price requirement and other listing requirements. As of December 31, 2014, we had stockholders’ equity of $33.1 million.</w:t>
      </w:r>
    </w:p>
    <w:p>
      <w:pPr>
        <w:spacing w:after="0" w:line="182"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2014, 2013 and 2012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on July 25, 2011, February 5, 2013 and on June 3, 2013.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28 months. As required by the lease, we provided Brandywine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we reduced the escrow deposit by $50,000 each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an 11,500 square foot premises located in Huntsville Alabama. This lease has a remaining term of 37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for Our Common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common stock trades on The NASDAQ Capital Market under the symbol “CLSN”. The following table sets forth the high and low reported closing sale prices for the periods indicated as adjusted to reflect the 4.5-to-1 reverse stock split of our common stock effective October 28, 2013.</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2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First Quarter (January 1 – March 31, 2014)</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(April 1 – June 30, 2014)</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Third Quarter (July 1 – September 30, 2014)</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(October 1 – December 31, 2014)</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First Quarter (January 1 – March 31, 2013)</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42.12</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(April 1 – June 30, 2013)</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Third Quarter (July 1 – September 30, 2013)</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(October 1 – December 31, 2013)</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First Quarter (January 1 – March 31, 2012)</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(April 1 – June 30, 2012)</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14.09</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Third Quarter (July 1 – September 30, 2012)</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26.55</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(October 1 – December 31, 2012)</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10, 2015, the last reported sale price for our Common Stock on the NASDAQ Capital Market was $2.76. As of March 10, 2015, there were approximately 16,000 stockholders of record of our Common Stock. The actual number of stockholders is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performance graph shall not be deemed “soliciting material” or to be “filed” with the Securities and Exchange Commission for purposes of Section 18 of the Securities Exchange Act of 1934, as amended (the Exchange Act), or otherwise subject to the liabilities under that section, and shall not be deemed to be incorporated by reference into any filing of Celsion under the Securities Act of 1933, as amended, or the Exchange Act.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graph compares the percentage change in the cumulative return to the stockholders of our common stock during the five year period ended December 31, 2014 with the cumulative return the NASDAQ Composite Index and the NASDAQ Biotechnology Index for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136525</wp:posOffset>
            </wp:positionV>
            <wp:extent cx="5385435" cy="3361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8543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graph assumes that $100 was invested on December 31, 2009 in our common stock or an index, and that all dividends were reinvested. We have not declared nor paid any dividends on our common stock. Stockholder returns over the indicated period should not be considered indicative of future stockholder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unregistered shares of equity securities have been previously reported by the Company in its Quarterly Reports on Form 10-Q or Current Reports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selected financial data set forth below is not necessarily indicative of results of future operations and should be read together with Item 7, “Management’s Discussion and Analysis of Financial Condition and Results of Operations,” and the financial statements and related notes thereto included in Part II, Item 8 of this Annual Report on Form 10-K to fully understand factors that may affect the comparability of the information presented below. All shares and per share data prior to 2014 have been adjusted to reflect the 4.5-to-1 reverse split of our common stock effected as of October 28,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6,373</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22,143</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(15,411)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(22,143)</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(26,569)</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(23,223)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2"/>
              </w:rPr>
              <w:t>Non-cash deemed dividend from beneficial conversion feature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(4,602)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on convertible preferred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tcPr>
          <w:p>
            <w:pPr>
              <w:ind w:left="160"/>
              <w:spacing w:after="0" w:line="182" w:lineRule="exact"/>
              <w:rPr>
                <w:sz w:val="20"/>
                <w:szCs w:val="20"/>
                <w:color w:val="auto"/>
              </w:rPr>
            </w:pPr>
            <w:r>
              <w:rPr>
                <w:rFonts w:ascii="Arial" w:cs="Arial" w:eastAsia="Arial" w:hAnsi="Arial"/>
                <w:sz w:val="18"/>
                <w:szCs w:val="18"/>
                <w:color w:val="auto"/>
                <w:w w:val="94"/>
              </w:rPr>
              <w:t>Net loss attributable to common shareholders per common</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(1.38)</w:t>
            </w:r>
          </w:p>
        </w:tc>
        <w:tc>
          <w:tcPr>
            <w:tcW w:w="34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(0.95)</w:t>
            </w:r>
          </w:p>
        </w:tc>
        <w:tc>
          <w:tcPr>
            <w:tcW w:w="32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(3.44)</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(5.00)</w:t>
            </w:r>
          </w:p>
        </w:tc>
        <w:tc>
          <w:tcPr>
            <w:tcW w:w="32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Pr>
          <w:p>
            <w:pPr>
              <w:ind w:left="320"/>
              <w:spacing w:after="0" w:line="190" w:lineRule="exact"/>
              <w:rPr>
                <w:sz w:val="20"/>
                <w:szCs w:val="20"/>
                <w:color w:val="auto"/>
              </w:rPr>
            </w:pPr>
            <w:r>
              <w:rPr>
                <w:rFonts w:ascii="Arial" w:cs="Arial" w:eastAsia="Arial" w:hAnsi="Arial"/>
                <w:sz w:val="18"/>
                <w:szCs w:val="18"/>
                <w:color w:val="auto"/>
              </w:rPr>
              <w:t>share - basic and diluted</w:t>
            </w:r>
          </w:p>
        </w:tc>
        <w:tc>
          <w:tcPr>
            <w:tcW w:w="3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Weighted average shares used in computing net loss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18,472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13,541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7,731</w:t>
            </w:r>
          </w:p>
        </w:tc>
        <w:tc>
          <w:tcPr>
            <w:tcW w:w="3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4,648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8"/>
              </w:rPr>
              <w:t>available to common shareholders per common share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Investment securities, available for sale (including interest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receivable on investments)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37,368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8,104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45,671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liability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31,524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11,962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1" w:name="page42"/>
    <w:bookmarkEnd w:id="41"/>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discussions should be read in conjunction with our financial statements and related notes thereto included in this Annual Report on Form 10-</w:t>
      </w:r>
    </w:p>
    <w:p>
      <w:pPr>
        <w:spacing w:after="0" w:line="46" w:lineRule="exact"/>
        <w:rPr>
          <w:sz w:val="20"/>
          <w:szCs w:val="20"/>
          <w:color w:val="auto"/>
        </w:rPr>
      </w:pPr>
    </w:p>
    <w:p>
      <w:pPr>
        <w:jc w:val="both"/>
        <w:ind w:firstLine="8"/>
        <w:spacing w:after="0" w:line="290" w:lineRule="auto"/>
        <w:tabs>
          <w:tab w:leader="none" w:pos="2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discussion contains forward-looking statements made pursuant to the safe harbor provisions of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Part I, Item 1A – Risk Factors appearing in this Annual Report on Form 10-K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clinical trial for the treatment of primary liver cancer and a Phase II clinical trial for the treatment of recurrent chest wall breast cancer.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ThermoDox®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in combination with a standardized radiofrequency ablation (RFA) protocol, for primary liver cancer (the OPTIMA Study)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The HEAT Study. </w:t>
      </w:r>
      <w:r>
        <w:rPr>
          <w:rFonts w:ascii="Arial" w:cs="Arial" w:eastAsia="Arial" w:hAnsi="Arial"/>
          <w:sz w:val="17"/>
          <w:szCs w:val="17"/>
          <w:color w:val="auto"/>
        </w:rPr>
        <w:t>On January 31, 2013, we announced that ThermoDox® in combination with RFA did not meet the primary endpoint of Progression Free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Survival (PFS) for the 701 patient clinical trial in patients with primary liver cancer (the HEAT Study). Specifically, we determined, after conferring with the HEAT Study independent Data Monitoring Committee (DMC),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the secondary endpoint of the HEAT Study, on a quarterly basis. We have conducted a comprehensive analysis of the data from the HEAT Study to assess the future strategic value of ThermoDox®. As part of this analysis, we are also re-evaluating our product pipeline and research and development priorities. In April 2013, we announced the deferral of expenses associated with our Phase II study of ThermoDox® in combination with RFA for the treatment of colorectal liver metastases (the ABLATE Study) until such time as we finalize our plans for the continuation of its development program with ThermoDox® in primary liver cancer, also known as hepatocellular carcinoma (HCC).</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data from the HEAT Study post-hoc analysis suggest that ThermoDox® may substantially improve overall survival, when compared to the control group, in patients if their tumors undergo optimal RFA treatment. Data from six overall survival sweeps have been conducted since the top line PFS data from the HEAT Study were announced in January 2013. The most recent post-hoc analysis data from the HEAT Study announced in February 2015 demonstrate that the patient subgroup in the ThermoDox® arm whose RFA procedure lasted longer than 45 minutes (285 patients or 41% of the study patients), experienced a 59% improvement in overall survival, with a Hazard Ratio of 0.628 (95% CI 0.420 - 0.939) and a P-value of 0.02. This information should be viewed with caution since it is based on a retrospective analysis of a subgroup that has not reached its median point for the overall survival analysis. We may choose to end this analysis of overall survival once the median is reached for both arms of the study.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Data from the HEAT Study post-hoc analysis has been presented at various scientific and medical conferences in 2013 and 2014 by key HEAT Study investigators and leading liver cancer experts. The presentations include:</w:t>
      </w:r>
    </w:p>
    <w:p>
      <w:pPr>
        <w:spacing w:after="0" w:line="170" w:lineRule="exact"/>
        <w:rPr>
          <w:sz w:val="20"/>
          <w:szCs w:val="20"/>
          <w:color w:val="auto"/>
        </w:rPr>
      </w:pPr>
    </w:p>
    <w:p>
      <w:pPr>
        <w:ind w:left="1040" w:hanging="40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and 2014</w:t>
      </w:r>
    </w:p>
    <w:p>
      <w:pPr>
        <w:spacing w:after="0" w:line="9" w:lineRule="exact"/>
        <w:rPr>
          <w:rFonts w:ascii="Arial" w:cs="Arial" w:eastAsia="Arial" w:hAnsi="Arial"/>
          <w:sz w:val="18"/>
          <w:szCs w:val="18"/>
          <w:color w:val="auto"/>
        </w:rPr>
      </w:pPr>
    </w:p>
    <w:p>
      <w:pPr>
        <w:ind w:left="1040" w:hanging="40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American Society of Clinical Oncology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Meeting in June 2014</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without comment, subject to compliance with regulatory standards, clearance for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above, demonstrated that treatment with ThermoDox® resulted in a 59% improvement in overall survival in a large number of HCC patients that received an optimized RFA treatment for longer than 45 minutes. We launched the OPTIMA Study in the first half of 2014. The OPTIMA Study is designed with extensive input from globally recognized HCC researchers and clinicians and after formal written consultation with the FDA. The OPTIMA Study is expected to enroll up to 550 patients globally at up to 100 sites in the United States, Europe, China and elsewhere in the Asia Pacific region, and will evaluate ThermoDox® in combination with optimized RFA, which will be standardized to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DMC.</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we met with the China State Food and Drug Administration (CHINA FDA) in 2014 to discuss the OPTIMA Phase III trial including minimum patient enrollment requirements supporting the registration of ThermoDox® in China. Based on those discussions, we have submitted an application for accelerated approval of the OPTIMA Study in China and we expect to receive CHINA FDA clearance in the first half of 2015. We have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July 24, 2014, we announced interim data from our ongoing open-label Phase II trial of ThermoDox® in recurrent chest wall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(RCW) breast cancer (the DIGNITY Study). The trial is designed to enroll up to 20 patients at several U.S. clinical sites and is evaluating ThermoDox® in combination with mild hyperthermia. Of the 14 patients enrolled and treated, ten were eligible for evaluation of efficacy. Based on data available to date, 60 percent of patients experienced a stabilization of their highly refractory disease with a local response rate of 50 percent observed in the ten evaluable patients, notably three complete responses, two partial responses and one patient with stable disease.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(eleven patients in our DIGNITY Study and 18 patients in the study sponsored by Duke). Of the 29 patients treated, 23 were eligible for evaluation of efficacy. A local response rate of over 60 percent was reported in 14 of the 23 evaluable patients with five complete responses and nine partial responses.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Clinical Phase II Clinical Trial - The Euro-DIGNITY Study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anticipates a Phase II study of RadioTherapy (RT), HyperThermia (HT) and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treat patients with local-regional recurrent chest wall breast cancer will be initiated by six to eight physicians and institutions located in Italy, Israel, the Netherlands, Poland and the Czech Republic (the Euro-DIGNITY Study). The Euro-DIGNITY Study will be Phase II study enrolling up to 100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LRR breast cancer, (ii) to evaluate the duration of local control complete response (CR), partial response (PR) and stable disease (SD) following treatment with ThermoDox/Hyperthermia/Radiotherapy up to 24 months among patients with LRR breast cancer and (iii) to assess Patient Reported Quality of Life using the FACT-B and Brief Pain Inventory (BPI) following treatment with ThermoDox/Hyperthermia/Radiotherapy among patients with LRR breast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Access Program for ThermoDox for the Treatment of Patients with RCW Breast Cancer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13, 2015, we entered into an Early Access Agreement with Impatients N.V., a Netherlands company (Impatients), pursuant to which Impatients will develop and execute through its brand myTomorrows an early access program for ThermoDox®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w:t>
      </w:r>
    </w:p>
    <w:p>
      <w:pPr>
        <w:spacing w:after="0" w:line="18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Under the Early Access Agreement, we granted to Impatients, specifically for the treatment of RCW breast cancer in the Territory, an exclusive, royalty-free right to perform the early access program activities, reference regulatory documentation and approvals that we own, and use our trademarks relating to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addition, we granted to Impatients an option to negotiate an exclusive license to distribute ThermoDox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Territory after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receives regulatory approval in a country within the Territory.</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(EGEN) pursuant to an Asset Purchase Agreement (EGEN Purchase Agreement). CLSN Laboratories, Inc., a Delaware corporation and a wholly-owned subsidiary of the Company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purchase price for the acquisition is up to $44.4 million, which includes potential future earn-out payments of up to $30.4 million contingent upon achievement of certain milestones set forth in the EGEN Purchase Agreement. At the closing, we paid approximately $3.0 million in cash after the expense adjustment and issued 2,712,188 shares of its common stock to EGEN. The shares of our common stock were issued in a private transaction exempt from registration under the Securities Act of 1933, as amended (the Securities Act), pursuant to Section 4(2) thereof. In addition, 670,070 shares of common stock were held back by us at the closing and are issuable to EGEN on or after August 2, 2016 pending certain potential adjustments for expenses or in relation to EGEN’s indemnification obligations under the EGEN Purchase Agreement.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1120" w:hanging="32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ovarian cancer patients ($12.0 million);</w:t>
      </w:r>
    </w:p>
    <w:p>
      <w:pPr>
        <w:spacing w:after="0" w:line="225" w:lineRule="exact"/>
        <w:rPr>
          <w:rFonts w:ascii="Arial" w:cs="Arial" w:eastAsia="Arial" w:hAnsi="Arial"/>
          <w:sz w:val="18"/>
          <w:szCs w:val="18"/>
          <w:color w:val="auto"/>
        </w:rPr>
      </w:pPr>
    </w:p>
    <w:p>
      <w:pPr>
        <w:ind w:left="1120" w:hanging="32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GBM cancer patients ($12.0 million); and</w:t>
      </w:r>
    </w:p>
    <w:p>
      <w:pPr>
        <w:spacing w:after="0" w:line="225" w:lineRule="exact"/>
        <w:rPr>
          <w:rFonts w:ascii="Arial" w:cs="Arial" w:eastAsia="Arial" w:hAnsi="Arial"/>
          <w:sz w:val="18"/>
          <w:szCs w:val="18"/>
          <w:color w:val="auto"/>
        </w:rPr>
      </w:pPr>
    </w:p>
    <w:p>
      <w:pPr>
        <w:ind w:right="2420" w:firstLine="791"/>
        <w:spacing w:after="0" w:line="530" w:lineRule="auto"/>
        <w:tabs>
          <w:tab w:leader="none" w:pos="1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self-liquidating payment of 50% of all fees received from the licensing of TherSilence (up to $6.0 million). Our obligations to make the Earn-Out Payments will terminate on the seventh anniversary of the closing date.</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9, 2014, we borrowed an additional $5.0 million pursuant to a certain Loan and Security Agreement dated as of November 25, 2013, by and between Hercules Technology Growth Capital, Inc. and us. We used the loan proceeds to pay the upfront cash payment to EGEN at closing and certain transaction costs incurred in connection with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6"/>
          <w:szCs w:val="16"/>
          <w:color w:val="auto"/>
        </w:rPr>
        <w:t>In the acquisition, we purchased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GEN-1 is currently in an early stage of clinical development for the treatment of ovarian cancer, and the delivery technology platforms that we purchased from EGEN are in preclinical stages of development. In February 2015, we announced that the FDA has accepted, without comment, the Phase I dose-escalation clinical trial of GEN-1 in combination with the standard of care in neo-adjuvant ovarian cancer. The clinical trial will identify a safe, tolerable and potentially therapeutically active dose of GEN-1 while maximizing an immune response. The trial is designed to enroll three to six patients per dose level and will evaluate safety and efficacy and attempt to define an optimal dose to carry forward into a Phase II trial. We expect to initiate enrollment for the trial in the second half of 2015 at five to six U.S. clinical centers.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28, 2014, we presented preclinical data related to TheraSilence™ at the miRNA World Conference Workshop on miRNA Delivery. Preclinical data indicate that in a mouse lung tumor model, intravenous (IV) delivery of RNA inhibiting VEGFR-2, a tumor angiogenesis factor, via the TheraSilence™ delivery system resulted in significant knockdown of VEGFR-2 transcript in lungs, reduction in tumor blood vessel density and inhibition of tumor growth. Preclinical studies also demonstrated the ability of anti-miRNA delivered via the TheraSilence® delivery system to inhibit miRNA-145, which is associated with the pathogenesis of pulmonary arterial hypertension. Systemically administered RNA complexes using the TheraSilence™ delivery system demonstrated a good tolerability profile. We do not expect to realize any revenue from product sales in the next several years, if at all, other than minimal revenue from the sale of reagent products we acquired from EGEN. Further, there can be no assurance that we will be able to develop and maintain a broad range of product candidates.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exceeds the estimated fair value of the net assets acquired by approximately $2.0 million which was recorded as goodwill. Transaction costs associated with the asset acquisition are included in Acquisition Costs in the Consolidated Statement of Operations and totaled $ $1,385,263 from the date of acquisition on June 20, 2014 through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or more frequently if there appears to be an indication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28, 2013, we affected a reverse stock split of our common stock at an exchange ratio of 4.5-to-1 and set the number of authorized shares of common stock outstanding immediately after the split at 75 million shares. As a result of the reverse stock split, every four and a half shares of common stock outstanding immediately prior to the effectiveness of the reverse stock split were combined and converted into one share of common stock immediately thereafter without any change in the per share par value. Our common stock started to trade on the post-split basis at the commencement of trading on October 29, 2013 under a new CUSIP number 15117N404 with the same ticker symbol, CLSN. Unless otherwise expressly stated, the share and per share data in this section and elsewhere in this Annual Report on Form 10-K have been adjusted to reflect the reverse stock split.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2014 and 2013, we issued a total of 8.0 million shares of common stock, including shares of common stock issued upon conversion of the 15,000.00422 shares of Series A 0% convertible preferred stock, in the following equity transactions described below for an aggregate $46.6 million in gross proceeds. On October 28, 2013, we effected a 4.5-to-1 reverse split of our common stock. Unless otherwise expressly stated, the share and per share data in this section and elsewhere in this Annual Report on Form 10-K have been adjusted to reflect the reverse stock split.</w:t>
      </w:r>
    </w:p>
    <w:p>
      <w:pPr>
        <w:spacing w:after="0" w:line="148" w:lineRule="exact"/>
        <w:rPr>
          <w:sz w:val="20"/>
          <w:szCs w:val="20"/>
          <w:color w:val="auto"/>
        </w:rPr>
      </w:pPr>
    </w:p>
    <w:p>
      <w:pPr>
        <w:jc w:val="both"/>
        <w:ind w:left="860" w:hanging="420"/>
        <w:spacing w:after="0" w:line="238"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1,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pursuant to which we may offer and sell, from time to time through “at-the-market” offerings, shares of our common stock having an aggregate offering price of up to $25.0 million. From February 1, 2013 through February 25, 2013, we sold and issued an aggregate of 1,195,923 shares of common stock under such agreement for approximately $6.8 million in aggregate gross proceeds.</w:t>
      </w:r>
    </w:p>
    <w:p>
      <w:pPr>
        <w:spacing w:after="0" w:line="202" w:lineRule="exact"/>
        <w:rPr>
          <w:rFonts w:ascii="Arial" w:cs="Arial" w:eastAsia="Arial" w:hAnsi="Arial"/>
          <w:sz w:val="17"/>
          <w:szCs w:val="17"/>
          <w:color w:val="auto"/>
        </w:rPr>
      </w:pPr>
    </w:p>
    <w:p>
      <w:pPr>
        <w:jc w:val="both"/>
        <w:ind w:left="860" w:hanging="420"/>
        <w:spacing w:after="0" w:line="279"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22, 2013, we entered into a Securities Purchase Agreement with certain institutional investors, pursuant to which the we sold, in a registered direct offering, an aggregate of 15,000.00422 shares of our Series A 0% convertible preferred stock and warrants to purchase up to 1,341,382 shares of common stock, for an aggregate purchase price of approximately $15.0 million in gross proceeds. All of the shares of Series A 0% convertible preferred stock have been converted into 2,682,764 shares of common stock.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ind w:left="860" w:hanging="420"/>
        <w:spacing w:after="0" w:line="26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30, 2013, we entered into a Securities Purchase Agreement with certain institutional investors, pursuant to which we sold, in a registered direct offering, an aggregate of 1,392,109 shares of our common stock for an aggregate purchase price of approximately $9.8 million in gross proceeds.</w:t>
      </w:r>
    </w:p>
    <w:p>
      <w:pPr>
        <w:spacing w:after="0" w:line="181" w:lineRule="exact"/>
        <w:rPr>
          <w:rFonts w:ascii="Arial" w:cs="Arial" w:eastAsia="Arial" w:hAnsi="Arial"/>
          <w:sz w:val="18"/>
          <w:szCs w:val="18"/>
          <w:color w:val="auto"/>
        </w:rPr>
      </w:pPr>
    </w:p>
    <w:p>
      <w:pPr>
        <w:jc w:val="both"/>
        <w:ind w:left="860" w:hanging="420"/>
        <w:spacing w:after="0" w:line="26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we received gross proceeds of approximately $0.4 million from the exercise of warrants and common stock options to purchase 30,499 shares of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2014, we completed the acquisition of substantially all of the assets of EGEN. At the closing, we paid approximately $3.0 million in cash and issued 2,712,188 shares of its common stock to EGEN. In addition, 670,070 shares of our common stock were held back by us at the closing and are issuable to EGEN on or after August 2, 2016 pending certain potential adjustments for expenses or in relation to EGEN’s indemnification obligations under the EGEN Purchase Agreement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drew down an additional $5 million and used the loan proceeds to pay the upfront cash payment to EGEN at closing of the asset acquisition.</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investment resources of $37.1 million on hand at December 31, 2014, cupled with our access to the ATM, are sufficient to fund operations through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refer to Item IA, Risk Factors, including, but not limited to, “</w:t>
      </w:r>
      <w:r>
        <w:rPr>
          <w:rFonts w:ascii="Arial" w:cs="Arial" w:eastAsia="Arial" w:hAnsi="Arial"/>
          <w:sz w:val="18"/>
          <w:szCs w:val="18"/>
          <w:i w:val="1"/>
          <w:iCs w:val="1"/>
          <w:color w:val="auto"/>
        </w:rPr>
        <w:t>We will need to raise substantial additional capital to fund our planned future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we may be unable to secure such capital without dilutive financing transactions. If we are not able to raise additional capital, we may not be able to complete the development, testing and commercialization of our product candidates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financial statements, which appear at Item 7 to this Annual Report on Form 10-K, have been prepared in accordance with accounting principles generally accepted in the United States,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the provisions of ASC topic 718 “Compensation” which requires the expense recognition over a service period for the fair value of share based compensation awards, such as stock options, restricted stock and performance based shares. This standard allows us to establish modeling assumptions as to expected stock price volatility, option terms, forfeiture and dividend rates, which directly impact estimated fair value as determined. Our practice is to utilize reasonable and supportable assumptions which are reviewed with our board of directors and its appropriate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Offering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closing of the Common Stock Offering on June 3, 2013, there were an insufficient number of authorized shares to complete the transaction. The investors in the Common Stock Offering also held warrants to purchase common stock of the Company which were issued in connection with previous offerings. Concurrent with the closing of the Common Stock Offering, the institutional investors agreed to waive their rights to exercise these warrants to purchase 1,398,816 shares of common stock of the Company (the Waived Warrants) until the Company has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effected a 4.5-to-1 reverse stock split of its common stock.</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warrants described above were originally recorded as equity at the fair value on the date of issuance. In accordance with ASC 815-40,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Hedging - Contracts in Entity’s Own Equity, </w:t>
      </w:r>
      <w:r>
        <w:rPr>
          <w:rFonts w:ascii="Arial" w:cs="Arial" w:eastAsia="Arial" w:hAnsi="Arial"/>
          <w:sz w:val="18"/>
          <w:szCs w:val="18"/>
          <w:color w:val="auto"/>
        </w:rPr>
        <w:t>the Waived Warrants were required to be liability classified immediately after the closing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Offering on June 3, 2013 because there were an insufficient number of common shares authorized to permit the full exercise of the warrants. Therefore on June 3, 2013, the Company reclassified the fair value of the Waived Warrants totaling approximately $9.1 million from equity to a liability. The Waived Warrants were required to be recorded at fair value at each balance sheet date with changes in fair value recorded in earnings until such time as there were a sufficient number of common shares authorized to permit the full exercise of the warrants. In connection with the Reverse Stock Split, these warrants were valued as of October 28, 2013, and the Company reclassified the fair value of the Waived Warrants totaling approximately $5.3 million from a liability to equity.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In-Process 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United States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2014 and Fiscal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recognized revenue of $500,000 in each of the years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increased by $5.6 million from $9.4 million in 2013 to $15.0 million in 2014. Costs associated with the HEAT Study decreased to $0.6 million in 2014 compared to $3.7 million in 2013 primarily due to the reduced costs associated with the HEAT Study as we follow patients for overall survival. We incurred costs of $4.8 million related to the initiation of the OPTIMA Study in 2014. Costs associated with our RCW breast cancer clinical trial remained relatively unchanged at $0.4 million in 2014 and 2013. Other clinical costs were $1.8 million in 2014 compared to $1.2 million in 2013. The increase is mostly attributable to an increase in personnel costs and professional fees. Other research and development costs related to preclinical operations and regulatory operations remained relatively unchanged at $1.4 million in 2014 compared to $1.3 million in 2013. Costs associated with the production of ThermoDox® to support the OPTIMA Study increased to $3.8 million in 2014 compared to $2.8 million incurred in 2013. During the second half of 2014, the Company completed integration of the operations of the business acquired from EGEN, Inc. into our wholly owned subsidiary, CLSN Laboratories. Costs associated with CLSN Laboratories were $2.3 million for the period from the date of acquisition on June 20, 2014 through December 31, 2014.</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continue to evaluate ThermoDox® in the OPTIMA Study and the DIGNITY Study and plan to initiate the Phase I dose-escalation clinical trial of GEN-1 in the second half of 2015, we expect our research and development costs to increase in 2015 compared to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by $2.4 million to $8.9 million in 2014 compared to $6.5 million in 2013. This increase is primarily the result of increases in insurance costs of $0.7 million, increases in personnel costs of $1.0 million and increases in legal and professional fees. The increased personnel costs reflect a $0.7 million increase in non-cash stock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were $1.4 million for 2014. The transaction-related expenses consisted of legal and professional fees related to the June 20, 2014 acquisition of substantially all of the assets of EGEN.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Common Stock Warrant Liability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warrant liability was incurred as a result of warrants we issued in a public offering in September 2009. The liability associated with these warrants is calculated at its fair market value using the Black-Scholes option-pricing model and is adjusted at the end of each quarter. In addition, in connection with a common stock offering in the second quarter of 2013, the investors in the offering agreed to waive their rights to exercise the warrants to purchase 1,398,816 shares of common stock of the Company until the Company affected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these warrants were required to be classified as liabilities immediately after the closing of the common stock offering on June 3, 2013 because there was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affected on October 28, 2013, these warrants were valued as of October 28, 2013, and the Company reclassified the fair value of these warrants totaling approximately $5.3 million from a liability to equity. Furthermore, in connection with the warrants we issued for 97,493 shares of the Company’s common stock in connection with the Hercules Credit Agreement in November 2013 and then with the warrant for the additional 97,493 shares of the Company’s common stock which became available and exercisable at the time of the second $5.0 million tranche in June 2014, we recorded an additional warrant liability of $0.5 million in 2014.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Collectively these warrant liabilities are required to be recorded at fair value at each balance sheet date with changes in fair value recorded in earnings. At December 30, 2014, the fair value of all of these liabilities was $0.3 million and we recorded a non-cash benefit of $0.2 million based on the change in the fair value of the warrants at December 31, 2014. During 2013, the decrease in the fair value of this liability resulted in the Company recording a non-cash benefit of $8.1 million based on the change in the fair value of the warrants at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December 31, 2014, the Company fair valued these milestones at $13.7 million and recognized a gain of $213,949 as a result of the change in the fair value of these milestones from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its debt facilities the Company incurred $1.3 million and $0.9 million in interest expense in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2014 and 2013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2013 and Fiscal Year Ended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continue to be amortized over the 10 year term of the agreement. Therefore we recorded deferred revenue of $500,000 in 2013. We had no licensing revenue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(R&amp;D) expenses decreased by $6.4 million from $15.8 million in 2012 to $9.4 million in 2013. Costs associated with the HEAT Study decreased to $3.7 million in 2013 compared to $7.7 million in 2012 primarily due to reduced costs associated with the HEAT Study after the data results were announced on January 31, 2013. Costs associated with our recurrent chest wall breast cancer clinical trial (the DIGNITY Study) remained relatively unchanged at $0.4 million in 2013 compared to 2012. As a result of our decision to delay our colorectal liver metastases trial (the ABLATE Study) following the announcement of the HEAT Study results, the related costs were insignificant in 2013 compared to $0.2 million in 2012. Other R&amp;D costs related to preclinical operations and regulatory operations decreased to $1.0 million in 2013 compared to $2.0 million in 2012. Costs associated with the production of ThermoDox® decreased to $2.8 million in 2013 compared to $4.0 million the same period of 2012.</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implemented a restructuring program to lower its operating costs to conserve capital to ensure that our costs are adequately aligned with our resources and business strategy. The program included elimination of approximately one-third of Celsion’s workforce and the deferral of expenses associated with the ABLATE Study.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slightly to $6.5 million in 2013 compared to $6.4 million in 2012. This increase is largely the result of an increase in professional fees in 2013 and severance costs ($0.2 million in 2013) related to the April 2013 restructuring program as discussed above compared to the same period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Common Stock Warrant Liability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 warrant liability was incurred as a result of warrants we issued in a public offering in September 2009. The liability associated with these warrants is calculated at its fair market value using the Black-Scholes option-pricing model and is adjusted at the end of each quarter. For 2013, we recorded a non-cash benefit of $4.3 million based on the change in the fair value of the warrants compared to a non-cash charge of $4.1 million in the same period of 2012.</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connection with the Common Stock Offering in the second quarter of 2013, the investors in the offering agreed to waive their rights to exercise the warrants to purchase 1,398,816 shares of our common stock until the Company had affected a reverse stock split and increased the number of its authorized shares of common stock. During the second quarter of 2013, we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these warrants were required to be classified as liabilities immediately after the closing of the common stock offering on June 3, 2013 because there were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we affected on October 28, 2013, these warrants were valued as of October 28, 2013, and we reclassified the fair value of the Waived Warrants totaling approximately $5.3 million from a liability to equity. The change in the fair value of the warrants which were waived from the time they were liability classified to the time they were equity reclassified resulted in a non-cash benefit of $3.8 million in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Collectively, we recorded a non-cash benefit totaling $8.1 million in 2013 compared to recording a non-cash charge of $4.1 million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2013 was $0.9 million compared to $0.4 million in 2012. We entered into a $5 million loan facility in June 2012. We repaid this loan facility in full on November 25, 2013 by using proceeds from the first tranche of $5 million we withdrew under the Hercules Credit Agreement entered into on November 25, 2013. Investment income was not significant in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2013 and 2012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$195 million at December 31, 2014.</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2014, we had total current assets of $37.5 million (including cash, cash equivalents and short term investments and related interest receivable on short term investments of $37.1 million) and current liabilities of $10.1 million, resulting in net working capital of $27.4 million. At December 31, 2013 we had total current assets of $43.8 million (including cash, cash equivalents and short term investments and related interest receivable on short term investments of $43.1 million) and current liabilities of $4.7 million, resulting in net working capital of $39.1 million.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Net cash used in operating activities for 2014 was $21.4 million. Our 2014 net loss included $2.6 million in non-cash stock-based compensation expense, a $0.2 million in non-cash benefit based on the change in the common stock warrant liability and a $0.2 million in non-cash benefit based on the change in the earn-out milestone liability.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$21.4 million net cash used in operating activities was mostly funded from cash and short term investments. At December 31, 2014, we had cash, cash equivalents and short term investments and related interest receivable on short term investments of $37.1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$18.8 million during the 2014, $13.8 million of which resulted from net proceeds from sale of our common stock in January 2014 and $5.0 million in additional proceeds received from the Hercules Credit Agreement in June 2014.</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February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1,195,927 shares under the ATM Agreement so far, receiving approximately $6.8 million in net proceeds.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$37.1 million on hand at December 31, 2014, coupled with our access to the ATM, are sufficient to fund operations through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28 months. As required by the lease, we provided Brandywine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we reduced the escrow deposit by $50,000 each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 11,500 square foot premises located in Huntsville Alabama. This lease has a remaining term of 37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future minimum payments required under leases that have initial or remaining lease terms of one year or more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2016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2018</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2019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schedule of future principle payments before debt discount due on the Hercules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Leases</w:t>
      </w:r>
    </w:p>
    <w:p>
      <w:pPr>
        <w:spacing w:after="0" w:line="9" w:lineRule="exact"/>
        <w:rPr>
          <w:sz w:val="20"/>
          <w:szCs w:val="20"/>
          <w:color w:val="auto"/>
        </w:rPr>
      </w:pPr>
    </w:p>
    <w:p>
      <w:pPr>
        <w:ind w:left="921" w:hanging="921"/>
        <w:spacing w:after="0"/>
        <w:tabs>
          <w:tab w:leader="none" w:pos="9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570,078</w:t>
      </w:r>
    </w:p>
    <w:p>
      <w:pPr>
        <w:spacing w:after="0" w:line="45" w:lineRule="exact"/>
        <w:rPr>
          <w:rFonts w:ascii="Arial" w:cs="Arial" w:eastAsia="Arial" w:hAnsi="Arial"/>
          <w:sz w:val="16"/>
          <w:szCs w:val="16"/>
          <w:color w:val="auto"/>
        </w:rPr>
      </w:pPr>
    </w:p>
    <w:p>
      <w:pPr>
        <w:ind w:left="921"/>
        <w:spacing w:after="0"/>
        <w:rPr>
          <w:rFonts w:ascii="Arial" w:cs="Arial" w:eastAsia="Arial" w:hAnsi="Arial"/>
          <w:sz w:val="16"/>
          <w:szCs w:val="16"/>
          <w:color w:val="auto"/>
        </w:rPr>
      </w:pPr>
      <w:r>
        <w:rPr>
          <w:rFonts w:ascii="Arial" w:cs="Arial" w:eastAsia="Arial" w:hAnsi="Arial"/>
          <w:sz w:val="16"/>
          <w:szCs w:val="16"/>
          <w:color w:val="auto"/>
        </w:rPr>
        <w:t>575,513</w:t>
      </w:r>
    </w:p>
    <w:p>
      <w:pPr>
        <w:spacing w:after="0" w:line="32" w:lineRule="exact"/>
        <w:rPr>
          <w:rFonts w:ascii="Arial" w:cs="Arial" w:eastAsia="Arial" w:hAnsi="Arial"/>
          <w:sz w:val="16"/>
          <w:szCs w:val="16"/>
          <w:color w:val="auto"/>
        </w:rPr>
      </w:pPr>
    </w:p>
    <w:p>
      <w:pPr>
        <w:ind w:left="921"/>
        <w:spacing w:after="0"/>
        <w:rPr>
          <w:rFonts w:ascii="Arial" w:cs="Arial" w:eastAsia="Arial" w:hAnsi="Arial"/>
          <w:sz w:val="16"/>
          <w:szCs w:val="16"/>
          <w:color w:val="auto"/>
        </w:rPr>
      </w:pPr>
      <w:r>
        <w:rPr>
          <w:rFonts w:ascii="Arial" w:cs="Arial" w:eastAsia="Arial" w:hAnsi="Arial"/>
          <w:sz w:val="16"/>
          <w:szCs w:val="16"/>
          <w:color w:val="auto"/>
        </w:rPr>
        <w:t>378,042</w:t>
      </w:r>
    </w:p>
    <w:p>
      <w:pPr>
        <w:spacing w:after="0" w:line="32"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23,200</w:t>
      </w:r>
    </w:p>
    <w:p>
      <w:pPr>
        <w:spacing w:after="0" w:line="32" w:lineRule="exact"/>
        <w:rPr>
          <w:rFonts w:ascii="Arial" w:cs="Arial" w:eastAsia="Arial" w:hAnsi="Arial"/>
          <w:sz w:val="16"/>
          <w:szCs w:val="16"/>
          <w:color w:val="auto"/>
        </w:rPr>
      </w:pPr>
    </w:p>
    <w:p>
      <w:pPr>
        <w:ind w:left="134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-688340</wp:posOffset>
            </wp:positionV>
            <wp:extent cx="960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ind w:left="801" w:hanging="801"/>
        <w:spacing w:after="0"/>
        <w:tabs>
          <w:tab w:leader="none" w:pos="8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1,546,833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60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960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Principle Payments</w:t>
      </w:r>
    </w:p>
    <w:p>
      <w:pPr>
        <w:spacing w:after="0" w:line="241" w:lineRule="exact"/>
        <w:rPr>
          <w:sz w:val="20"/>
          <w:szCs w:val="20"/>
          <w:color w:val="auto"/>
        </w:rPr>
      </w:pPr>
    </w:p>
    <w:p>
      <w:pPr>
        <w:sectPr>
          <w:pgSz w:w="11900" w:h="16838" w:orient="portrait"/>
          <w:cols w:equalWidth="0" w:num="2">
            <w:col w:w="8499" w:space="720"/>
            <w:col w:w="2201"/>
          </w:cols>
          <w:pgMar w:left="240" w:top="584"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3,654,231</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2016</w:t>
            </w:r>
          </w:p>
        </w:tc>
        <w:tc>
          <w:tcPr>
            <w:tcW w:w="3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4,091,595</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2,254,174</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2018 and thereafter</w:t>
            </w:r>
          </w:p>
        </w:tc>
        <w:tc>
          <w:tcPr>
            <w:tcW w:w="3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2014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2014, our investments consisted of investments in corporate notes and obligations or in money market accounts and checking funds with variable market rates of interest. We believe our credit risk is immaterial.</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F-34 and incorporated herein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4" w:name="page55"/>
    <w:bookmarkEnd w:id="54"/>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700" w:hanging="69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2014, which is the end of the period covered by this Annual Report on Form 10-K, our disclosure controls and procedures are effective.</w:t>
      </w:r>
    </w:p>
    <w:p>
      <w:pPr>
        <w:spacing w:after="0" w:line="188"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(COSO 2013 Framework). Based on its evaluation, management has concluded that the Company’s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December 31, 2014.</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includes an attestation report of the Company’s independent registered public accounting firm, Stegman &amp; Company,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2014,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81"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Inherent Limitations on the Effectiveness of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the chief executive officer and chief financial officer, does not expect that our disclosure controls and procedures and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includes an attestation report of the Company’s independent registered public accounting firm, Stegman and Company, regarding internal control over financial reporting.</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10 is herein incorporated by reference to the definitive Proxy Statement to be filed with the Securities and Exchange Commission (SEC)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ind w:left="1260" w:right="280" w:hanging="1296"/>
        <w:spacing w:after="0" w:line="282"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is herein incorporated by reference to the definitive Proxy Statement to be filed with the SEC pursuant to Regulation 14A within 120 days after the end of the fiscal year covered by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the financial statements of Celsion Corporation filed with this Annual Report on Form 10-K,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9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9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Statements of Operations</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Comprehensive Loss</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Statements of Cash Flows</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Changes in Stockholders’ Equity</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TO FINANCIAL STATEMENTS</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F-10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color w:val="auto"/>
                <w:w w:val="98"/>
              </w:rPr>
              <w:t>All financial statement schedules are omitted because the information is inapplicable or presented in the notes to the financial statements.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3.  EXHIBITS</w:t>
            </w:r>
          </w:p>
        </w:tc>
        <w:tc>
          <w:tcPr>
            <w:tcW w:w="9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color w:val="auto"/>
              </w:rPr>
              <w:t>The following documents are included as exhibits to this report: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EXHIBIT NO.</w:t>
            </w:r>
          </w:p>
        </w:tc>
        <w:tc>
          <w:tcPr>
            <w:tcW w:w="9380" w:type="dxa"/>
            <w:vAlign w:val="bottom"/>
          </w:tcPr>
          <w:p>
            <w:pPr>
              <w:ind w:left="44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9"/>
              </w:rPr>
              <w:t>2.1*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5"/>
              </w:rPr>
              <w:t>Asset Purchase Agreement dated as of June 6, 2014, by and between Celsion Corporation and EGEN, Inc,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reference to Exhibit 2.1 to the Quarterly Report on Form 10-Q of the Company for the quarter ended June 30, 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2"/>
              </w:rPr>
              <w:t>Certificate of Incorporation of Celsion, as amended, incorporated herein by reference to Exhibit 3.1 to the Quarterly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Q of the Company for the quarter ended June 30, 2004.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4"/>
              </w:rPr>
              <w:t>Certificate of Ownership and Merger of Celsion Corporation (a Maryland Corporation) into Celsion (Delaware) Corporation (inter 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5"/>
              </w:rPr>
              <w:t>changing the Company’s name to “Celsion Corporation” from “Celsion (Delaware) Corporation), incorporated herein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Exhibit 3.1.3 to the Annual Report on Form 10-K of the Company for the year ended September 30, 2000.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3.3</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3"/>
              </w:rPr>
              <w:t>Certificate of Amendment of the Certificate of Incorporation effective and filed on February 27, 2006, incorporated therein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to Exhibit 3.1 to the Current Report on Form 8-K of the Company filed on March 1, 2006.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3.4</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4"/>
              </w:rPr>
              <w:t>Certificate of Amendment to Certificate of Incorporation of Celsion Corporation, incorporated herein by reference to Exhibit 3.1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Current Report on Form 8-K of the Company, filed on October 29, 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3.5</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1"/>
              </w:rPr>
              <w:t>By-laws of the Company, as amended and restated, incorporated herein by reference to Exhibit 3.1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the Company, filed on December 1, 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2"/>
              </w:rPr>
              <w:t>Form of Common Stock Certificate, par value $0.01, incorporated herein by reference to Exhibit 4.1 to the Annual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of the Company for the year ended September 30, 2000.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380" w:type="dxa"/>
            <w:vAlign w:val="bottom"/>
          </w:tcPr>
          <w:p>
            <w:pPr>
              <w:ind w:left="4220"/>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93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7" w:name="page58"/>
    <w:bookmarkEnd w:id="57"/>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Common Stock Warrant, incorporated herein by reference to Exhibit 4.1 to the Current Report on Form 8-K of the Company filed on September 28, 2009.</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Registration Rights Agreement, dated June 17, 2010, by and between Celsion Corporation and Small Cap Biotech Value, Ltd., incorporated herein by reference to Exhibit 4.1 to the Current Report on Form 8-K of the Company filed on June 18, 2010.</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Common Stock Warrant, incorporated herein by reference to Exhibit 4.2 to the Current Report on Form 8-K of the Company filed on January 18,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Common Stock Warrant incorporated herein by reference to Exhibit 4.1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May 26, 2011, by and among Celsion Corporation and the purchasers named therein, incorporated herein by reference to Exhibit 10.2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6, 2011.</w:t>
      </w:r>
    </w:p>
    <w:p>
      <w:pPr>
        <w:spacing w:after="0" w:line="170" w:lineRule="exact"/>
        <w:rPr>
          <w:sz w:val="20"/>
          <w:szCs w:val="20"/>
          <w:color w:val="auto"/>
        </w:rPr>
      </w:pPr>
    </w:p>
    <w:p>
      <w:pPr>
        <w:ind w:left="740" w:right="20" w:hanging="685"/>
        <w:spacing w:after="0" w:line="277" w:lineRule="auto"/>
        <w:tabs>
          <w:tab w:leader="none" w:pos="7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Registration Rights Agreement, dated July 25, 2011, by and between Celsion Corporation and the purchasers named therein, incorporated herein by reference to Exhibit 10.3 to the Current Report on Form 8-K of the Company filed on July 25,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25, 2011.</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Warrant to Purchase Common Stock, incorporated herein by reference to Exhibit 4.2 to the Current Report on Form 8-K of the Company filed on July 25, 2011.</w:t>
      </w:r>
    </w:p>
    <w:p>
      <w:pPr>
        <w:spacing w:after="0" w:line="170" w:lineRule="exact"/>
        <w:rPr>
          <w:sz w:val="20"/>
          <w:szCs w:val="20"/>
          <w:color w:val="auto"/>
        </w:rPr>
      </w:pPr>
    </w:p>
    <w:p>
      <w:pPr>
        <w:jc w:val="both"/>
        <w:ind w:left="740" w:right="20" w:hanging="727"/>
        <w:spacing w:after="0" w:line="277" w:lineRule="auto"/>
        <w:tabs>
          <w:tab w:leader="none" w:pos="7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Warrant to Purchase Common Stock Purchase, incorporated herein by reference to Exhibit 4.1 to the Current Report on Form 8-K filed on December 6, 2011.</w:t>
      </w:r>
    </w:p>
    <w:p>
      <w:pPr>
        <w:spacing w:after="0" w:line="170" w:lineRule="exact"/>
        <w:rPr>
          <w:sz w:val="20"/>
          <w:szCs w:val="20"/>
          <w:color w:val="auto"/>
        </w:rPr>
      </w:pPr>
    </w:p>
    <w:p>
      <w:pPr>
        <w:jc w:val="both"/>
        <w:ind w:left="740" w:hanging="730"/>
        <w:spacing w:after="0" w:line="308" w:lineRule="auto"/>
        <w:tabs>
          <w:tab w:leader="none" w:pos="7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Registration Rights Agreement, dated December 1, 2011, by and between Celsion Corporation and the purchasers named therein, incorporated herein by reference to Exhibit 10.3 to the Current Report on Form 8-K of the Company filed on December 6, 2011.</w:t>
      </w:r>
    </w:p>
    <w:p>
      <w:pPr>
        <w:spacing w:after="0" w:line="147"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Warrant to Purchase Stock, dated June 27, 2012, by and between Celsion Corporation and Oxford Financing LLC, incorporated herein by reference to Exhibit 4.1 to the Quarterly Report on Form 10-Q of the Company for the quarter ended June 30, 2012.</w:t>
      </w:r>
    </w:p>
    <w:p>
      <w:pPr>
        <w:spacing w:after="0" w:line="170" w:lineRule="exact"/>
        <w:rPr>
          <w:sz w:val="20"/>
          <w:szCs w:val="20"/>
          <w:color w:val="auto"/>
        </w:rPr>
      </w:pPr>
    </w:p>
    <w:p>
      <w:pPr>
        <w:jc w:val="both"/>
        <w:ind w:left="740" w:right="20" w:hanging="730"/>
        <w:spacing w:after="0" w:line="342" w:lineRule="auto"/>
        <w:tabs>
          <w:tab w:leader="none" w:pos="7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Warrant to Purchase Stock, dated June 27, 2012, by and between Celsion Corporation and Horizon Technology Finance Corporation, incorporated herein by reference to Exhibit 4.2 to the Quarterly Report on Form 10-Q of the Company for the quarter ended June 30, 2012.</w:t>
      </w:r>
    </w:p>
    <w:p>
      <w:pPr>
        <w:spacing w:after="0" w:line="124"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February 26, 2013.</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Form of Series A Common Stock Purchase Warrant, incorporated herein by reference to Exhibit 4.1 to the Current Report on Form 8-K of the Company filed on January 21, 2014.</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Series B Common Stock Purchase Warrant, incorporated herein by reference to Exhibit 4.1 to the Current Report on Form 8-K of the Company filed on January 21, 2014.</w:t>
      </w:r>
    </w:p>
    <w:p>
      <w:pPr>
        <w:spacing w:after="0" w:line="170" w:lineRule="exact"/>
        <w:rPr>
          <w:sz w:val="20"/>
          <w:szCs w:val="20"/>
          <w:color w:val="auto"/>
        </w:rPr>
      </w:pPr>
    </w:p>
    <w:p>
      <w:pPr>
        <w:jc w:val="both"/>
        <w:ind w:left="740" w:hanging="730"/>
        <w:spacing w:after="0" w:line="264" w:lineRule="auto"/>
        <w:tabs>
          <w:tab w:leader="none" w:pos="7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Warrant Agreement to Purchase Shares of the Common Stock dated as of November 25, 2013, by and between Celsion Corporation and Hercules Technology Growth Capital, Inc., incorporated herein by reference to Exhibit 4.2 to the Registration Statement on Form S-3 (File No.: 333-193936) filed on February 13, 2014.</w:t>
      </w:r>
    </w:p>
    <w:p>
      <w:pPr>
        <w:spacing w:after="0" w:line="200" w:lineRule="exact"/>
        <w:rPr>
          <w:sz w:val="20"/>
          <w:szCs w:val="20"/>
          <w:color w:val="auto"/>
        </w:rPr>
      </w:pP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660" w:top="58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1"/>
              </w:rPr>
              <w:t>4.19</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Registration Agreement dated as of November 25, 2013, by and between Celsion Corporation and Hercules Technology Growth Capital, Inc.,</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incorporated herein by reference to Exhibit 4.3 to the Registration Statement on Form S-3 (File No.: 333-193936) filed on February 13,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1"/>
              </w:rPr>
              <w:t>4.20</w:t>
            </w: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Registration Rights Agreement dated as of June 20, 2014, by and between Celsion Corporation and Egen, Inc., incorporated herein by</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reference to Exhibit 4.1 to the Quarterly Report on Form 10-Q of the Company for the quarter ended June 30,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10.1***</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Celsion Corporation 2004 Stock Incentive Plan, incorporated herein by reference to Exhibit 10.1 to the Quarterly Report on Form 10-Q of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Company for the quarter ended June 30, 2004.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10.2***</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Celsion Corporation 2007 Stock Incentive Plan, as amended, incorporated herein by reference to Exhibit 10.1 to the Current Report on Form</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8-K of the Company filed on June 23,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10.3***</w:t>
            </w: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Form of Restricted Stock Agreement for Celsion Corporation 2004 Stock Incentive Plan, incorporated herein by reference to Exhibit 10.1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the Quarterly Report on Form 10-Q of the Company for the quarter ended September 30, 2006.</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10.4***</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Form of Stock Option Grant Agreement for Celsion Corporation 2004 Stock Incentive Plan, incorporated herein by reference to Exhibit 10.2</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to the Quarterly Report on Form 10-Q of the Company for the quarter ended September 30, 2006.</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10.5***</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Form of Restricted Stock Agreement for Celsion Corporation 2007 Stock Incentive Plan, incorporated herein by reference to Exhibit 10.1.5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the Annual Report on Form 10-K of the Company for the year ended December 31, 2007.</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10.6***</w:t>
            </w:r>
          </w:p>
        </w:tc>
        <w:tc>
          <w:tcPr>
            <w:tcW w:w="10420" w:type="dxa"/>
            <w:vAlign w:val="bottom"/>
          </w:tcPr>
          <w:p>
            <w:pPr>
              <w:ind w:left="120"/>
              <w:spacing w:after="0"/>
              <w:rPr>
                <w:sz w:val="20"/>
                <w:szCs w:val="20"/>
                <w:color w:val="auto"/>
              </w:rPr>
            </w:pPr>
            <w:r>
              <w:rPr>
                <w:rFonts w:ascii="Arial" w:cs="Arial" w:eastAsia="Arial" w:hAnsi="Arial"/>
                <w:sz w:val="18"/>
                <w:szCs w:val="18"/>
                <w:color w:val="auto"/>
              </w:rPr>
              <w:t>Form of Stock Option Grant Agreement for Celsion Corporation 2007 Stock Incentive Plan,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10.1.6 to the Annual Report on Form 10-K of the Company for the year ended December 31, 2007.</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10.7***</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Stock Option Agreement effective January 3, 2007, between Celsion Corporation and Michael H. Tardugno, incorporated herein by reference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 to the Current Report on Form 8-K of the Company filed on January 3, 2007.</w:t>
            </w:r>
          </w:p>
        </w:tc>
      </w:tr>
      <w:tr>
        <w:trPr>
          <w:trHeight w:val="432"/>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10.8***+</w:t>
            </w: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Amended and Restated Employment Agreement, effective December 5, 2014, between Celsion Corporation and Mr. Michael H. Tardugno.</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10.9***</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Employment Offer Letter, entered into on June 15, 2010, between the Company and Jeffrey W. Church,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 to the Current Report on Form 8-K of the Company filed on June 18, 2010.</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10.10*</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Patent License Agreement between the Company and Duke University dated November 10, 1999, incorporated herein by reference to Exhibit</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10.9 to the Annual Report on Form 10-K of the Company for the year ended September 30, 1999.</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10.11*</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License Agreement dated July 18, 2003, between the Company and Duke University, incorporated herein by reference to Exhibit 10.1 to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Registration Statement of the Company (File No. 333-108318) filed on August 28, 2003.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10.12*</w:t>
            </w: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Settlement and License Agreement dated February 7, 2007, by and among Celsion Corporation, American Medical Systems and AMS</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Research Corporation, incorporated herein by reference to Exhibit 10.1 to the Quarterly Report on Form 10-Q of the Company for the quarter</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ended March 31, 2007.</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10.13*</w:t>
            </w:r>
          </w:p>
        </w:tc>
        <w:tc>
          <w:tcPr>
            <w:tcW w:w="10420" w:type="dxa"/>
            <w:vAlign w:val="bottom"/>
          </w:tcPr>
          <w:p>
            <w:pPr>
              <w:ind w:left="120"/>
              <w:spacing w:after="0"/>
              <w:rPr>
                <w:sz w:val="20"/>
                <w:szCs w:val="20"/>
                <w:color w:val="auto"/>
              </w:rPr>
            </w:pPr>
            <w:r>
              <w:rPr>
                <w:rFonts w:ascii="Arial" w:cs="Arial" w:eastAsia="Arial" w:hAnsi="Arial"/>
                <w:sz w:val="18"/>
                <w:szCs w:val="18"/>
                <w:color w:val="auto"/>
                <w:w w:val="94"/>
              </w:rPr>
              <w:t>Development, Product Supply and Commercialization Agreement, effective December 5, 2008, by and between the Company and Yakult</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Honsha Co., Ltd., incorporated herein by reference to Exhibit 10.15 to the Annual Report on Form 10-K of the Company for the year ended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December 31, 2008.</w:t>
            </w:r>
          </w:p>
        </w:tc>
      </w:tr>
      <w:tr>
        <w:trPr>
          <w:trHeight w:val="675"/>
        </w:trPr>
        <w:tc>
          <w:tcPr>
            <w:tcW w:w="104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55</w:t>
            </w:r>
          </w:p>
        </w:tc>
      </w:tr>
      <w:tr>
        <w:trPr>
          <w:trHeight w:val="105"/>
        </w:trPr>
        <w:tc>
          <w:tcPr>
            <w:tcW w:w="1040" w:type="dxa"/>
            <w:vAlign w:val="bottom"/>
          </w:tcPr>
          <w:p>
            <w:pPr>
              <w:spacing w:after="0"/>
              <w:rPr>
                <w:sz w:val="9"/>
                <w:szCs w:val="9"/>
                <w:color w:val="auto"/>
              </w:rPr>
            </w:pPr>
          </w:p>
        </w:tc>
        <w:tc>
          <w:tcPr>
            <w:tcW w:w="10420" w:type="dxa"/>
            <w:vAlign w:val="bottom"/>
          </w:tcPr>
          <w:p>
            <w:pPr>
              <w:spacing w:after="0"/>
              <w:rPr>
                <w:sz w:val="9"/>
                <w:szCs w:val="9"/>
                <w:color w:val="auto"/>
              </w:rPr>
            </w:pPr>
          </w:p>
        </w:tc>
      </w:tr>
      <w:tr>
        <w:trPr>
          <w:trHeight w:val="61"/>
        </w:trPr>
        <w:tc>
          <w:tcPr>
            <w:tcW w:w="1040" w:type="dxa"/>
            <w:vAlign w:val="bottom"/>
            <w:shd w:val="clear" w:color="auto" w:fill="808080"/>
          </w:tcPr>
          <w:p>
            <w:pPr>
              <w:spacing w:after="0"/>
              <w:rPr>
                <w:sz w:val="5"/>
                <w:szCs w:val="5"/>
                <w:color w:val="auto"/>
              </w:rPr>
            </w:pPr>
          </w:p>
        </w:tc>
        <w:tc>
          <w:tcPr>
            <w:tcW w:w="10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2"/>
              </w:rPr>
              <w:t>10.14*</w:t>
            </w:r>
          </w:p>
        </w:tc>
        <w:tc>
          <w:tcPr>
            <w:tcW w:w="10400" w:type="dxa"/>
            <w:vAlign w:val="bottom"/>
          </w:tcPr>
          <w:p>
            <w:pPr>
              <w:ind w:left="100"/>
              <w:spacing w:after="0"/>
              <w:rPr>
                <w:sz w:val="20"/>
                <w:szCs w:val="20"/>
                <w:color w:val="auto"/>
              </w:rPr>
            </w:pPr>
            <w:r>
              <w:rPr>
                <w:rFonts w:ascii="Arial" w:cs="Arial" w:eastAsia="Arial" w:hAnsi="Arial"/>
                <w:sz w:val="18"/>
                <w:szCs w:val="18"/>
                <w:color w:val="auto"/>
                <w:w w:val="93"/>
              </w:rPr>
              <w:t>The 2nd Amendment To The Development, Product Supply And Commercialization Agreement, effective January 7, 2011, by and between</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the Company and Yakult Honsha Co., Ltd. incorporated herein by reference to Exhibit 10.1 to the Current Report on Form 8-K of the</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Company filed on January 18, 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10.15</w:t>
            </w: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Lease Agreement, executed July 21, 2011, by and between Celsion Corporation and Brandywine Operating Partnership, L.P., incorporated</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by reference to Exhibit 10.1 to the Current Report on Form 8-K of the Company filed on July 25, 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rPr>
              <w:t>10.16***</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Change in control severance agreement, dated November 29, 2011, by and between Celsion Corporation and Michael H. Tardugno,</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4"/>
              </w:rPr>
              <w:t>incorporated herein by reference to Exhibit 10.38 to the Annual Report on Form 10-K/A of the Company for the year ended December 31,</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rPr>
              <w:t>10.17***</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Change in control severance agreement, dated November 29, 2011, by and between Celsion Corporation and Nicholas Borys, M.D.,</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4"/>
              </w:rPr>
              <w:t>incorporated herein by reference to Exhibit 10.40 to the Annual Report on Form 10-K/A of the Company for the year ended December 31,</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rPr>
              <w:t>10.18***</w:t>
            </w:r>
          </w:p>
        </w:tc>
        <w:tc>
          <w:tcPr>
            <w:tcW w:w="10400" w:type="dxa"/>
            <w:vAlign w:val="bottom"/>
          </w:tcPr>
          <w:p>
            <w:pPr>
              <w:ind w:left="100"/>
              <w:spacing w:after="0"/>
              <w:rPr>
                <w:sz w:val="20"/>
                <w:szCs w:val="20"/>
                <w:color w:val="auto"/>
              </w:rPr>
            </w:pPr>
            <w:r>
              <w:rPr>
                <w:rFonts w:ascii="Arial" w:cs="Arial" w:eastAsia="Arial" w:hAnsi="Arial"/>
                <w:sz w:val="18"/>
                <w:szCs w:val="18"/>
                <w:color w:val="auto"/>
                <w:w w:val="90"/>
              </w:rPr>
              <w:t>Change in control severance agreement, dated November 29, 2011, by and between Celsion Corporation and Jeffrey W. Church, incorporated</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herein by reference to Exhibit 10.41 to the Annual Report on Form 10-K/A of the Company for the year ended December 31, 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rPr>
              <w:t>10.19***</w:t>
            </w: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Change in control severance agreement, dated November 29, 2011, by and between Celsion Corporation and Robert A. Reed, incorporated</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herein by reference to Exhibit 10.42 to the Annual Report on Form 10-K/A of the Company for the year ended December 31, 2011.</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2"/>
              </w:rPr>
              <w:t>10.20*</w:t>
            </w: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Technology Development Agreement effective as of May 7, 2012, by and between Celsion Corporation and Zhejiang Hisun Pharmaceutical</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Co. Ltd., incorporated herein by reference to Exhibit 10.2 to the Quarterly Report on Form 10-Q of the Company for the quarter ended June</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30, 2012.</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10.21</w:t>
            </w:r>
          </w:p>
        </w:tc>
        <w:tc>
          <w:tcPr>
            <w:tcW w:w="10400" w:type="dxa"/>
            <w:vAlign w:val="bottom"/>
          </w:tcPr>
          <w:p>
            <w:pPr>
              <w:ind w:left="100"/>
              <w:spacing w:after="0"/>
              <w:rPr>
                <w:sz w:val="20"/>
                <w:szCs w:val="20"/>
                <w:color w:val="auto"/>
              </w:rPr>
            </w:pPr>
            <w:r>
              <w:rPr>
                <w:rFonts w:ascii="Arial" w:cs="Arial" w:eastAsia="Arial" w:hAnsi="Arial"/>
                <w:sz w:val="18"/>
                <w:szCs w:val="18"/>
                <w:color w:val="auto"/>
                <w:w w:val="93"/>
              </w:rPr>
              <w:t>Loan and Security Agreement, dated June 27, 2012, by and among Celsion Corporation, Oxford Finance LLC, as collateral agent, and the</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1"/>
              </w:rPr>
              <w:t>lenders named therein, incorporated herein by reference to Exhibit 10.3 to the Quarterly Report on Form 10-Q of the Company for the quarter</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ended June 30, 2012.</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10.22</w:t>
            </w: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Controlled Equity Offering</w:t>
            </w:r>
            <w:r>
              <w:rPr>
                <w:rFonts w:ascii="Arial" w:cs="Arial" w:eastAsia="Arial" w:hAnsi="Arial"/>
                <w:sz w:val="30"/>
                <w:szCs w:val="30"/>
                <w:color w:val="auto"/>
                <w:w w:val="92"/>
                <w:vertAlign w:val="superscript"/>
              </w:rPr>
              <w:t>SM</w:t>
            </w:r>
            <w:r>
              <w:rPr>
                <w:rFonts w:ascii="Arial" w:cs="Arial" w:eastAsia="Arial" w:hAnsi="Arial"/>
                <w:sz w:val="18"/>
                <w:szCs w:val="18"/>
                <w:color w:val="auto"/>
                <w:w w:val="92"/>
              </w:rPr>
              <w:t xml:space="preserve"> Sales Agreement, dated February 1, 2013, by and between Celsion Corporation and Cantor Fitzgerald &amp; Co.,</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 Current Report on Form 8-K of the Company filed on February 1, 2013.</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10.23</w:t>
            </w:r>
          </w:p>
        </w:tc>
        <w:tc>
          <w:tcPr>
            <w:tcW w:w="10400" w:type="dxa"/>
            <w:vAlign w:val="bottom"/>
          </w:tcPr>
          <w:p>
            <w:pPr>
              <w:ind w:left="100"/>
              <w:spacing w:after="0"/>
              <w:rPr>
                <w:sz w:val="20"/>
                <w:szCs w:val="20"/>
                <w:color w:val="auto"/>
              </w:rPr>
            </w:pPr>
            <w:r>
              <w:rPr>
                <w:rFonts w:ascii="Arial" w:cs="Arial" w:eastAsia="Arial" w:hAnsi="Arial"/>
                <w:sz w:val="18"/>
                <w:szCs w:val="18"/>
                <w:color w:val="auto"/>
                <w:w w:val="90"/>
              </w:rPr>
              <w:t>Securities Purchase Agreement, dated February 22, 2013, by and among Celsion Corporation and the purchasers named therein, incorporated</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by reference to Exhibit 10.1 to the Current Report on Form 8-K of the Company filed on February 26, 2013.</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2"/>
              </w:rPr>
              <w:t>10.24*</w:t>
            </w:r>
          </w:p>
        </w:tc>
        <w:tc>
          <w:tcPr>
            <w:tcW w:w="10400" w:type="dxa"/>
            <w:vAlign w:val="bottom"/>
          </w:tcPr>
          <w:p>
            <w:pPr>
              <w:ind w:left="100"/>
              <w:spacing w:after="0"/>
              <w:rPr>
                <w:sz w:val="20"/>
                <w:szCs w:val="20"/>
                <w:color w:val="auto"/>
              </w:rPr>
            </w:pPr>
            <w:r>
              <w:rPr>
                <w:rFonts w:ascii="Arial" w:cs="Arial" w:eastAsia="Arial" w:hAnsi="Arial"/>
                <w:sz w:val="18"/>
                <w:szCs w:val="18"/>
                <w:color w:val="auto"/>
                <w:w w:val="92"/>
              </w:rPr>
              <w:t>Technology Development Contract dated as of January 18, 2013, by and between Celsion Corporation and Zhejiang Hisun Pharmaceutical</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1"/>
              </w:rPr>
              <w:t>Co. Ltd., incorporated herein by reference to Exhibit 10.1 to the Quarterly Report on Form 10-Q of the Company for the quarter ended March</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31, 2013.</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3"/>
              </w:rPr>
              <w:t>10.25+</w:t>
            </w:r>
          </w:p>
        </w:tc>
        <w:tc>
          <w:tcPr>
            <w:tcW w:w="10400" w:type="dxa"/>
            <w:vAlign w:val="bottom"/>
          </w:tcPr>
          <w:p>
            <w:pPr>
              <w:ind w:left="100"/>
              <w:spacing w:after="0"/>
              <w:rPr>
                <w:sz w:val="20"/>
                <w:szCs w:val="20"/>
                <w:color w:val="auto"/>
              </w:rPr>
            </w:pPr>
            <w:r>
              <w:rPr>
                <w:rFonts w:ascii="Arial" w:cs="Arial" w:eastAsia="Arial" w:hAnsi="Arial"/>
                <w:sz w:val="18"/>
                <w:szCs w:val="18"/>
                <w:color w:val="auto"/>
                <w:w w:val="96"/>
              </w:rPr>
              <w:t>Loan and Security Agreement dated as of November 25, 2013, by and between Celsion Corporation and Hercules Technology Growth</w:t>
            </w:r>
          </w:p>
        </w:tc>
      </w:tr>
      <w:tr>
        <w:trPr>
          <w:trHeight w:val="216"/>
        </w:trPr>
        <w:tc>
          <w:tcPr>
            <w:tcW w:w="106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6"/>
              </w:rPr>
              <w:t>Capital, Inc., incorporated herein by reference to Exhibit 10.28 to the Annual Report on Form 10-K of the Company for the year ended</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December 31, 2014.</w:t>
            </w:r>
          </w:p>
        </w:tc>
      </w:tr>
      <w:tr>
        <w:trPr>
          <w:trHeight w:val="418"/>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10.26</w:t>
            </w:r>
          </w:p>
        </w:tc>
        <w:tc>
          <w:tcPr>
            <w:tcW w:w="10400" w:type="dxa"/>
            <w:vAlign w:val="bottom"/>
          </w:tcPr>
          <w:p>
            <w:pPr>
              <w:ind w:left="100"/>
              <w:spacing w:after="0"/>
              <w:rPr>
                <w:sz w:val="20"/>
                <w:szCs w:val="20"/>
                <w:color w:val="auto"/>
              </w:rPr>
            </w:pPr>
            <w:r>
              <w:rPr>
                <w:rFonts w:ascii="Arial" w:cs="Arial" w:eastAsia="Arial" w:hAnsi="Arial"/>
                <w:sz w:val="18"/>
                <w:szCs w:val="18"/>
                <w:color w:val="auto"/>
                <w:w w:val="95"/>
              </w:rPr>
              <w:t>Securities Purchase Agreement dated as of January 15, 2014, by and between Celsion Corporation and the purchasers named therein,</w:t>
            </w:r>
          </w:p>
        </w:tc>
      </w:tr>
      <w:tr>
        <w:trPr>
          <w:trHeight w:val="230"/>
        </w:trPr>
        <w:tc>
          <w:tcPr>
            <w:tcW w:w="1060" w:type="dxa"/>
            <w:vAlign w:val="bottom"/>
          </w:tcPr>
          <w:p>
            <w:pPr>
              <w:spacing w:after="0"/>
              <w:rPr>
                <w:sz w:val="20"/>
                <w:szCs w:val="20"/>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herein by reference to Exhibit 10.1 to the Current Report on Form 8-K of the Company filed on January 21, 2014.</w:t>
            </w:r>
          </w:p>
        </w:tc>
      </w:tr>
      <w:tr>
        <w:trPr>
          <w:trHeight w:val="432"/>
        </w:trPr>
        <w:tc>
          <w:tcPr>
            <w:tcW w:w="1060" w:type="dxa"/>
            <w:vAlign w:val="bottom"/>
          </w:tcPr>
          <w:p>
            <w:pPr>
              <w:jc w:val="center"/>
              <w:ind w:left="30"/>
              <w:spacing w:after="0"/>
              <w:rPr>
                <w:sz w:val="20"/>
                <w:szCs w:val="20"/>
                <w:color w:val="auto"/>
              </w:rPr>
            </w:pPr>
            <w:r>
              <w:rPr>
                <w:rFonts w:ascii="Arial" w:cs="Arial" w:eastAsia="Arial" w:hAnsi="Arial"/>
                <w:sz w:val="18"/>
                <w:szCs w:val="18"/>
                <w:color w:val="auto"/>
              </w:rPr>
              <w:t>10.27***+</w:t>
            </w:r>
          </w:p>
        </w:tc>
        <w:tc>
          <w:tcPr>
            <w:tcW w:w="10400" w:type="dxa"/>
            <w:vAlign w:val="bottom"/>
          </w:tcPr>
          <w:p>
            <w:pPr>
              <w:ind w:left="100"/>
              <w:spacing w:after="0"/>
              <w:rPr>
                <w:sz w:val="20"/>
                <w:szCs w:val="20"/>
                <w:color w:val="auto"/>
              </w:rPr>
            </w:pPr>
            <w:r>
              <w:rPr>
                <w:rFonts w:ascii="Arial" w:cs="Arial" w:eastAsia="Arial" w:hAnsi="Arial"/>
                <w:sz w:val="18"/>
                <w:szCs w:val="18"/>
                <w:color w:val="auto"/>
              </w:rPr>
              <w:t>Employment Offer Letter effective as of June 20, 2014, between the Company and Khursheed Anwer.</w:t>
            </w:r>
          </w:p>
        </w:tc>
      </w:tr>
      <w:tr>
        <w:trPr>
          <w:trHeight w:val="432"/>
        </w:trPr>
        <w:tc>
          <w:tcPr>
            <w:tcW w:w="1060" w:type="dxa"/>
            <w:vAlign w:val="bottom"/>
          </w:tcPr>
          <w:p>
            <w:pPr>
              <w:jc w:val="center"/>
              <w:ind w:left="30"/>
              <w:spacing w:after="0"/>
              <w:rPr>
                <w:sz w:val="20"/>
                <w:szCs w:val="20"/>
                <w:color w:val="auto"/>
              </w:rPr>
            </w:pPr>
            <w:r>
              <w:rPr>
                <w:rFonts w:ascii="Arial" w:cs="Arial" w:eastAsia="Arial" w:hAnsi="Arial"/>
                <w:sz w:val="18"/>
                <w:szCs w:val="18"/>
                <w:color w:val="auto"/>
                <w:w w:val="92"/>
              </w:rPr>
              <w:t>21.1+</w:t>
            </w:r>
          </w:p>
        </w:tc>
        <w:tc>
          <w:tcPr>
            <w:tcW w:w="10400" w:type="dxa"/>
            <w:vAlign w:val="bottom"/>
          </w:tcPr>
          <w:p>
            <w:pPr>
              <w:ind w:left="100"/>
              <w:spacing w:after="0"/>
              <w:rPr>
                <w:sz w:val="20"/>
                <w:szCs w:val="20"/>
                <w:color w:val="auto"/>
              </w:rPr>
            </w:pPr>
            <w:r>
              <w:rPr>
                <w:rFonts w:ascii="Arial" w:cs="Arial" w:eastAsia="Arial" w:hAnsi="Arial"/>
                <w:sz w:val="18"/>
                <w:szCs w:val="18"/>
                <w:color w:val="auto"/>
              </w:rPr>
              <w:t>Subsidiaries of Celsion Corporation</w:t>
            </w:r>
          </w:p>
        </w:tc>
      </w:tr>
      <w:tr>
        <w:trPr>
          <w:trHeight w:val="432"/>
        </w:trPr>
        <w:tc>
          <w:tcPr>
            <w:tcW w:w="1060" w:type="dxa"/>
            <w:vAlign w:val="bottom"/>
          </w:tcPr>
          <w:p>
            <w:pPr>
              <w:jc w:val="center"/>
              <w:ind w:left="30"/>
              <w:spacing w:after="0"/>
              <w:rPr>
                <w:sz w:val="20"/>
                <w:szCs w:val="20"/>
                <w:color w:val="auto"/>
              </w:rPr>
            </w:pPr>
            <w:r>
              <w:rPr>
                <w:rFonts w:ascii="Arial" w:cs="Arial" w:eastAsia="Arial" w:hAnsi="Arial"/>
                <w:sz w:val="18"/>
                <w:szCs w:val="18"/>
                <w:color w:val="auto"/>
                <w:w w:val="92"/>
              </w:rPr>
              <w:t>23.1+</w:t>
            </w:r>
          </w:p>
        </w:tc>
        <w:tc>
          <w:tcPr>
            <w:tcW w:w="10400" w:type="dxa"/>
            <w:vAlign w:val="bottom"/>
          </w:tcPr>
          <w:p>
            <w:pPr>
              <w:ind w:left="100"/>
              <w:spacing w:after="0"/>
              <w:rPr>
                <w:sz w:val="20"/>
                <w:szCs w:val="20"/>
                <w:color w:val="auto"/>
              </w:rPr>
            </w:pPr>
            <w:r>
              <w:rPr>
                <w:rFonts w:ascii="Arial" w:cs="Arial" w:eastAsia="Arial" w:hAnsi="Arial"/>
                <w:sz w:val="18"/>
                <w:szCs w:val="18"/>
                <w:color w:val="auto"/>
              </w:rPr>
              <w:t>Consent of Stegman &amp; Company, independent registered public accounting firm for the Company.</w:t>
            </w:r>
          </w:p>
        </w:tc>
      </w:tr>
      <w:tr>
        <w:trPr>
          <w:trHeight w:val="432"/>
        </w:trPr>
        <w:tc>
          <w:tcPr>
            <w:tcW w:w="1060" w:type="dxa"/>
            <w:vAlign w:val="bottom"/>
          </w:tcPr>
          <w:p>
            <w:pPr>
              <w:jc w:val="center"/>
              <w:ind w:left="30"/>
              <w:spacing w:after="0"/>
              <w:rPr>
                <w:sz w:val="20"/>
                <w:szCs w:val="20"/>
                <w:color w:val="auto"/>
              </w:rPr>
            </w:pPr>
            <w:r>
              <w:rPr>
                <w:rFonts w:ascii="Arial" w:cs="Arial" w:eastAsia="Arial" w:hAnsi="Arial"/>
                <w:sz w:val="18"/>
                <w:szCs w:val="18"/>
                <w:color w:val="auto"/>
                <w:w w:val="92"/>
              </w:rPr>
              <w:t>31.1+</w:t>
            </w:r>
          </w:p>
        </w:tc>
        <w:tc>
          <w:tcPr>
            <w:tcW w:w="1040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729"/>
        </w:trPr>
        <w:tc>
          <w:tcPr>
            <w:tcW w:w="106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56</w:t>
            </w:r>
          </w:p>
        </w:tc>
      </w:tr>
      <w:tr>
        <w:trPr>
          <w:trHeight w:val="105"/>
        </w:trPr>
        <w:tc>
          <w:tcPr>
            <w:tcW w:w="1060" w:type="dxa"/>
            <w:vAlign w:val="bottom"/>
          </w:tcPr>
          <w:p>
            <w:pPr>
              <w:spacing w:after="0"/>
              <w:rPr>
                <w:sz w:val="9"/>
                <w:szCs w:val="9"/>
                <w:color w:val="auto"/>
              </w:rPr>
            </w:pPr>
          </w:p>
        </w:tc>
        <w:tc>
          <w:tcPr>
            <w:tcW w:w="10400" w:type="dxa"/>
            <w:vAlign w:val="bottom"/>
          </w:tcPr>
          <w:p>
            <w:pPr>
              <w:spacing w:after="0"/>
              <w:rPr>
                <w:sz w:val="9"/>
                <w:szCs w:val="9"/>
                <w:color w:val="auto"/>
              </w:rPr>
            </w:pPr>
          </w:p>
        </w:tc>
      </w:tr>
      <w:tr>
        <w:trPr>
          <w:trHeight w:val="61"/>
        </w:trPr>
        <w:tc>
          <w:tcPr>
            <w:tcW w:w="1060" w:type="dxa"/>
            <w:vAlign w:val="bottom"/>
            <w:shd w:val="clear" w:color="auto" w:fill="808080"/>
          </w:tcPr>
          <w:p>
            <w:pPr>
              <w:spacing w:after="0"/>
              <w:rPr>
                <w:sz w:val="5"/>
                <w:szCs w:val="5"/>
                <w:color w:val="auto"/>
              </w:rPr>
            </w:pPr>
          </w:p>
        </w:tc>
        <w:tc>
          <w:tcPr>
            <w:tcW w:w="10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0" w:name="page61"/>
    <w:bookmarkEnd w:id="60"/>
    <w:p>
      <w:pPr>
        <w:ind w:left="20"/>
        <w:spacing w:after="0"/>
        <w:rPr>
          <w:sz w:val="20"/>
          <w:szCs w:val="20"/>
          <w:color w:val="auto"/>
        </w:rPr>
      </w:pPr>
      <w:r>
        <w:rPr>
          <w:rFonts w:ascii="Arial" w:cs="Arial" w:eastAsia="Arial" w:hAnsi="Arial"/>
          <w:sz w:val="16"/>
          <w:szCs w:val="16"/>
          <w:color w:val="auto"/>
        </w:rPr>
        <w:t>31.2+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materials from the Company’s Annual Report on Form 10-K for the fiscal year ended December 31, 2014, formatted in XBRL (Extensible Business Reporting Language): (i) the audited Consolidated Balance Sheets, (ii) the audited Consolidated Statements of Operations, (iii) the audited Consolidated Statements of Comprehensive Loss, (iv) the audited Consolidated Statements of Cash Flows, (v) the audited Consolidated Statements of Changes in Stockholders’ Equity and (vi) Notes to Consolidated Financial Statements.</w:t>
      </w:r>
    </w:p>
    <w:p>
      <w:pPr>
        <w:spacing w:after="0" w:line="200" w:lineRule="exact"/>
        <w:rPr>
          <w:sz w:val="20"/>
          <w:szCs w:val="20"/>
          <w:color w:val="auto"/>
        </w:rPr>
      </w:pPr>
    </w:p>
    <w:p>
      <w:pPr>
        <w:sectPr>
          <w:pgSz w:w="11900" w:h="16838" w:orient="portrait"/>
          <w:cols w:equalWidth="0" w:num="2">
            <w:col w:w="440" w:space="360"/>
            <w:col w:w="10260"/>
          </w:cols>
          <w:pgMar w:left="600" w:top="584" w:right="239" w:bottom="1440" w:gutter="0" w:footer="0" w:header="0"/>
        </w:sectPr>
      </w:pPr>
    </w:p>
    <w:p>
      <w:pPr>
        <w:spacing w:after="0" w:line="170" w:lineRule="exact"/>
        <w:rPr>
          <w:sz w:val="20"/>
          <w:szCs w:val="20"/>
          <w:color w:val="auto"/>
        </w:rPr>
      </w:pPr>
    </w:p>
    <w:p>
      <w:pPr>
        <w:ind w:left="800" w:hanging="623"/>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under Rule 24b-2 of the Securities Exchange Act of</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1934, amended, and the omitted material has been separately filed with the Securities and Exchange Commission.</w:t>
      </w:r>
    </w:p>
    <w:p>
      <w:pPr>
        <w:spacing w:after="0" w:line="9" w:lineRule="exact"/>
        <w:rPr>
          <w:sz w:val="20"/>
          <w:szCs w:val="20"/>
          <w:color w:val="auto"/>
        </w:rPr>
      </w:pPr>
    </w:p>
    <w:p>
      <w:pPr>
        <w:ind w:left="800" w:hanging="629"/>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00" w:hanging="62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00" w:hanging="66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800" w:hanging="7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600" w:top="584" w:right="239" w:bottom="1440" w:gutter="0" w:footer="0" w:header="0"/>
          <w:type w:val="continuous"/>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CELSION CORPORATION</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March 12, 2015</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3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Chairman of the Board, President and</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March 12, 2015</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 of the Securities Exchange Act of 1934, this report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190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424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c>
          <w:tcPr>
            <w:tcW w:w="300" w:type="dxa"/>
            <w:vAlign w:val="bottom"/>
          </w:tcPr>
          <w:p>
            <w:pPr>
              <w:spacing w:after="0"/>
              <w:rPr>
                <w:sz w:val="20"/>
                <w:szCs w:val="20"/>
                <w:color w:val="auto"/>
              </w:rPr>
            </w:pPr>
          </w:p>
        </w:tc>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20"/>
                <w:szCs w:val="20"/>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w w:val="97"/>
              </w:rPr>
              <w:t>Chairman of the Board, President and Chief Executive</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Officer (Principal Executive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Senior Vice President and Chief Financial</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Officer (Principal Financial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Controller and Chief Accounting Officer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(Timothy J. Tumminello)</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(Augustine Chow, PhD.)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(Frederick J. Fritz)</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12, 2015</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(Alberto Martinez, MD)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15"/>
        </w:trPr>
        <w:tc>
          <w:tcPr>
            <w:tcW w:w="4240" w:type="dxa"/>
            <w:vAlign w:val="bottom"/>
          </w:tcPr>
          <w:p>
            <w:pPr>
              <w:spacing w:after="0"/>
              <w:rPr>
                <w:sz w:val="24"/>
                <w:szCs w:val="24"/>
                <w:color w:val="auto"/>
              </w:rPr>
            </w:pPr>
          </w:p>
        </w:tc>
        <w:tc>
          <w:tcPr>
            <w:tcW w:w="4540" w:type="dxa"/>
            <w:vAlign w:val="bottom"/>
            <w:gridSpan w:val="2"/>
          </w:tcPr>
          <w:p>
            <w:pPr>
              <w:ind w:left="138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New Jersey</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Celsion Corporation (the “Company”) as of December 31, 2014 and 2013, and the related statements of operations, statements of comprehensive loss, changes in stockholders’ equity, and cash flows for each of the years in the three year period ended December 31, 2014. We also have audited the Company’s internal control over financial reporting as of December 31, 2014, based on criteria established in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our opinion, the financial statements referred to above present fairly, in all material respects, the financial position of Celsion Corporation as of December 31, 2014 and 2013, and the results of its operations and its cash flows for each of the years in the three year period ended December 31, 2014 in conformity with accounting principles generally accepted in the United States of America. Also in our opinion, Celsion Corporation maintained, in all material respects, effective internal control over financial reporting as of December 31, 2014, based on criteria established in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COSO).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Stegman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840" w:type="dxa"/>
            <w:vAlign w:val="bottom"/>
          </w:tcPr>
          <w:p>
            <w:pPr>
              <w:jc w:val="center"/>
              <w:ind w:left="3490"/>
              <w:spacing w:after="0"/>
              <w:rPr>
                <w:sz w:val="20"/>
                <w:szCs w:val="20"/>
                <w:color w:val="auto"/>
              </w:rPr>
            </w:pPr>
            <w:r>
              <w:rPr>
                <w:rFonts w:ascii="Arial" w:cs="Arial" w:eastAsia="Arial" w:hAnsi="Arial"/>
                <w:sz w:val="18"/>
                <w:szCs w:val="18"/>
                <w:b w:val="1"/>
                <w:bCs w:val="1"/>
                <w:color w:val="auto"/>
              </w:rPr>
              <w:t>CELSION CORPORATION</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12,686,881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24,173,406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Advances and deposits on clinical programs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563,551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37,506,271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43,762,119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tcPr>
          <w:p>
            <w:pPr>
              <w:ind w:left="180"/>
              <w:spacing w:after="0" w:line="201" w:lineRule="exact"/>
              <w:rPr>
                <w:sz w:val="20"/>
                <w:szCs w:val="20"/>
                <w:color w:val="auto"/>
              </w:rPr>
            </w:pPr>
            <w:r>
              <w:rPr>
                <w:rFonts w:ascii="Arial" w:cs="Arial" w:eastAsia="Arial" w:hAnsi="Arial"/>
                <w:sz w:val="18"/>
                <w:szCs w:val="18"/>
                <w:b w:val="1"/>
                <w:bCs w:val="1"/>
                <w:color w:val="auto"/>
                <w:w w:val="94"/>
              </w:rPr>
              <w:t xml:space="preserve">Property and equipment </w:t>
            </w:r>
            <w:r>
              <w:rPr>
                <w:rFonts w:ascii="Arial" w:cs="Arial" w:eastAsia="Arial" w:hAnsi="Arial"/>
                <w:sz w:val="18"/>
                <w:szCs w:val="18"/>
                <w:color w:val="auto"/>
                <w:w w:val="94"/>
              </w:rPr>
              <w:t>(at cost, less accumulated depreciation and amortization of $1,633,517 and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1,170,497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832,886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40" w:type="dxa"/>
            <w:vAlign w:val="bottom"/>
          </w:tcPr>
          <w:p>
            <w:pPr>
              <w:ind w:left="360"/>
              <w:spacing w:after="0"/>
              <w:rPr>
                <w:sz w:val="20"/>
                <w:szCs w:val="20"/>
                <w:color w:val="auto"/>
              </w:rPr>
            </w:pPr>
            <w:r>
              <w:rPr>
                <w:rFonts w:ascii="Arial" w:cs="Arial" w:eastAsia="Arial" w:hAnsi="Arial"/>
                <w:sz w:val="18"/>
                <w:szCs w:val="18"/>
                <w:color w:val="auto"/>
              </w:rPr>
              <w:t>$1,264,190, respectively)</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 on letter of credit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Deferred financing fees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844,249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28,017,764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1,075,567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66,694,532</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3820"/>
              <w:spacing w:after="0"/>
              <w:rPr>
                <w:sz w:val="20"/>
                <w:szCs w:val="20"/>
                <w:color w:val="auto"/>
              </w:rPr>
            </w:pPr>
            <w:r>
              <w:rPr>
                <w:rFonts w:ascii="Arial" w:cs="Arial" w:eastAsia="Arial" w:hAnsi="Arial"/>
                <w:sz w:val="18"/>
                <w:szCs w:val="18"/>
                <w:color w:val="auto"/>
                <w:w w:val="94"/>
              </w:rPr>
              <w:t>See accompanying notes to the financial statements.</w:t>
            </w: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40" w:type="dxa"/>
            <w:vAlign w:val="bottom"/>
          </w:tcPr>
          <w:p>
            <w:pPr>
              <w:jc w:val="center"/>
              <w:ind w:left="3490"/>
              <w:spacing w:after="0"/>
              <w:rPr>
                <w:sz w:val="20"/>
                <w:szCs w:val="20"/>
                <w:color w:val="auto"/>
              </w:rPr>
            </w:pPr>
            <w:r>
              <w:rPr>
                <w:rFonts w:ascii="Arial" w:cs="Arial" w:eastAsia="Arial" w:hAnsi="Arial"/>
                <w:sz w:val="18"/>
                <w:szCs w:val="18"/>
                <w:color w:val="auto"/>
                <w:w w:val="96"/>
              </w:rPr>
              <w:t>F-2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jc w:val="center"/>
              <w:ind w:left="3290"/>
              <w:spacing w:after="0"/>
              <w:rPr>
                <w:sz w:val="20"/>
                <w:szCs w:val="20"/>
                <w:color w:val="auto"/>
              </w:rPr>
            </w:pPr>
            <w:r>
              <w:rPr>
                <w:rFonts w:ascii="Arial" w:cs="Arial" w:eastAsia="Arial" w:hAnsi="Arial"/>
                <w:sz w:val="18"/>
                <w:szCs w:val="18"/>
                <w:b w:val="1"/>
                <w:bCs w:val="1"/>
                <w:color w:val="auto"/>
              </w:rPr>
              <w:t>CELSION CORPORATION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4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40" w:type="dxa"/>
            <w:vAlign w:val="bottom"/>
          </w:tcPr>
          <w:p>
            <w:pPr>
              <w:jc w:val="center"/>
              <w:ind w:left="3290"/>
              <w:spacing w:after="0"/>
              <w:rPr>
                <w:sz w:val="20"/>
                <w:szCs w:val="20"/>
                <w:color w:val="auto"/>
              </w:rPr>
            </w:pPr>
            <w:r>
              <w:rPr>
                <w:rFonts w:ascii="Arial" w:cs="Arial" w:eastAsia="Arial" w:hAnsi="Arial"/>
                <w:sz w:val="18"/>
                <w:szCs w:val="18"/>
                <w:b w:val="1"/>
                <w:bCs w:val="1"/>
                <w:color w:val="auto"/>
                <w:w w:val="93"/>
              </w:rPr>
              <w:t>(Continued)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3,480,225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1,452,436</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2,456,365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2,707,653</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3,654,231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10,891</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10,090,821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4,670,980</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13,663,710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Common stock warrant liability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275,008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 payable – non-current portion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6,053,065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Deferred revenue – non-current portion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r>
      <w:tr>
        <w:trPr>
          <w:trHeight w:val="21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 – noncurrent</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33,869,196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14,146,737</w:t>
            </w:r>
          </w:p>
        </w:tc>
        <w:tc>
          <w:tcPr>
            <w:tcW w:w="100" w:type="dxa"/>
            <w:vAlign w:val="bottom"/>
          </w:tcPr>
          <w:p>
            <w:pPr>
              <w:spacing w:after="0"/>
              <w:rPr>
                <w:sz w:val="18"/>
                <w:szCs w:val="18"/>
                <w:color w:val="auto"/>
              </w:rPr>
            </w:pPr>
          </w:p>
        </w:tc>
      </w:tr>
      <w:tr>
        <w:trPr>
          <w:trHeight w:val="210"/>
        </w:trPr>
        <w:tc>
          <w:tcPr>
            <w:tcW w:w="8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Preferred Stock - $0.01 par value (100,000 shares authorized and no shares issued or outstanding at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December 31, 2014 and 2013, respectively)</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8040" w:type="dxa"/>
            <w:vAlign w:val="bottom"/>
          </w:tcPr>
          <w:p>
            <w:pPr>
              <w:ind w:left="340"/>
              <w:spacing w:after="0" w:line="201" w:lineRule="exact"/>
              <w:rPr>
                <w:sz w:val="20"/>
                <w:szCs w:val="20"/>
                <w:color w:val="auto"/>
              </w:rPr>
            </w:pPr>
            <w:r>
              <w:rPr>
                <w:rFonts w:ascii="Arial" w:cs="Arial" w:eastAsia="Arial" w:hAnsi="Arial"/>
                <w:sz w:val="18"/>
                <w:szCs w:val="18"/>
                <w:color w:val="auto"/>
                <w:w w:val="89"/>
              </w:rPr>
              <w:t>Common stock - $0.01 par value (75,000,000 shares authorized; 20,097,603 and 13,737,970 shares issued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8"/>
                <w:szCs w:val="18"/>
                <w:color w:val="auto"/>
                <w:w w:val="92"/>
              </w:rPr>
              <w:t>at December 31, 2014 and 2013 and 19,984,203 and 13,604,975 shares outstanding at December 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2014 and 2013, respectively)</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200,976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137,380</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229,778,703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203,139,142</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(16,032)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(44,166)</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(195,073,702)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(169,287,157)</w:t>
            </w:r>
          </w:p>
        </w:tc>
      </w:tr>
      <w:tr>
        <w:trPr>
          <w:trHeight w:val="210"/>
        </w:trPr>
        <w:tc>
          <w:tcPr>
            <w:tcW w:w="8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34,889,945</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33,945,199</w:t>
            </w:r>
          </w:p>
        </w:tc>
        <w:tc>
          <w:tcPr>
            <w:tcW w:w="100" w:type="dxa"/>
            <w:vAlign w:val="bottom"/>
            <w:tcBorders>
              <w:top w:val="single" w:sz="8" w:color="CCEEFF"/>
            </w:tcBorders>
          </w:tcPr>
          <w:p>
            <w:pPr>
              <w:spacing w:after="0"/>
              <w:rPr>
                <w:sz w:val="18"/>
                <w:szCs w:val="18"/>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Treasury stock, at cost (113,400 and 132,995 shares at December 31, 2014 and 2013, respectively)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(2,064,609)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(2,421,364)</w:t>
            </w:r>
          </w:p>
        </w:tc>
      </w:tr>
      <w:tr>
        <w:trPr>
          <w:trHeight w:val="210"/>
        </w:trPr>
        <w:tc>
          <w:tcPr>
            <w:tcW w:w="80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32,825,336</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31,523,835</w:t>
            </w:r>
          </w:p>
        </w:tc>
        <w:tc>
          <w:tcPr>
            <w:tcW w:w="100" w:type="dxa"/>
            <w:vAlign w:val="bottom"/>
            <w:tcBorders>
              <w:top w:val="single" w:sz="8" w:color="CCEEFF"/>
            </w:tcBorders>
          </w:tcPr>
          <w:p>
            <w:pPr>
              <w:spacing w:after="0"/>
              <w:rPr>
                <w:sz w:val="18"/>
                <w:szCs w:val="18"/>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66,694,532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45,670,572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14,969,382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9,364,228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15,770,166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8,860,549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6,547,257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25,215,194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15,911,485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22,142,717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(24,715,194)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(15,411,485)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(22,142,717)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(loss) from valuation of common stock warrant liability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8,090,636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(4,117,534)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valuation of earn-out milestone liability</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(12,744)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(915,235)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(2,530)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7,160,127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(4,425,665)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(25,494,273)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(8,251,358)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(26,568,382)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Non-cash deemed dividend from beneficial conversion feature on convertible</w:t>
            </w:r>
          </w:p>
        </w:tc>
        <w:tc>
          <w:tcPr>
            <w:tcW w:w="3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(4,601,410)</w:t>
            </w:r>
          </w:p>
        </w:tc>
        <w:tc>
          <w:tcPr>
            <w:tcW w:w="32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(25,494,273)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(12,852,768)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(26,568,382)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34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18,472,399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13,540,566</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(25,494,273)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(8,251,358)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(26,568,382)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92,364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investment securities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82,441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(25,466,139)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(8,168,917)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(26,418,289)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40" w:type="dxa"/>
            <w:vAlign w:val="bottom"/>
            <w:gridSpan w:val="4"/>
          </w:tcPr>
          <w:p>
            <w:pPr>
              <w:jc w:val="center"/>
              <w:ind w:left="3250"/>
              <w:spacing w:after="0"/>
              <w:rPr>
                <w:sz w:val="20"/>
                <w:szCs w:val="20"/>
                <w:color w:val="auto"/>
              </w:rPr>
            </w:pPr>
            <w:r>
              <w:rPr>
                <w:rFonts w:ascii="Arial" w:cs="Arial" w:eastAsia="Arial" w:hAnsi="Arial"/>
                <w:sz w:val="18"/>
                <w:szCs w:val="18"/>
                <w:color w:val="auto"/>
                <w:w w:val="88"/>
              </w:rPr>
              <w:t>See accompanying notes to the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380" w:type="dxa"/>
            <w:vAlign w:val="bottom"/>
          </w:tcPr>
          <w:p>
            <w:pPr>
              <w:jc w:val="center"/>
              <w:ind w:left="4910"/>
              <w:spacing w:after="0"/>
              <w:rPr>
                <w:sz w:val="20"/>
                <w:szCs w:val="20"/>
                <w:color w:val="auto"/>
              </w:rPr>
            </w:pPr>
            <w:r>
              <w:rPr>
                <w:rFonts w:ascii="Arial" w:cs="Arial" w:eastAsia="Arial" w:hAnsi="Arial"/>
                <w:sz w:val="18"/>
                <w:szCs w:val="18"/>
                <w:color w:val="auto"/>
                <w:w w:val="96"/>
              </w:rPr>
              <w:t>F-5</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gridSpan w:val="2"/>
          </w:tcPr>
          <w:p>
            <w:pPr>
              <w:ind w:left="4580"/>
              <w:spacing w:after="0"/>
              <w:rPr>
                <w:sz w:val="20"/>
                <w:szCs w:val="20"/>
                <w:color w:val="auto"/>
              </w:rPr>
            </w:pPr>
            <w:r>
              <w:rPr>
                <w:rFonts w:ascii="Arial" w:cs="Arial" w:eastAsia="Arial" w:hAnsi="Arial"/>
                <w:sz w:val="18"/>
                <w:szCs w:val="18"/>
                <w:b w:val="1"/>
                <w:bCs w:val="1"/>
                <w:color w:val="auto"/>
              </w:rPr>
              <w:t>CELSION CORPORATION</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40" w:type="dxa"/>
            <w:vAlign w:val="bottom"/>
            <w:gridSpan w:val="4"/>
          </w:tcPr>
          <w:p>
            <w:pPr>
              <w:ind w:left="3560"/>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(25,494,273)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(8,251,358)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(26,568,382)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items included in net loss: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339,229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common stock warrant liability</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(8,090,636)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(213,949)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received for non-refundable research and development fee</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1,235,437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Shares issued out of treasury</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98,046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Amortization of deferred finance charges and debt discount associated with note</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336,387</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Amortization of patent license fee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Loss realized on sale of investment securities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92,364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Interest receivable on investments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(146,123)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Deposits and other assets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(116,181)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(887,332)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accrued liabilities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(251,288)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1,497,566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(776,955)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(21,353,020)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(9,525,276)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investment securities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(29,825,918)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(66,323,059)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(16,394,358)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42,812,300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37,194,375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used in acquisition of EGEN, Inc., net of cash received</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(2,820,649)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on security for letter of credit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(672,256)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(57,494)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(613,390)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by investing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9,543,477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(29,136,178)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5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13,616,432</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13,788,811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15,622,955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261,944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10,106,557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options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note payable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4,763,803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4,825,494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 payable</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(5,060,711)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18,777,920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29,388,470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15,518,984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6,968,377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(9,272,984)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(5,154,366)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5,718,504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14,991,488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12,686,881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5,718,504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14,991,488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paid for:</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892,600</w:t>
            </w:r>
          </w:p>
        </w:tc>
        <w:tc>
          <w:tcPr>
            <w:tcW w:w="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637,183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Accum.</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Additional</w:t>
            </w: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 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12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75,332</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$ 158,887,403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158,384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(2,884,125)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(267,700)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(129,608,341)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26,193,568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(26,568,382)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(26,568,382)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 for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150,093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Valuation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warrants in connection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with notes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73,654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common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warrants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845,526</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10,156,437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10,164,892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1,143,764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option exercise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696,643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(10,624)</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193,614</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(86,565)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107,049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out of treasury</w:t>
            </w: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8,289,507</w:t>
            </w:r>
          </w:p>
        </w:tc>
        <w:tc>
          <w:tcPr>
            <w:tcW w:w="2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84,373</w:t>
            </w:r>
          </w:p>
        </w:tc>
        <w:tc>
          <w:tcPr>
            <w:tcW w:w="100" w:type="dxa"/>
            <w:vAlign w:val="bottom"/>
            <w:vMerge w:val="restart"/>
            <w:shd w:val="clear" w:color="auto" w:fill="CCEEFF"/>
          </w:tcPr>
          <w:p>
            <w:pPr>
              <w:spacing w:after="0"/>
              <w:rPr>
                <w:sz w:val="16"/>
                <w:szCs w:val="16"/>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170,957,891</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147,760</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7"/>
              </w:rPr>
              <w:t>$ (2,690,511)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(126,607)</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8"/>
              </w:rPr>
              <w:t>$ (156,263,288)</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11,961,858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2012</w:t>
            </w: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Preferred Stock</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Outstanding</w:t>
            </w: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Paid in</w:t>
            </w: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Compr.</w:t>
            </w:r>
          </w:p>
        </w:tc>
        <w:tc>
          <w:tcPr>
            <w:tcW w:w="126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Amount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Shares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8,289,507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$ 170,957,891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147,760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(2,690,511)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(126,607)</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(156,263,288)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$ 11,961,858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(8,251,358)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(8,251,358)</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offering</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15,001</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0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18,217,702</w:t>
            </w: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60" w:type="dxa"/>
            <w:vAlign w:val="bottom"/>
            <w:tcBorders>
              <w:right w:val="single" w:sz="8" w:color="CCEEFF"/>
            </w:tcBorders>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18,217,852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Non-cash</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 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beneficial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conversion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feature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associated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with the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preferred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stock offering</w:t>
            </w: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(4,601,410)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(4,601,410)</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(15,001)</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2,682,759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26,828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(26,678)</w:t>
            </w: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60" w:type="dxa"/>
            <w:vAlign w:val="bottom"/>
            <w:tcBorders>
              <w:right w:val="single" w:sz="8" w:color="CCEEFF"/>
            </w:tcBorders>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Registered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Direct and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ATM</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offerings</w:t>
            </w: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2,588,032</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25,880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15,598,670</w:t>
            </w: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15,624,550</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Classification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of warrants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to/from</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warrant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liability, net</w:t>
            </w:r>
          </w:p>
        </w:tc>
        <w:tc>
          <w:tcPr>
            <w:tcW w:w="8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(3,809,730)</w:t>
            </w: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60" w:type="dxa"/>
            <w:vAlign w:val="bottom"/>
            <w:tcBorders>
              <w:right w:val="single" w:sz="8" w:color="CCEEFF"/>
            </w:tcBorders>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(3,809,730)</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common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6"/>
              </w:rPr>
              <w:t>stock warrants</w:t>
            </w: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18,021</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261,764</w:t>
            </w: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of</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 warrants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in connection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with notes</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8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521,763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Unrealized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gain 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available for</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sale</w:t>
            </w: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82,441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82,441</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8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1,235,437</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stock and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option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exercise</w:t>
            </w: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12,872</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183,918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out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8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14,765</w:t>
            </w: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269,147</w:t>
            </w: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(171,101)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98,046</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Fractional</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7"/>
                <w:szCs w:val="1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(1,595)</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w w:val="94"/>
              </w:rPr>
              <w:t>share payment</w:t>
            </w: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December 31,</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13,604,975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2"/>
              </w:rPr>
              <w:t>137,380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203,139,142</w:t>
            </w: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132,995</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(2,421,364)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(44,166)</w:t>
            </w:r>
          </w:p>
        </w:tc>
        <w:tc>
          <w:tcPr>
            <w:tcW w:w="12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8"/>
              </w:rPr>
              <w:t>$ (169,287,157)</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31,523,835</w:t>
            </w:r>
          </w:p>
        </w:tc>
        <w:tc>
          <w:tcPr>
            <w:tcW w:w="0" w:type="dxa"/>
            <w:vAlign w:val="bottom"/>
          </w:tcPr>
          <w:p>
            <w:pPr>
              <w:spacing w:after="0"/>
              <w:rPr>
                <w:sz w:val="1"/>
                <w:szCs w:val="1"/>
                <w:color w:val="auto"/>
              </w:rPr>
            </w:pPr>
          </w:p>
        </w:tc>
      </w:tr>
      <w:tr>
        <w:trPr>
          <w:trHeight w:val="214"/>
        </w:trPr>
        <w:tc>
          <w:tcPr>
            <w:tcW w:w="11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2013</w:t>
            </w:r>
          </w:p>
        </w:tc>
        <w:tc>
          <w:tcPr>
            <w:tcW w:w="8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ectPr>
          <w:pgSz w:w="11900" w:h="16838" w:orient="portrait"/>
          <w:cols w:equalWidth="0" w:num="1">
            <w:col w:w="11420"/>
          </w:cols>
          <w:pgMar w:left="240" w:top="580"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Paid in</w:t>
            </w: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13,604,975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$ 203,139,142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132,995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(2,421,364)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(44,166)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(169,287,157)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31,523,835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(25,494,273)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(25,494,273)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common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3,603,604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13,752,775</w:t>
            </w:r>
          </w:p>
        </w:tc>
        <w:tc>
          <w:tcPr>
            <w:tcW w:w="11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13,788,811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Common stock issued in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connection with the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acquisition of EGEN, Inc.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assets</w:t>
            </w:r>
          </w:p>
        </w:tc>
        <w:tc>
          <w:tcPr>
            <w:tcW w:w="920" w:type="dxa"/>
            <w:vAlign w:val="bottom"/>
          </w:tcPr>
          <w:p>
            <w:pPr>
              <w:jc w:val="right"/>
              <w:spacing w:after="0"/>
              <w:rPr>
                <w:sz w:val="20"/>
                <w:szCs w:val="20"/>
                <w:color w:val="auto"/>
              </w:rPr>
            </w:pPr>
            <w:r>
              <w:rPr>
                <w:rFonts w:ascii="Arial" w:cs="Arial" w:eastAsia="Arial" w:hAnsi="Arial"/>
                <w:sz w:val="18"/>
                <w:szCs w:val="18"/>
                <w:color w:val="auto"/>
              </w:rPr>
              <w:t>2,712,188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27,122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10,823,855</w:t>
            </w:r>
          </w:p>
        </w:tc>
        <w:tc>
          <w:tcPr>
            <w:tcW w:w="11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10,850,977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of common stock</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issued in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November 2013 Hercules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w:t>
            </w:r>
          </w:p>
        </w:tc>
        <w:tc>
          <w:tcPr>
            <w:tcW w:w="9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(521,763)</w:t>
            </w:r>
          </w:p>
        </w:tc>
        <w:tc>
          <w:tcPr>
            <w:tcW w:w="11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(521,763)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Unrealized gain 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investments available for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sale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28,134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2,513,042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9"/>
              </w:rPr>
              <w:t>Issuance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43,841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71,652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(19,595)</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356,755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(292,272)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64,483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 of treasury</w:t>
            </w: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0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19,984,203</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200,976</w:t>
            </w:r>
          </w:p>
        </w:tc>
        <w:tc>
          <w:tcPr>
            <w:tcW w:w="102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229,778,703</w:t>
            </w:r>
          </w:p>
        </w:tc>
        <w:tc>
          <w:tcPr>
            <w:tcW w:w="2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113,400</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7"/>
              </w:rPr>
              <w:t>$ (2,064,609)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(16,032)</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8"/>
              </w:rPr>
              <w:t>$ (195,073,702)</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32,825,336</w:t>
            </w:r>
          </w:p>
        </w:tc>
        <w:tc>
          <w:tcPr>
            <w:tcW w:w="0" w:type="dxa"/>
            <w:vAlign w:val="bottom"/>
          </w:tcPr>
          <w:p>
            <w:pPr>
              <w:spacing w:after="0"/>
              <w:rPr>
                <w:sz w:val="1"/>
                <w:szCs w:val="1"/>
                <w:color w:val="auto"/>
              </w:rPr>
            </w:pPr>
          </w:p>
        </w:tc>
      </w:tr>
      <w:tr>
        <w:trPr>
          <w:trHeight w:val="194"/>
        </w:trPr>
        <w:tc>
          <w:tcPr>
            <w:tcW w:w="2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2014</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of Celsion have been prepared in accordance with generally accepted accounting principles (“GAAP”) in the United States and include the accounts of the Company and CLSN Laboratories, Inc. All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 See Note 18 for a summary of subsequent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period financial statements have been reclassified to conform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each collaborative agreement that includes milestone payments, the Company evaluates whether each milestone is substantive on the basis of the contingent nature of the milestone, specifically reviewing factors such as the scientific and other risks that must be overcome to achieve the milestone, as well as the level of effort and investment required. Milestones that are not considered substantive and that do not meet the separation criteria are accounted for as license payments and recognized on a straight-line basis over the remaining period of performance. Payments received or reasonably assured after performance obligations are met completely are recognized as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financial instruments approximate their respective fair values.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classifies its investments in marketable securities with readily determinable fair values as investments available-for-sale in accordance with Accounting Standards Codification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Available-for-sale securities consist of debt and equity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 term investments consist of corporate bonds and government agency bonds.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is stated at cost less accumulated depreciation. Depreciation is provided over the estimated useful lives of the related assets, ranging from three to seven years, using the straight-line method. Major renewals and improvements are capitalized at cost and ordinary repairs and maintenance are charged against operating expenses as incurred. Depreciation expense was approximately $369,000, $339,000 and $281,500 for years ended December 31, 2014, 2013 and 2012,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In-Process 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purchased several licenses for rights to patented technologies. Patent license costs of $63,125 have been capitalized and are amortized on a straight-line basis over the estimated life of the related patent. As of December 31, 2014, the total accumulated amortization expense is $41,500. The weighted-average amortization period for these assets is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establishes standards for the reporting and display of comprehensive income and its components in the Company’s consolidated financial statements. The objective of ASC 220 is to report a measure (comprehensive income (loss)) of all changes in equity of an enterprise that result from transactions and other economic events in a period other than transactions with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and diluted net income/(loss) per common share was computed by dividing net income/(loss)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2014, 2013 and 2012, outstanding equity awards of 1,751,773, 863,462 and 729,825 shares, respectively, and warrants outstanding to purchase 5,069,815, 3,170,520 and 1,747,478 shares, respectively, were considered anti-dilutive and therefore were not included in the calculation of diluted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 The Company remains subject to examination for income tax returns for the years ending after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costs for all stock-based awards is measured at fair value on the date of the grant and recognized over the service period for awards expected to vest. Such value is recognized as expense over the service period. The estimation of stock-based awards that will ultimately vest requires judgment, and to the extent actual results or updated estimates differ from the current estimates, such amounts will be recorded as cumulative adjustment in the period estimates are revised. We consider many factors when estimating expected forfeitures, including types of awards, employee class, and historical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This guidance is intended to improve and converge with international standards the financial reporting requirements for revenue from contracts with customers. It will be effective for our first quarter of 2017 and early adoption is not permitted.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The Company believes these expenditures are essential for the commercialization of its technologies. As a result of these expenditures, as well as general and administrative expenses, the Company has an accumulated deficit of $195 million as of December 31, 2014.</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The Company expects that its operating results will fluctuate significantly in the future and will depend on a number of factors, many of which are outside the Company’s control.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jc w:val="both"/>
        <w:ind w:right="40"/>
        <w:spacing w:after="0" w:line="279" w:lineRule="auto"/>
        <w:rPr>
          <w:sz w:val="20"/>
          <w:szCs w:val="20"/>
          <w:color w:val="auto"/>
        </w:rPr>
      </w:pPr>
      <w:r>
        <w:rPr>
          <w:rFonts w:ascii="Arial" w:cs="Arial" w:eastAsia="Arial" w:hAnsi="Arial"/>
          <w:sz w:val="17"/>
          <w:szCs w:val="17"/>
          <w:color w:val="auto"/>
        </w:rPr>
        <w:t>The Company will need substantial additional funding in order to complete the development, testing and commercialization of its oncology product candidates and we have made a significant commitment to heat-activated liposome research and development projects and it is our intention at least to maintain, and possibly increase, the pace and scope of these activities. The commitment to these new projects will require additional external funding, at least until the Company is able to generate sufficient cash flow from sale of one or more of its products to support its continued operations.</w:t>
      </w:r>
    </w:p>
    <w:p>
      <w:pPr>
        <w:spacing w:after="0" w:line="17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If adequate funding is not available, the Company may be required to delay, scale back or terminate certain aspects of its operations or attempt to obtain funds through unfavorable arrangements with partners or others that may force it to relinquish rights to certain of its technologies, products or potential markets or that could impose onerous financial or other terms. Furthermore, if the Company cannot fund its ongoing development and other operating requirements, particularly those associated with its obligations to conduct clinical trials under its licensing agreements, it will be in breach of these licensing agreements and could therefore lose its license rights, which could have material adverse effects on its business. Management is continuing its efforts to obtain additional funds so that the Company can meet its obligations and sustain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Short term investments available for sale of $24,173,406 and $37,156,381 as of December 31, 2014 and 2013,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Income.</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December 31, 2013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4,996,568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3,840,000</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3,835,083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Bonds- corporate issuances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19,189,438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19,176,838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33,360,576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33,321,298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24,189,438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24,173,406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37,200,576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37,156,381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4"/>
                <w:szCs w:val="24"/>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December 31, 2013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Within 3 months</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16,881,490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16,872,158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7,799,032</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7,797,689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7,307,948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7,301,248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29,401,544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29,358,692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24,189,438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24,173,406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37,200,576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37,156,381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F-13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76" w:name="page77"/>
    <w:bookmarkEnd w:id="76"/>
    <w:p>
      <w:pPr>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748,947</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4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(913,261)</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(669,344)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Losses on investment maturity and sales, net</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77,194</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(12,744)</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2009, the Company recorded an equity investment of approximately $108,000 for stock received as settlement of a transition agreement the Company previously entered into. The $108,000 asset value reflected the estimated net realizable value of 903,112 shares of Medifocus Inc. at the time of settlement. As of December 31, 2011, this entire amount had been reduced to $0 and was charged as an unrealized loss in other comprehensive loss. During the fourth quarter of 2012, the Company sold this stock for approximately $138,000, thereby recording a realized gain of approximately $30,000 in investment income and reversing the cumulative unrealized loss of $108,000 in other comprehensive loss.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December 31, 2014 and 2013. The Company has reviewed individual securities to determine whether a decline in fair value below the amortizable cost basis is other than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 2014</w:t>
            </w:r>
          </w:p>
        </w:tc>
        <w:tc>
          <w:tcPr>
            <w:tcW w:w="220" w:type="dxa"/>
            <w:vAlign w:val="bottom"/>
          </w:tcPr>
          <w:p>
            <w:pPr>
              <w:spacing w:after="0"/>
              <w:rPr>
                <w:sz w:val="20"/>
                <w:szCs w:val="20"/>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Holding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Gains</w:t>
            </w: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Available for Sale (all unrealized holding gains and losses are less than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 months at date of measurement)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Short-term investments with unrealized gains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6,650,095</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 with unrealized losses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30,506,286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24,173,406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37,156,381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tier level hierarchy for fair value measurements which requires an entity to maximize the use of observable inputs and minimize the use of unobservable inputs when measuring fair value. The standard describes three levels of inputs that may be used to measure fair value:</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312" w:lineRule="auto"/>
        <w:rPr>
          <w:sz w:val="20"/>
          <w:szCs w:val="20"/>
          <w:color w:val="auto"/>
        </w:rPr>
      </w:pPr>
      <w:r>
        <w:rPr>
          <w:rFonts w:ascii="Arial" w:cs="Arial" w:eastAsia="Arial" w:hAnsi="Arial"/>
          <w:sz w:val="16"/>
          <w:szCs w:val="16"/>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2014 except for the change in the fair market value of the warrant liability and the change in the earn-out milestone liability were included in earnings.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Assets and liabilities measured at fair value are summarized below:</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Quoted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Prices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 Active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Markets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For</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Value 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Identical</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the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Assets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Sheet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(Level 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Recurring items as of December 31, 2014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24,173,406</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December 31, 2014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In-process research and development (Note 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25,801,728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Goodwill (Note 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1,976,101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Recurring items as of December 31, 2013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37,156,381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37,156,381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Recurring items as of December 31, 2014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275,008</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13,663,710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13,663,710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EGEN, INC.</w:t>
      </w:r>
    </w:p>
    <w:p>
      <w:pPr>
        <w:spacing w:after="0" w:line="229"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1120" w:hanging="32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ovarian cancer patients ($12.0 million);</w:t>
      </w:r>
    </w:p>
    <w:p>
      <w:pPr>
        <w:spacing w:after="0" w:line="225" w:lineRule="exact"/>
        <w:rPr>
          <w:rFonts w:ascii="Arial" w:cs="Arial" w:eastAsia="Arial" w:hAnsi="Arial"/>
          <w:sz w:val="18"/>
          <w:szCs w:val="18"/>
          <w:color w:val="auto"/>
        </w:rPr>
      </w:pPr>
    </w:p>
    <w:p>
      <w:pPr>
        <w:ind w:left="1120" w:hanging="32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specified development milestones relating to GEN-1 to treat GBM cancer patients ($12.0 million); and</w:t>
      </w:r>
    </w:p>
    <w:p>
      <w:pPr>
        <w:spacing w:after="0" w:line="225" w:lineRule="exact"/>
        <w:rPr>
          <w:rFonts w:ascii="Arial" w:cs="Arial" w:eastAsia="Arial" w:hAnsi="Arial"/>
          <w:sz w:val="18"/>
          <w:szCs w:val="18"/>
          <w:color w:val="auto"/>
        </w:rPr>
      </w:pPr>
    </w:p>
    <w:p>
      <w:pPr>
        <w:ind w:left="1120" w:hanging="32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self-liquidating payment of 50% of all fees received from the licensing of TherSilence (up to $6.0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10).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CEEFF"/>
          </w:tcPr>
          <w:p>
            <w:pPr>
              <w:jc w:val="center"/>
              <w:ind w:right="6690"/>
              <w:spacing w:after="0"/>
              <w:rPr>
                <w:sz w:val="20"/>
                <w:szCs w:val="20"/>
                <w:color w:val="auto"/>
              </w:rPr>
            </w:pPr>
            <w:r>
              <w:rPr>
                <w:rFonts w:ascii="Arial" w:cs="Arial" w:eastAsia="Arial" w:hAnsi="Arial"/>
                <w:sz w:val="18"/>
                <w:szCs w:val="18"/>
                <w:b w:val="1"/>
                <w:bCs w:val="1"/>
                <w:color w:val="auto"/>
                <w:w w:val="90"/>
              </w:rPr>
              <w:t>Consideration Paid at Closing</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jc w:val="center"/>
              <w:ind w:right="6710"/>
              <w:spacing w:after="0"/>
              <w:rPr>
                <w:sz w:val="20"/>
                <w:szCs w:val="20"/>
                <w:color w:val="auto"/>
              </w:rPr>
            </w:pPr>
            <w:r>
              <w:rPr>
                <w:rFonts w:ascii="Arial" w:cs="Arial" w:eastAsia="Arial" w:hAnsi="Arial"/>
                <w:sz w:val="18"/>
                <w:szCs w:val="18"/>
                <w:color w:val="auto"/>
                <w:w w:val="88"/>
              </w:rPr>
              <w:t>Cash, net of cash acquired</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r>
      <w:tr>
        <w:trPr>
          <w:trHeight w:val="202"/>
        </w:trPr>
        <w:tc>
          <w:tcPr>
            <w:tcW w:w="91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1"/>
              </w:rPr>
              <w:t>Celsion common stock (2,712,188 shares valued at $3.48 which was the last closing price of our common stock at the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time of closing the transaction on June 20, 2014)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r>
      <w:tr>
        <w:trPr>
          <w:trHeight w:val="216"/>
        </w:trPr>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Future Consideration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100" w:type="dxa"/>
            <w:vAlign w:val="bottom"/>
          </w:tcPr>
          <w:p>
            <w:pPr>
              <w:ind w:left="600"/>
              <w:spacing w:after="0" w:line="201" w:lineRule="exact"/>
              <w:rPr>
                <w:sz w:val="20"/>
                <w:szCs w:val="20"/>
                <w:color w:val="auto"/>
              </w:rPr>
            </w:pPr>
            <w:r>
              <w:rPr>
                <w:rFonts w:ascii="Arial" w:cs="Arial" w:eastAsia="Arial" w:hAnsi="Arial"/>
                <w:sz w:val="18"/>
                <w:szCs w:val="18"/>
                <w:color w:val="auto"/>
                <w:w w:val="91"/>
              </w:rPr>
              <w:t>Holdback Shares (670,070 shares of Celsion common stock which were discounted by 38% to reflect the cost of the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00" w:type="dxa"/>
            <w:vAlign w:val="bottom"/>
          </w:tcPr>
          <w:p>
            <w:pPr>
              <w:ind w:left="840"/>
              <w:spacing w:after="0"/>
              <w:rPr>
                <w:sz w:val="20"/>
                <w:szCs w:val="20"/>
                <w:color w:val="auto"/>
              </w:rPr>
            </w:pPr>
            <w:r>
              <w:rPr>
                <w:rFonts w:ascii="Arial" w:cs="Arial" w:eastAsia="Arial" w:hAnsi="Arial"/>
                <w:sz w:val="18"/>
                <w:szCs w:val="18"/>
                <w:color w:val="auto"/>
              </w:rPr>
              <w:t>restriction)</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r>
      <w:tr>
        <w:trPr>
          <w:trHeight w:val="216"/>
        </w:trPr>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Earn-Out Payments (at fair value*)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13,878,000</w:t>
            </w:r>
          </w:p>
        </w:tc>
      </w:tr>
      <w:tr>
        <w:trPr>
          <w:trHeight w:val="216"/>
        </w:trPr>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9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fair value of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1100" w:right="1000" w:hanging="268"/>
        <w:spacing w:after="0" w:line="272" w:lineRule="auto"/>
        <w:tabs>
          <w:tab w:leader="none" w:pos="11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December 31, 2014, the Company fair valued these milestones at $13.7 million and recognized a gain of $231,949 as a result of the change in the fair value of these milestones from June 30, 2014.</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purchase price exceeds the estimated fair value of the net assets acquired by approximately $2.0 million which was recorded as goodwill. Transaction costs associated with the acquisition of assets from EGEN are included in Acquisition Costs in the Condensed Consolidated Statement of Operations and totaled $1,385,263 from the date of acquisition on June 20, 2014 through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Acquired IPR&amp;D consists of EGEN's drug technology platforms: TheraPlas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TheraSilence</w:t>
      </w:r>
      <w:r>
        <w:rPr>
          <w:rFonts w:ascii="Arial" w:cs="Arial" w:eastAsia="Arial" w:hAnsi="Arial"/>
          <w:sz w:val="30"/>
          <w:szCs w:val="30"/>
          <w:color w:val="auto"/>
          <w:vertAlign w:val="superscript"/>
        </w:rPr>
        <w:t>™</w:t>
      </w:r>
      <w:r>
        <w:rPr>
          <w:rFonts w:ascii="Arial" w:cs="Arial" w:eastAsia="Arial" w:hAnsi="Arial"/>
          <w:sz w:val="18"/>
          <w:szCs w:val="18"/>
          <w:color w:val="auto"/>
        </w:rPr>
        <w:t>.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by each year end or more frequently if events are indicative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627,628</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(24,898,725)</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(18,247,339)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(25,662,572)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(15,952,832)</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The operations of EGEN are included with our operations from the period of closing of the acquisition on June 20, 2014 to the end of 2014. The Company’s Statement of Operations included $2,297,000 of operating expenses related to the operations of the acquired business for the period from the date of acquisition (June 20, 2014) through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153,051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269,819</w:t>
            </w:r>
          </w:p>
        </w:tc>
        <w:tc>
          <w:tcPr>
            <w:tcW w:w="0" w:type="dxa"/>
            <w:vAlign w:val="bottom"/>
          </w:tcPr>
          <w:p>
            <w:pPr>
              <w:spacing w:after="0"/>
              <w:rPr>
                <w:sz w:val="1"/>
                <w:szCs w:val="1"/>
                <w:color w:val="auto"/>
              </w:rPr>
            </w:pPr>
          </w:p>
        </w:tc>
      </w:tr>
      <w:tr>
        <w:trPr>
          <w:trHeight w:val="20"/>
        </w:trPr>
        <w:tc>
          <w:tcPr>
            <w:tcW w:w="7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2,804,014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2,097,076</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(1,633,517)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(1,264,190)</w:t>
            </w:r>
          </w:p>
        </w:tc>
        <w:tc>
          <w:tcPr>
            <w:tcW w:w="0" w:type="dxa"/>
            <w:vAlign w:val="bottom"/>
          </w:tcPr>
          <w:p>
            <w:pPr>
              <w:spacing w:after="0"/>
              <w:rPr>
                <w:sz w:val="1"/>
                <w:szCs w:val="1"/>
                <w:color w:val="auto"/>
              </w:rPr>
            </w:pPr>
          </w:p>
        </w:tc>
      </w:tr>
      <w:tr>
        <w:trPr>
          <w:trHeight w:val="20"/>
        </w:trPr>
        <w:tc>
          <w:tcPr>
            <w:tcW w:w="7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1,170,497</w:t>
            </w: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832,886</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7. OTHER ACCRUED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tcPr>
          <w:p>
            <w:pPr>
              <w:spacing w:after="0"/>
              <w:rPr>
                <w:sz w:val="20"/>
                <w:szCs w:val="20"/>
                <w:color w:val="auto"/>
              </w:rPr>
            </w:pPr>
            <w:r>
              <w:rPr>
                <w:rFonts w:ascii="Arial" w:cs="Arial" w:eastAsia="Arial" w:hAnsi="Arial"/>
                <w:sz w:val="18"/>
                <w:szCs w:val="18"/>
                <w:color w:val="auto"/>
              </w:rPr>
              <w:t>Other accrued liabilities at December 31, 2014 and 2013 include the following:</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900,434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63,500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2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96,875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0"/>
        </w:trPr>
        <w:tc>
          <w:tcPr>
            <w:tcW w:w="7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2,456,365</w:t>
            </w: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2,707,653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both"/>
        <w:ind w:right="20"/>
        <w:spacing w:after="0" w:line="286" w:lineRule="auto"/>
        <w:rPr>
          <w:sz w:val="20"/>
          <w:szCs w:val="20"/>
          <w:color w:val="auto"/>
        </w:rPr>
      </w:pPr>
      <w:r>
        <w:rPr>
          <w:rFonts w:ascii="Arial" w:cs="Arial" w:eastAsia="Arial" w:hAnsi="Arial"/>
          <w:sz w:val="16"/>
          <w:szCs w:val="16"/>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The warrant liability will be fair valued at the end of each quarter and the resulting change in fair value will be recognized in net income.</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2014, the Company incurred $892,188 in interest expense and amortized $433,839 as interest expense for deferred fees, debt discount and end of term charges in connection with the Hercules Credit Agreement.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w w:val="96"/>
              </w:rPr>
              <w:t>Following is a schedule of future principle payments before debt discount due on the Hercules Credit Agreement: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2018 and thereafter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82" w:name="page83"/>
    <w:bookmarkEnd w:id="82"/>
    <w:p>
      <w:pPr>
        <w:jc w:val="both"/>
        <w:ind w:right="180"/>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ind w:right="440"/>
        <w:spacing w:after="0" w:line="287" w:lineRule="auto"/>
        <w:rPr>
          <w:sz w:val="20"/>
          <w:szCs w:val="20"/>
          <w:color w:val="auto"/>
        </w:rPr>
      </w:pPr>
      <w:r>
        <w:rPr>
          <w:rFonts w:ascii="Arial" w:cs="Arial" w:eastAsia="Arial" w:hAnsi="Arial"/>
          <w:sz w:val="16"/>
          <w:szCs w:val="16"/>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 The Company valued the Oxford &amp; Horizon Warrants using the Black-Scholes option pricing model and recorded $73,654 as deferred financing fees. In calculating the value of the warrants, the Company assumed a volatility rate of 74.3%, risk free interest rate of 1.10%, an expected life of 3.5 years, a stock price of $12.60 which was the closing price on date of issuing the Oxford &amp; Horizon Warrant) and no expected forfeitures nor dividends. In connection with the Oxford &amp; Horizon Credit Agreement, the Company incurred cash expenses of $217,715 which were recorded as deferred financing fees in 2012. These deferred financing fees were amortized as interest expense over the life of the loan. During the first three months of 2013, the Company paid $146,874 in interest expense and amortized $31,560 of deferred financing fees as interest expense. The Term A Loan bore interest at a fixed rate of 11.75%.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November 2011, the Company financed $144,448 of lab equipment through a capital lease. This lease obligation had thirty monthly payments of $5,651 through February 2014. During 2014, the Company made principal and interest payments totaling $11,303 to satisfy the remaining obligation under this capital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2014, 2013 and 2012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Recapture of alternative minimum tax</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(39.5)</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 as of December 31, 2014 and 2013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3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Compensation expense related to employee stock options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6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56,733</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Valuation allowance</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(65,771)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(56,733)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180" w:type="dxa"/>
            <w:vAlign w:val="bottom"/>
            <w:gridSpan w:val="2"/>
          </w:tcPr>
          <w:p>
            <w:pPr>
              <w:jc w:val="right"/>
              <w:ind w:right="2050"/>
              <w:spacing w:after="0"/>
              <w:rPr>
                <w:sz w:val="20"/>
                <w:szCs w:val="20"/>
                <w:color w:val="auto"/>
              </w:rPr>
            </w:pPr>
            <w:r>
              <w:rPr>
                <w:rFonts w:ascii="Arial" w:cs="Arial" w:eastAsia="Arial" w:hAnsi="Arial"/>
                <w:sz w:val="18"/>
                <w:szCs w:val="18"/>
                <w:color w:val="auto"/>
              </w:rPr>
              <w:t>F-20</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83" w:name="page84"/>
    <w:bookmarkEnd w:id="83"/>
    <w:p>
      <w:pPr>
        <w:jc w:val="both"/>
        <w:spacing w:after="0" w:line="312" w:lineRule="auto"/>
        <w:rPr>
          <w:sz w:val="20"/>
          <w:szCs w:val="20"/>
          <w:color w:val="auto"/>
        </w:rPr>
      </w:pPr>
      <w:r>
        <w:rPr>
          <w:rFonts w:ascii="Arial" w:cs="Arial" w:eastAsia="Arial" w:hAnsi="Arial"/>
          <w:sz w:val="16"/>
          <w:szCs w:val="16"/>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At this time, the Company has established a valuation reserve for all of its deferred tax assets. Such tax assets are available to be recognized and benefit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net operating loss carry forwards and their year of expiration:</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Approximate Amount of Unused</w:t>
            </w:r>
          </w:p>
        </w:tc>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Operating Loss Carry Forwards</w:t>
            </w:r>
          </w:p>
        </w:tc>
        <w:tc>
          <w:tcPr>
            <w:tcW w:w="460" w:type="dxa"/>
            <w:vAlign w:val="bottom"/>
          </w:tcPr>
          <w:p>
            <w:pPr>
              <w:spacing w:after="0"/>
              <w:rPr>
                <w:sz w:val="18"/>
                <w:szCs w:val="18"/>
                <w:color w:val="auto"/>
              </w:rPr>
            </w:pP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Expiration During</w:t>
            </w:r>
          </w:p>
        </w:tc>
        <w:tc>
          <w:tcPr>
            <w:tcW w:w="2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$000s)</w:t>
            </w:r>
          </w:p>
        </w:tc>
        <w:tc>
          <w:tcPr>
            <w:tcW w:w="460" w:type="dxa"/>
            <w:vAlign w:val="bottom"/>
          </w:tcPr>
          <w:p>
            <w:pPr>
              <w:spacing w:after="0"/>
              <w:rPr>
                <w:sz w:val="20"/>
                <w:szCs w:val="20"/>
                <w:color w:val="auto"/>
              </w:rPr>
            </w:pP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0"/>
                <w:szCs w:val="20"/>
                <w:color w:val="auto"/>
              </w:rPr>
            </w:pPr>
          </w:p>
        </w:tc>
      </w:tr>
      <w:tr>
        <w:trPr>
          <w:trHeight w:val="210"/>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460" w:type="dxa"/>
            <w:vAlign w:val="bottom"/>
            <w:shd w:val="clear" w:color="auto" w:fill="CCEEFF"/>
          </w:tcPr>
          <w:p>
            <w:pPr>
              <w:spacing w:after="0"/>
              <w:rPr>
                <w:sz w:val="18"/>
                <w:szCs w:val="18"/>
                <w:color w:val="auto"/>
              </w:rPr>
            </w:pP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2,292</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8,174</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10,716</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18,045</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2030</w:t>
            </w:r>
          </w:p>
        </w:tc>
        <w:tc>
          <w:tcPr>
            <w:tcW w:w="24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20,558</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24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21,896</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8"/>
                <w:szCs w:val="18"/>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155,711</w:t>
            </w:r>
          </w:p>
        </w:tc>
        <w:tc>
          <w:tcPr>
            <w:tcW w:w="4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2014, 2013 and 2012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are limited. As of December 31, 2013, the Company has net operating loss carry forwards for U.S. federal and state tax purposes of approximately $156 million, before excluding net operating losses that have been limited as a result of Section 382 limitations. The annual limitation due to Section 382 for net operating loss carry forward utilization is approximately $4.9 million per year for approximately $90 million in net operating loss carry forwards existing at the ownership change occurring on July 25, 2011, approximately $1.4 million per year for approximately $34 million of additional net operating losses occurring from July 2011 to the ownership change that occurred on February 5, 2013 and approximately $1.5 million per year for approximately $34 million of additional net operating losses occurring from February 5, 2013 to the ownership change that occurred on June 3, 2013. The utilization of these net operating loss carry forwards may be further limited if the Company experiences future ownership changes as defined in Section 382 of the Internal Revenue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2012, the Company filed with the Securities and Exchange Commission a $75 million shelf registration statement on Form S-3 that allowed the Company to issue any combination of common stock, preferred stock or warrants to purchase common stock or preferred stock. This shelf registration was declared effective on September 14, 2012.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2013, we received approximately $0.4 million of gross proceeds from the exercise of warrants and stock options to purchase approximately 30,893 shares of the Company’s common stock. During 2012, we received approximately $10.8 million of gross proceeds from the exercise of warrants and stock options to purchase approximately 904,144 shares of the Company’s common stock. We did not have any warrant nor option exercises in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auto"/>
        </w:rPr>
        <w:t>January 2014 Common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Each warrant has an exercise price of $4.10 per share. Under the purchase agreement, the Company was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acquisition of EGEN, Inc.</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more fully discussed in Note 5, the Company issued 2,712,188 shares of its common stock to the shareholders of EGEN, Inc. to acquire certain assets of EGEN. The shares of Celsion’s common stock were issued in a private transaction exempt from registration under the Securities Act of 1933, as amended (the Securities Act), pursuant to Section 4(2) thereof. In addition, 670,070 shares of Celsion common stock are issuable to EGEN shareholders on or after August 2, 2016 pending satisfactory resolution of any post-closing adjustments of expenses and EGEN’s indemnification obligations under the EGEN Purchase Agreement (Holdback Shares). The common stock issued and issuable to EGEN pursuant to the Asset Purchase Agreement were filed pursuant to Rule 415 under the Securities Act of 1933 on the Prospectus for Registration Statement No. 333-198786 and was declared effective on September 30,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February 2013 Preferred Stock Offering discussed below, the Company agreed to not sell any ATM Shares for a period of one year from February 26, 2013. In connection with the Common Stock Offering below, the Company agreed to not sell any ATM Shares until June 3, 2014. In connection with the January 2014 securities offering discussed in Note 15 below, the Company agreed to not sell any ATM Shares until July 22, 2014. The Company currently has approximately $18 million remaining under the ATM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one-time, non-cash deemed dividend related to the beneficial conversion feature connected to the preferred stock in the Preferred Stock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Assumptions used in the valuation of the warrants issued in the February 2013 Preferred Stock Offering were as follows: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6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2013, all 2,682,764 shares of common stock in the aggregate were issued upon conversion of all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2013 Common Stock Offering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 (the “Common Stock Offering”). The closing of the Common Stock Offering occurred on June 3, 2013.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closing of the Common Stock Offering, there were an insufficient number of authorized shares to complete the transaction. The investors in the Common Stock Offering also held warrants to purchase common stock of the Company which were issued in connection with previous offerings. Concurrent with the closing of the Common Stock Offering, the institutional investors agreed to waive their rights to exercise these warrants to purchase 1,398,816 shares of common stock of the Company (the “Waived Warrants”) until the Company has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announced that it affected a 1-for-4.5 reverse stock split of its common stock. See Reverse Stock Split below for further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spacing w:after="0" w:line="271" w:lineRule="auto"/>
        <w:rPr>
          <w:sz w:val="20"/>
          <w:szCs w:val="20"/>
          <w:color w:val="auto"/>
        </w:rPr>
      </w:pPr>
      <w:r>
        <w:rPr>
          <w:rFonts w:ascii="Arial" w:cs="Arial" w:eastAsia="Arial" w:hAnsi="Arial"/>
          <w:sz w:val="17"/>
          <w:szCs w:val="17"/>
          <w:color w:val="auto"/>
        </w:rPr>
        <w:t xml:space="preserve">Prior to the closing of the Common Stock Offering, the warrants described above were originally recorded as equity at the fair value on the date of issuance. In accordance with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the Waived Warrants were required to be liability classified immediately after the closing of the Common Stock Offering on June 3, 2013 because there were an insufficient number of common shares authorized to permit the full exercise of the warrants. Therefore on June 3, 2013, the Company reclassified the fair value of the Waived Warrants totaling approximately $9.1 million from equity to a liability. The Waived Warrants were required to be recorded at fair value at each balance sheet date with changes in fair value recorded in earnings until such time as there were a sufficient number of common shares authorized to permit the full exercise of the warrants (see Note 11). In connection with the Reverse Stock Split as more fully described below, these warrants were valued as of October 28, 2013, and the Company reclassified the fair value of the Waived Warrants totaling approximately $5.3 million from a liability to 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list of the Waived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 of common stock</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r>
      <w:tr>
        <w:trPr>
          <w:trHeight w:val="216"/>
        </w:trPr>
        <w:tc>
          <w:tcPr>
            <w:tcW w:w="2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associated with the</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Expiration Date of</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Strike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 on</w:t>
            </w:r>
          </w:p>
        </w:tc>
      </w:tr>
      <w:tr>
        <w:trPr>
          <w:trHeight w:val="234"/>
        </w:trPr>
        <w:tc>
          <w:tcPr>
            <w:tcW w:w="2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Waived Warrants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Waived Warrants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on June 3, 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October 28, 2013</w:t>
            </w:r>
          </w:p>
        </w:tc>
      </w:tr>
      <w:tr>
        <w:trPr>
          <w:trHeight w:val="210"/>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1,323,496</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2/26/2018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31,243</w:t>
            </w:r>
          </w:p>
        </w:tc>
        <w:tc>
          <w:tcPr>
            <w:tcW w:w="2280" w:type="dxa"/>
            <w:vAlign w:val="bottom"/>
          </w:tcPr>
          <w:p>
            <w:pPr>
              <w:jc w:val="right"/>
              <w:spacing w:after="0"/>
              <w:rPr>
                <w:sz w:val="20"/>
                <w:szCs w:val="20"/>
                <w:color w:val="auto"/>
              </w:rPr>
            </w:pPr>
            <w:r>
              <w:rPr>
                <w:rFonts w:ascii="Arial" w:cs="Arial" w:eastAsia="Arial" w:hAnsi="Arial"/>
                <w:sz w:val="18"/>
                <w:szCs w:val="18"/>
                <w:color w:val="auto"/>
              </w:rPr>
              <w:t>7/25/2016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30"/>
        </w:trPr>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31,448</w:t>
            </w:r>
          </w:p>
        </w:tc>
        <w:tc>
          <w:tcPr>
            <w:tcW w:w="2280" w:type="dxa"/>
            <w:vAlign w:val="bottom"/>
          </w:tcPr>
          <w:p>
            <w:pPr>
              <w:jc w:val="right"/>
              <w:spacing w:after="0"/>
              <w:rPr>
                <w:sz w:val="20"/>
                <w:szCs w:val="20"/>
                <w:color w:val="auto"/>
              </w:rPr>
            </w:pPr>
            <w:r>
              <w:rPr>
                <w:rFonts w:ascii="Arial" w:cs="Arial" w:eastAsia="Arial" w:hAnsi="Arial"/>
                <w:sz w:val="18"/>
                <w:szCs w:val="18"/>
                <w:color w:val="auto"/>
              </w:rPr>
              <w:t>11/25/2017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the Waived Warrants associated with the June 3, 2013 Common Stock Offering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June 3, 2013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102.9</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110.9 %</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7"/>
              </w:rPr>
              <w:t>111.8 %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5"/>
              </w:rPr>
              <w:t>0.0</w:t>
            </w:r>
          </w:p>
        </w:tc>
        <w:tc>
          <w:tcPr>
            <w:tcW w:w="48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28, 2013, the Company affected a 1-for-4.5 reverse stock split of its common stock which was made effective for trading purposes as of the commencement of trading on October 29, 2013. As of that date, each 9 shares of issued and outstanding common stock and equivalents were consolidated into 2 shares of common stock. In addition, at the market open on October 29, 2013, the Company’s common stock started trading under a new CUSIP number 15117N404 although the Company’s ticker symbol, CLSN, remained unchanged.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2013 Annual Meeting held on July 19, 2013,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w:t>
      </w:r>
    </w:p>
    <w:p>
      <w:pPr>
        <w:spacing w:after="0" w:line="248" w:lineRule="exact"/>
        <w:rPr>
          <w:rFonts w:ascii="Arial" w:cs="Arial" w:eastAsia="Arial" w:hAnsi="Arial"/>
          <w:sz w:val="16"/>
          <w:szCs w:val="16"/>
          <w:color w:val="auto"/>
        </w:rPr>
      </w:pPr>
    </w:p>
    <w:p>
      <w:pPr>
        <w:ind w:left="880" w:hanging="426"/>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 and</w:t>
      </w:r>
    </w:p>
    <w:p>
      <w:pPr>
        <w:spacing w:after="0" w:line="170" w:lineRule="exact"/>
        <w:rPr>
          <w:rFonts w:ascii="Arial" w:cs="Arial" w:eastAsia="Arial" w:hAnsi="Arial"/>
          <w:sz w:val="18"/>
          <w:szCs w:val="18"/>
          <w:color w:val="auto"/>
        </w:rPr>
      </w:pPr>
    </w:p>
    <w:p>
      <w:pPr>
        <w:ind w:left="880" w:hanging="426"/>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previously announced, to facilitate expanding the Company’s business or product lines through potential acquisitions.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61,226,873 shares of common stock outstanding which consolidated into 13,604,975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3.9 million to approximately 0.9 million and outstanding warrants being reduced from approximately 13.8 million to approximately 3.1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generally vest over various time frames or upon milestone accomplishments. Some vest immediately. Others vest over a period between one and five years. The options generally expire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2001 Stock Option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2001, the Board of Directors adopted a stock plan for directors, officers and employees (the “2001 Plan”) under which 148,148 shares were reserved for future issuance. The purpose of the 2001 Plan was to promote long-term growth and profitability of Celsion by providing key people with incentives to improve stockholder value and contribute to the growth and financial success of Celsion, and to enable the company to attract, retain and reward the best available persons for positions of substantial responsibility.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2004, the Board of Directors adopted a stock plan for directors, officers and employees (the “2004 Plan”) under which 148,148 shares were reserved for future issuance. The plan provides for stock instruments to be issued enabling the holder thereof to acquire Common stock of the Company at prices determined by the Company’s Board of Directors. The purpose of the 2004 Plan was to promote the long-term growth and financial success of the Company and enable the Company to attract, retain and reward the best available persons for positions of substantial responsibility. The 2004 Plan permitted the granting of awards in the form of incentive stock options, restricted stock, restricted stock units, stock appreciation rights, phantom stock, and performance awards, or in any combination of the foregoing. The 2004 Plan terminated in 2014, 10 years from the date of the Plan’s adoption by the Company’s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Any options forfeited or terminated under the 2001 Plan and 2004 Plan are rolled into the 2007 Stock Incentive Plan for future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Stock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issued stock awards to employees, directors and vendors out of the stock option plans. Options and are generally granted at market value on the date of the grant.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stock options may be granted to purchase shares of Common Stock at a price not less than 100% of the fair market value of the underlying shares on the date of grant, provided that the exercise price of any incentive option granted to an eligible employee owning more than 10% of the outstanding stock must be at least 110% of the such fair market value on the date of grant. Only officers and key employees may receive incentive stock options; all other qualified participants may receive non-qualified stock options.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jc w:val="both"/>
        <w:spacing w:after="0" w:line="308" w:lineRule="auto"/>
        <w:rPr>
          <w:sz w:val="20"/>
          <w:szCs w:val="20"/>
          <w:color w:val="auto"/>
        </w:rPr>
      </w:pPr>
      <w:r>
        <w:rPr>
          <w:rFonts w:ascii="Arial" w:cs="Arial" w:eastAsia="Arial" w:hAnsi="Arial"/>
          <w:sz w:val="17"/>
          <w:szCs w:val="17"/>
          <w:color w:val="auto"/>
        </w:rPr>
        <w:t>Option awards vest upon terms determined by the Board of Directors. Restricted stock awards, performance stock awards and stock options are subject to accelerated vesting in the event of a change of control. The Company issues new shares to satisfy its obligations from the exercise of options.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2014, 2013 and 2012, 1,040,950, 187,888 and 148,553 equity awards, respectively, were granted under the 2007 Plan. During 2014, 2013 and 2012, a total of 131,850, 41,379 and 66,019 equity awards, respectively, were canceled or expired under the plans collectively. During 2014, 2013 and 2012, 21,341, 12,873 and 56,710 shares of the Company’s common stock were issued collectively as a result of either options being exercised or restricted stock awards vesting.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2007 an option to purchase 95,555 shares of the Company's common stock was issued to the Company's Chief Executive Officer. This option vested in equal installments over four years and was separately registered with the Securities and Exchange Commission (the "SEC") and was not issued under any of the Employee Stock Incentive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Collectively, for all the stock option plans as of December 31, 2014, there were a total of 3,674,270 shares reserved, which were comprised of 1,751,773 equity awards granted and 1,922,497 equity awards available for future issuance.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compensation cost charged related to employee stock options and non-vested restricted stock awards amounted to $2.6 million, $1.2 million and $1.1 million for the years ended December 31, 2014, 2013 and 2012, respectively. No compensation cost related to share-based payments arrangements was capitalized as part of the cost of any asset at these same periods. As of December 31, 2014, there was $1.3 million of total unrecognized compensation cost related to non-vested share-based compensation arrangements. That cost is expected to be recognized over a weighted-average period of 1.6 years. The weighted average grant-date fair values of the equity awards granted during the years ended December 31, 2014, 2013 and 2012 were $3.18, $3.40 and $7.28,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Issued to Consultants for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equity awards to consultants in exchange for services provided. The fair value of options granted is measured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using the Black-Scholes option pricing model and recorded as an expense in the period in which such services are received. Generally, the terms of these plans require that the exercise price of such awards may not be less than the fair market value of the Company’s Common Stock on the date the equity awards are granted. Consultant equity awards generally vest over various time frames or upon milestone accomplishments. Some vest immediately upon issuance. The equity awards generally expire within 10 years from the date of grant. There were 5,555 and 5,387 awards issued to consultants during the years ended December 31, 2013 and 2012, respectively. No awards were granted to consultants during the year ended December 31,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 summary of stock option awards as of December 31, 2014 and changes during the three years ended December 31, 2014,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16.88</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145,611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10.08</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(47,575)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(64,316)</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29.43</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14.63</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187,777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(38,972)</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16.79</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12.29</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1,014,700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3.53</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(131,850)</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19.05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990,936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as of December 31, 2014 and changes during the three years ended December 31, 2014,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2012</w:t>
            </w:r>
          </w:p>
        </w:tc>
        <w:tc>
          <w:tcPr>
            <w:tcW w:w="3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4680" w:type="dxa"/>
            <w:vAlign w:val="bottom"/>
            <w:gridSpan w:val="3"/>
          </w:tcPr>
          <w:p>
            <w:pPr>
              <w:jc w:val="right"/>
              <w:spacing w:after="0"/>
              <w:rPr>
                <w:sz w:val="20"/>
                <w:szCs w:val="20"/>
                <w:color w:val="auto"/>
              </w:rPr>
            </w:pPr>
            <w:r>
              <w:rPr>
                <w:rFonts w:ascii="Arial" w:cs="Arial" w:eastAsia="Arial" w:hAnsi="Arial"/>
                <w:sz w:val="18"/>
                <w:szCs w:val="18"/>
                <w:color w:val="auto"/>
              </w:rPr>
              <w:t>2,942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4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(9,135)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820" w:type="dxa"/>
            <w:vAlign w:val="bottom"/>
            <w:gridSpan w:val="4"/>
          </w:tcPr>
          <w:p>
            <w:pPr>
              <w:jc w:val="right"/>
              <w:ind w:right="80"/>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4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2012</w:t>
            </w:r>
          </w:p>
        </w:tc>
        <w:tc>
          <w:tcPr>
            <w:tcW w:w="3180" w:type="dxa"/>
            <w:vAlign w:val="bottom"/>
            <w:gridSpan w:val="2"/>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4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468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4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820" w:type="dxa"/>
            <w:vAlign w:val="bottom"/>
            <w:gridSpan w:val="4"/>
          </w:tcPr>
          <w:p>
            <w:pPr>
              <w:jc w:val="right"/>
              <w:ind w:right="80"/>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4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2013</w:t>
            </w:r>
          </w:p>
        </w:tc>
        <w:tc>
          <w:tcPr>
            <w:tcW w:w="3180" w:type="dxa"/>
            <w:vAlign w:val="bottom"/>
            <w:gridSpan w:val="2"/>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4820" w:type="dxa"/>
            <w:vAlign w:val="bottom"/>
            <w:gridSpan w:val="4"/>
          </w:tcPr>
          <w:p>
            <w:pPr>
              <w:jc w:val="right"/>
              <w:ind w:right="140"/>
              <w:spacing w:after="0"/>
              <w:rPr>
                <w:sz w:val="20"/>
                <w:szCs w:val="20"/>
                <w:color w:val="auto"/>
              </w:rPr>
            </w:pPr>
            <w:r>
              <w:rPr>
                <w:rFonts w:ascii="Arial" w:cs="Arial" w:eastAsia="Arial" w:hAnsi="Arial"/>
                <w:sz w:val="18"/>
                <w:szCs w:val="18"/>
                <w:color w:val="auto"/>
              </w:rPr>
              <w:t>26,250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4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5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2014</w:t>
            </w:r>
          </w:p>
        </w:tc>
        <w:tc>
          <w:tcPr>
            <w:tcW w:w="318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1"/>
                <w:szCs w:val="21"/>
                <w:color w:val="auto"/>
              </w:rPr>
            </w:pPr>
          </w:p>
        </w:tc>
      </w:tr>
      <w:tr>
        <w:trPr>
          <w:trHeight w:val="656"/>
        </w:trPr>
        <w:tc>
          <w:tcPr>
            <w:tcW w:w="4940" w:type="dxa"/>
            <w:vAlign w:val="bottom"/>
          </w:tcPr>
          <w:p>
            <w:pPr>
              <w:spacing w:after="0"/>
              <w:rPr>
                <w:sz w:val="24"/>
                <w:szCs w:val="24"/>
                <w:color w:val="auto"/>
              </w:rPr>
            </w:pPr>
          </w:p>
        </w:tc>
        <w:tc>
          <w:tcPr>
            <w:tcW w:w="4820" w:type="dxa"/>
            <w:vAlign w:val="bottom"/>
            <w:gridSpan w:val="4"/>
          </w:tcPr>
          <w:p>
            <w:pPr>
              <w:jc w:val="right"/>
              <w:ind w:right="3880"/>
              <w:spacing w:after="0"/>
              <w:rPr>
                <w:sz w:val="20"/>
                <w:szCs w:val="20"/>
                <w:color w:val="auto"/>
              </w:rPr>
            </w:pPr>
            <w:r>
              <w:rPr>
                <w:rFonts w:ascii="Arial" w:cs="Arial" w:eastAsia="Arial" w:hAnsi="Arial"/>
                <w:sz w:val="18"/>
                <w:szCs w:val="18"/>
                <w:color w:val="auto"/>
              </w:rPr>
              <w:t>F-27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9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940" w:type="dxa"/>
            <w:vAlign w:val="bottom"/>
            <w:shd w:val="clear" w:color="auto" w:fill="808080"/>
          </w:tcPr>
          <w:p>
            <w:pPr>
              <w:spacing w:after="0"/>
              <w:rPr>
                <w:sz w:val="5"/>
                <w:szCs w:val="5"/>
                <w:color w:val="auto"/>
              </w:rPr>
            </w:pPr>
          </w:p>
        </w:tc>
        <w:tc>
          <w:tcPr>
            <w:tcW w:w="3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A summary of stock options outstanding at December 31, 2014 by price range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Options Outstanding</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7"/>
              </w:rPr>
              <w:t>Options Exercisable</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rPr>
              <w:t>Weighted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rPr>
              <w:t>Weighted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Remaining</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Remaining</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Contractual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Contractual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Range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Term</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Term</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Exercise Prices</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 years)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$ 2.00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$3.99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956,700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293,266</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$ 4.00</w:t>
            </w:r>
          </w:p>
        </w:tc>
        <w:tc>
          <w:tcPr>
            <w:tcW w:w="1880" w:type="dxa"/>
            <w:vAlign w:val="bottom"/>
          </w:tcPr>
          <w:p>
            <w:pPr>
              <w:ind w:left="80"/>
              <w:spacing w:after="0"/>
              <w:rPr>
                <w:sz w:val="20"/>
                <w:szCs w:val="20"/>
                <w:color w:val="auto"/>
              </w:rPr>
            </w:pPr>
            <w:r>
              <w:rPr>
                <w:rFonts w:ascii="Arial" w:cs="Arial" w:eastAsia="Arial" w:hAnsi="Arial"/>
                <w:sz w:val="18"/>
                <w:szCs w:val="18"/>
                <w:color w:val="auto"/>
              </w:rPr>
              <w:t>- $8.99</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185,778</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360" w:type="dxa"/>
            <w:vAlign w:val="bottom"/>
          </w:tcPr>
          <w:p>
            <w:pPr>
              <w:jc w:val="right"/>
              <w:spacing w:after="0"/>
              <w:rPr>
                <w:sz w:val="20"/>
                <w:szCs w:val="20"/>
                <w:color w:val="auto"/>
              </w:rPr>
            </w:pPr>
            <w:r>
              <w:rPr>
                <w:rFonts w:ascii="Arial" w:cs="Arial" w:eastAsia="Arial" w:hAnsi="Arial"/>
                <w:sz w:val="18"/>
                <w:szCs w:val="18"/>
                <w:color w:val="auto"/>
              </w:rPr>
              <w:t>131,044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$ 9.00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$13.49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401,461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$ 13.50 - $31.49</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165,870</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20.81</w:t>
            </w:r>
          </w:p>
        </w:tc>
        <w:tc>
          <w:tcPr>
            <w:tcW w:w="1360" w:type="dxa"/>
            <w:vAlign w:val="bottom"/>
          </w:tcPr>
          <w:p>
            <w:pPr>
              <w:jc w:val="right"/>
              <w:spacing w:after="0"/>
              <w:rPr>
                <w:sz w:val="20"/>
                <w:szCs w:val="20"/>
                <w:color w:val="auto"/>
              </w:rPr>
            </w:pPr>
            <w:r>
              <w:rPr>
                <w:rFonts w:ascii="Arial" w:cs="Arial" w:eastAsia="Arial" w:hAnsi="Arial"/>
                <w:sz w:val="18"/>
                <w:szCs w:val="18"/>
                <w:color w:val="auto"/>
              </w:rPr>
              <w:t>163,203</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Above $31.50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1,744,755</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990,936</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nonqualified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34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2.31 to</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2.75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0.85 to</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to 2.97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ind w:left="140"/>
              <w:spacing w:after="0"/>
              <w:rPr>
                <w:sz w:val="20"/>
                <w:szCs w:val="20"/>
                <w:color w:val="auto"/>
              </w:rPr>
            </w:pPr>
            <w:r>
              <w:rPr>
                <w:rFonts w:ascii="Arial" w:cs="Arial" w:eastAsia="Arial" w:hAnsi="Arial"/>
                <w:sz w:val="18"/>
                <w:szCs w:val="18"/>
                <w:color w:val="auto"/>
              </w:rPr>
              <w:t>94.3 -</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100.7 %</w:t>
            </w:r>
          </w:p>
        </w:tc>
        <w:tc>
          <w:tcPr>
            <w:tcW w:w="680" w:type="dxa"/>
            <w:vAlign w:val="bottom"/>
          </w:tcPr>
          <w:p>
            <w:pPr>
              <w:ind w:left="120"/>
              <w:spacing w:after="0"/>
              <w:rPr>
                <w:sz w:val="20"/>
                <w:szCs w:val="20"/>
                <w:color w:val="auto"/>
              </w:rPr>
            </w:pPr>
            <w:r>
              <w:rPr>
                <w:rFonts w:ascii="Arial" w:cs="Arial" w:eastAsia="Arial" w:hAnsi="Arial"/>
                <w:sz w:val="18"/>
                <w:szCs w:val="18"/>
                <w:color w:val="auto"/>
              </w:rPr>
              <w:t>83.4 -</w:t>
            </w:r>
          </w:p>
        </w:tc>
        <w:tc>
          <w:tcPr>
            <w:tcW w:w="380" w:type="dxa"/>
            <w:vAlign w:val="bottom"/>
          </w:tcPr>
          <w:p>
            <w:pPr>
              <w:spacing w:after="0"/>
              <w:rPr>
                <w:sz w:val="20"/>
                <w:szCs w:val="20"/>
                <w:color w:val="auto"/>
              </w:rPr>
            </w:pPr>
            <w:r>
              <w:rPr>
                <w:rFonts w:ascii="Arial" w:cs="Arial" w:eastAsia="Arial" w:hAnsi="Arial"/>
                <w:sz w:val="18"/>
                <w:szCs w:val="18"/>
                <w:color w:val="auto"/>
              </w:rPr>
              <w:t>97.9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80.8</w:t>
            </w:r>
          </w:p>
        </w:tc>
        <w:tc>
          <w:tcPr>
            <w:tcW w:w="620" w:type="dxa"/>
            <w:vAlign w:val="bottom"/>
          </w:tcPr>
          <w:p>
            <w:pPr>
              <w:jc w:val="right"/>
              <w:spacing w:after="0"/>
              <w:rPr>
                <w:sz w:val="20"/>
                <w:szCs w:val="20"/>
                <w:color w:val="auto"/>
              </w:rPr>
            </w:pPr>
            <w:r>
              <w:rPr>
                <w:rFonts w:ascii="Arial" w:cs="Arial" w:eastAsia="Arial" w:hAnsi="Arial"/>
                <w:sz w:val="18"/>
                <w:szCs w:val="18"/>
                <w:color w:val="auto"/>
              </w:rPr>
              <w:t>- 82.3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9"/>
              </w:rPr>
              <w:t>10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5.25 to</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to 6.25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80" w:type="dxa"/>
            <w:vAlign w:val="bottom"/>
          </w:tcPr>
          <w:p>
            <w:pPr>
              <w:jc w:val="center"/>
              <w:ind w:left="370"/>
              <w:spacing w:after="0"/>
              <w:rPr>
                <w:sz w:val="20"/>
                <w:szCs w:val="20"/>
                <w:color w:val="auto"/>
              </w:rPr>
            </w:pPr>
            <w:r>
              <w:rPr>
                <w:rFonts w:ascii="Arial" w:cs="Arial" w:eastAsia="Arial" w:hAnsi="Arial"/>
                <w:sz w:val="18"/>
                <w:szCs w:val="18"/>
                <w:color w:val="auto"/>
                <w:w w:val="89"/>
              </w:rPr>
              <w:t>10</w:t>
            </w:r>
          </w:p>
        </w:tc>
        <w:tc>
          <w:tcPr>
            <w:tcW w:w="44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680" w:type="dxa"/>
            <w:vAlign w:val="bottom"/>
          </w:tcPr>
          <w:p>
            <w:pPr>
              <w:ind w:left="220"/>
              <w:spacing w:after="0"/>
              <w:rPr>
                <w:sz w:val="20"/>
                <w:szCs w:val="20"/>
                <w:color w:val="auto"/>
              </w:rPr>
            </w:pPr>
            <w:r>
              <w:rPr>
                <w:rFonts w:ascii="Arial" w:cs="Arial" w:eastAsia="Arial" w:hAnsi="Arial"/>
                <w:sz w:val="18"/>
                <w:szCs w:val="18"/>
                <w:color w:val="auto"/>
                <w:w w:val="97"/>
              </w:rPr>
              <w:t>5.0 to</w:t>
            </w:r>
          </w:p>
        </w:tc>
        <w:tc>
          <w:tcPr>
            <w:tcW w:w="380" w:type="dxa"/>
            <w:vAlign w:val="bottom"/>
          </w:tcPr>
          <w:p>
            <w:pPr>
              <w:spacing w:after="0"/>
              <w:rPr>
                <w:sz w:val="20"/>
                <w:szCs w:val="20"/>
                <w:color w:val="auto"/>
              </w:rPr>
            </w:pPr>
            <w:r>
              <w:rPr>
                <w:rFonts w:ascii="Arial" w:cs="Arial" w:eastAsia="Arial" w:hAnsi="Arial"/>
                <w:sz w:val="18"/>
                <w:szCs w:val="18"/>
                <w:color w:val="auto"/>
              </w:rPr>
              <w:t>7.5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jc w:val="center"/>
              <w:ind w:right="290"/>
              <w:spacing w:after="0"/>
              <w:rPr>
                <w:sz w:val="20"/>
                <w:szCs w:val="20"/>
                <w:color w:val="auto"/>
              </w:rPr>
            </w:pPr>
            <w:r>
              <w:rPr>
                <w:rFonts w:ascii="Arial" w:cs="Arial" w:eastAsia="Arial" w:hAnsi="Arial"/>
                <w:sz w:val="18"/>
                <w:szCs w:val="18"/>
                <w:color w:val="auto"/>
                <w:w w:val="95"/>
              </w:rPr>
              <w:t>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0.0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5"/>
              </w:rPr>
              <w:t>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volatilities utilized in the model are based on historical volatility of the Company’s stock price. The risk free interest rate is derived from values assigned to U.S. Treasury strips as published in the Wall Street Journal in effect at the time of grant. The model incorporates exercise, pre-vesting and post-vesting forfeiture assumptions based on analysis of historical data. The expected life of the fiscal 2014, 2013 and 2012 grants was generated using the simplified method as allowed under Securities and Exchange Commission Staff Accounting Bulletin No. 107.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7.0 years). The earn-out milestone liability will be fair valued at the end of each quarter and any change in their value will be recognized in the financial statements. As of December 31, 2014, the Company fair valued the earn-out milestone liability at $13.7 million and recognized a gain of $231,949 as a result of the change in the fair value of earn-out milestone liability from June 30, 2014. The fair value of the earn-out milestone liability at December 31, 2014 was based on the Company's risk-adjusted assessment of each milestone (10% to 67%) and utilizing a discount rate based on the estimated time to achieve the milestone (1.2 to 6.5 years).</w:t>
      </w:r>
    </w:p>
    <w:p>
      <w:pPr>
        <w:sectPr>
          <w:pgSz w:w="11900" w:h="16838" w:orient="portrait"/>
          <w:cols w:equalWidth="0" w:num="1">
            <w:col w:w="11420"/>
          </w:cols>
          <w:pgMar w:left="240" w:top="584"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changes in the earn-out milestone liability for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Fair value of Earn-Out Payments at date of EGEN Purchase Agreement (Note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Gain from the adjustment for the change in fair value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13,878,204</w:t>
      </w:r>
    </w:p>
    <w:p>
      <w:pPr>
        <w:spacing w:after="0" w:line="9"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(213,494)</w:t>
      </w:r>
    </w:p>
    <w:p>
      <w:pPr>
        <w:spacing w:after="0" w:line="9" w:lineRule="exact"/>
        <w:rPr>
          <w:sz w:val="20"/>
          <w:szCs w:val="20"/>
          <w:color w:val="auto"/>
        </w:rPr>
      </w:pPr>
    </w:p>
    <w:p>
      <w:pPr>
        <w:ind w:left="701" w:hanging="701"/>
        <w:spacing w:after="0"/>
        <w:tabs>
          <w:tab w:leader="none" w:pos="7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13,663,710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607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60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8499" w:space="720"/>
            <w:col w:w="2201"/>
          </w:cols>
          <w:pgMar w:left="240" w:top="584"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described in Note 10, the Company completed a series of equity financing transactions in 2014 and 2013 that included the issuance of warrants to purchase 1,801,802 and 1,341,382 shares, respectively, of the Company’s common stock. In connection with the Hercules Credit Agreement and the Horizon &amp; Oxford Credit Agreement the Company entered into in November 2013 and June 2012 as more fully described in Note 8, the Company issued warrants to purchase 194,986 and 11,415 shares, respectively, of the Company’s common stock. During 2013 and 2012, the Company received gross proceeds of approximately $0.3 million and $10.1 million, respectively, from the exercise of warrants to purchase 15,833 and 847,715 shares of common stock, respectively. No warrants were exercised during 2014.</w:t>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three years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outstanding at January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057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spacing w:after="0" w:line="3" w:lineRule="exact"/>
        <w:rPr>
          <w:sz w:val="20"/>
          <w:szCs w:val="20"/>
          <w:color w:val="auto"/>
        </w:rPr>
      </w:pPr>
    </w:p>
    <w:p>
      <w:pPr>
        <w:ind w:left="340" w:hanging="161"/>
        <w:spacing w:after="0" w:line="250" w:lineRule="auto"/>
        <w:rPr>
          <w:sz w:val="20"/>
          <w:szCs w:val="20"/>
          <w:color w:val="auto"/>
        </w:rPr>
      </w:pPr>
      <w:r>
        <w:rPr>
          <w:rFonts w:ascii="Arial" w:cs="Arial" w:eastAsia="Arial" w:hAnsi="Arial"/>
          <w:sz w:val="18"/>
          <w:szCs w:val="18"/>
          <w:color w:val="auto"/>
        </w:rPr>
        <w:t>Warrants issued in connection with the Oxford &amp; Horizon Credit Agreement as more fully described in Note 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exercised for common stock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057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outstanding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057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issued in connection with 2013 equity transactions</w:t>
      </w:r>
    </w:p>
    <w:p>
      <w:pPr>
        <w:spacing w:after="0" w:line="23" w:lineRule="exact"/>
        <w:rPr>
          <w:sz w:val="20"/>
          <w:szCs w:val="20"/>
          <w:color w:val="auto"/>
        </w:rPr>
      </w:pPr>
    </w:p>
    <w:p>
      <w:pPr>
        <w:ind w:left="340" w:right="100" w:hanging="161"/>
        <w:spacing w:after="0" w:line="250" w:lineRule="auto"/>
        <w:rPr>
          <w:sz w:val="20"/>
          <w:szCs w:val="20"/>
          <w:color w:val="auto"/>
        </w:rPr>
      </w:pPr>
      <w:r>
        <w:rPr>
          <w:rFonts w:ascii="Arial" w:cs="Arial" w:eastAsia="Arial" w:hAnsi="Arial"/>
          <w:sz w:val="18"/>
          <w:szCs w:val="18"/>
          <w:color w:val="auto"/>
        </w:rPr>
        <w:t>Warrants issued in connection with the Hercules Credit Agreement (November 2013 tranche) as more fully described in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0057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0570"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Warrants exercised for common stock in 2013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outstanding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057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Warrants issued in connection with the January 2014 equity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0057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3" w:lineRule="exact"/>
        <w:rPr>
          <w:sz w:val="20"/>
          <w:szCs w:val="20"/>
          <w:color w:val="auto"/>
        </w:rPr>
      </w:pPr>
    </w:p>
    <w:p>
      <w:pPr>
        <w:ind w:left="340" w:right="140" w:hanging="161"/>
        <w:spacing w:after="0" w:line="261" w:lineRule="auto"/>
        <w:rPr>
          <w:sz w:val="20"/>
          <w:szCs w:val="20"/>
          <w:color w:val="auto"/>
        </w:rPr>
      </w:pPr>
      <w:r>
        <w:rPr>
          <w:rFonts w:ascii="Arial" w:cs="Arial" w:eastAsia="Arial" w:hAnsi="Arial"/>
          <w:sz w:val="18"/>
          <w:szCs w:val="18"/>
          <w:color w:val="auto"/>
        </w:rPr>
        <w:t>Warrants issued in connection with the Hercules Credit Agreement (June 2014 tranche) as more fully described in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0057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057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Warrants outstanding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0057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Aggregate intrinsic value of outstanding warrants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057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 average remaining contractual terms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Warrant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Warrants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1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Issued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24"/>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2,583,778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9"/>
                <w:szCs w:val="19"/>
                <w:color w:val="auto"/>
              </w:rPr>
            </w:pPr>
          </w:p>
        </w:tc>
      </w:tr>
      <w:tr>
        <w:trPr>
          <w:trHeight w:val="404"/>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11,415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r>
      <w:tr>
        <w:trPr>
          <w:trHeight w:val="230"/>
        </w:trPr>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(847,715)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12.11</w:t>
            </w:r>
          </w:p>
        </w:tc>
      </w:tr>
      <w:tr>
        <w:trPr>
          <w:trHeight w:val="224"/>
        </w:trPr>
        <w:tc>
          <w:tcPr>
            <w:tcW w:w="1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1,747,478</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r>
      <w:tr>
        <w:trPr>
          <w:trHeight w:val="418"/>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1,341,382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r>
      <w:tr>
        <w:trPr>
          <w:trHeight w:val="418"/>
        </w:trPr>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97,493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30"/>
        </w:trPr>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(15,833)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r>
      <w:tr>
        <w:trPr>
          <w:trHeight w:val="224"/>
        </w:trPr>
        <w:tc>
          <w:tcPr>
            <w:tcW w:w="1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3,170,520</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r>
      <w:tr>
        <w:trPr>
          <w:trHeight w:val="418"/>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1,801,802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419"/>
        </w:trPr>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97,493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5,069,815</w:t>
            </w:r>
          </w:p>
        </w:tc>
        <w:tc>
          <w:tcPr>
            <w:tcW w:w="12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9264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9264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9264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9264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600" w:space="360"/>
            <w:col w:w="3460"/>
          </w:cols>
          <w:pgMar w:left="240" w:top="580" w:right="239" w:bottom="1440" w:gutter="0" w:footer="0" w:header="0"/>
          <w:type w:val="continuous"/>
        </w:sectPr>
      </w:pPr>
    </w:p>
    <w:p>
      <w:pPr>
        <w:spacing w:after="0" w:line="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484,478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2" w:name="page93"/>
    <w:bookmarkEnd w:id="92"/>
    <w:p>
      <w:pPr>
        <w:jc w:val="both"/>
        <w:spacing w:after="0" w:line="288" w:lineRule="auto"/>
        <w:rPr>
          <w:sz w:val="20"/>
          <w:szCs w:val="20"/>
          <w:color w:val="auto"/>
        </w:rPr>
      </w:pPr>
      <w:r>
        <w:rPr>
          <w:rFonts w:ascii="Arial" w:cs="Arial" w:eastAsia="Arial" w:hAnsi="Arial"/>
          <w:sz w:val="16"/>
          <w:szCs w:val="16"/>
          <w:color w:val="auto"/>
        </w:rPr>
        <w:t xml:space="preserve">As more fully described in Note 10, concurrent with the closing of the Common Stock Offering, the investors in this offering agreed to waive their rights to exercise the Waived Warrants to purchase 1,398,816 shares of common stock of the Company until the Company has obtained stockholders’ approval of increasing the number of its authorized shares of common stock in conjunction with the proposed reverse stock split of its outstanding shares of common stock. In accordance with ASC 815-40, </w:t>
      </w:r>
      <w:r>
        <w:rPr>
          <w:rFonts w:ascii="Arial" w:cs="Arial" w:eastAsia="Arial" w:hAnsi="Arial"/>
          <w:sz w:val="16"/>
          <w:szCs w:val="16"/>
          <w:i w:val="1"/>
          <w:iCs w:val="1"/>
          <w:color w:val="auto"/>
        </w:rPr>
        <w:t>Derivative Instruments and Hedging - Contracts in Entity’s Own Equity,</w:t>
      </w:r>
      <w:r>
        <w:rPr>
          <w:rFonts w:ascii="Arial" w:cs="Arial" w:eastAsia="Arial" w:hAnsi="Arial"/>
          <w:sz w:val="16"/>
          <w:szCs w:val="16"/>
          <w:color w:val="auto"/>
        </w:rPr>
        <w:t xml:space="preserve"> the Waived Warrants were required to be classified as liabilities immediately after the closing of the Common Stock Offering on June 3, 2013 because there were an insufficient number of common shares authorized to permit the full exercise of the Waived Warrants if they were exercised. Therefore, the Company had reclassified the fair value of the Waived Warrants totaling approximately $9.1 million from equity to a liability as of June 3, 2013. The Waived Warrants were required to be recorded at fair value at each balance sheet date with changes in fair value recorded in earnings until such time as there are a sufficient number of common shares authorized to permit the full exercise of the warrants. In connection with the Reverse Stock Split, these warrants were valued as of October 28, 2013 and the Company reclassified the fair value of the Waived Warrants totaling approximately $5.3 million from a liability to equity.</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2014 and 2013, the Company recorded a common stock warrant liability of $275,008 and $3,026 million respectively. The fair value of the warrants associated with the September 2009 registered direct offering and the warrants associated with the Hercules loan as more fully described in Note 8 at December 31, 2014, 2013 and 2012 was calculated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16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0.04 - 1.66%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40.9- 98.35%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64.74%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92.02%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0.25 -3.9</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Note 10 for the assumptions used at June 3, 2013 and October 28, 2013 for the Black-Scholes option-pricing model calculation for the Waived Warrants associated with the Common Stock Offering on the dates they were waived and when there became a sufficient number of common shares authorized to permit their full exercise.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this change in the warrant liability in 2014, the Company recorded a non-cash benefit of $204,279 in 2014. As a result of this change in the warrant liability in 2013, which included the change in the warrant liability associated with the Waived Warrants as discussed above, the Company recorded a non-cash benefit of $8.1 million during 2013. The change in the warrant liability during 2012 resulted in a non-cash loss of $4.1 million in 2012. The following is a summary of the changes in the common stock warrant liability for 2014,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166,398</w:t>
            </w:r>
          </w:p>
        </w:tc>
        <w:tc>
          <w:tcPr>
            <w:tcW w:w="1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Benefit from the adjustment for the change in fair value included in net loss for 2011</w:t>
            </w: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4,117,534)</w:t>
            </w: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4,283,932</w:t>
            </w:r>
          </w:p>
        </w:tc>
        <w:tc>
          <w:tcPr>
            <w:tcW w:w="1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Fair value of warrants classified as liability (see Note 10)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9,110,302</w:t>
            </w:r>
          </w:p>
        </w:tc>
        <w:tc>
          <w:tcPr>
            <w:tcW w:w="1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classified as equity (see Note 10)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(5,300,572)</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Gain from the adjustment for the change in fair value included in net loss</w:t>
            </w: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(8,090,636)</w:t>
            </w: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2013</w:t>
            </w: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Fair value of warrants classified as liability (see Note 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476,261</w:t>
            </w:r>
          </w:p>
        </w:tc>
        <w:tc>
          <w:tcPr>
            <w:tcW w:w="1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Gain from the adjustment for the change in fair value included in net income</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(204,279)</w:t>
            </w:r>
          </w:p>
        </w:tc>
      </w:tr>
      <w:tr>
        <w:trPr>
          <w:trHeight w:val="210"/>
        </w:trPr>
        <w:tc>
          <w:tcPr>
            <w:tcW w:w="96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275,008</w:t>
            </w:r>
          </w:p>
        </w:tc>
        <w:tc>
          <w:tcPr>
            <w:tcW w:w="120" w:type="dxa"/>
            <w:vAlign w:val="bottom"/>
            <w:tcBorders>
              <w:top w:val="single" w:sz="8" w:color="CCEEFF"/>
            </w:tcBorders>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CELSION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Celsion maintains a defined-contribution plan under Section 401(k) of the Internal Revenue Code. The plan covers substantially all employees over the age of</w:t>
      </w:r>
    </w:p>
    <w:p>
      <w:pPr>
        <w:spacing w:after="0" w:line="46" w:lineRule="exact"/>
        <w:rPr>
          <w:sz w:val="20"/>
          <w:szCs w:val="20"/>
          <w:color w:val="auto"/>
        </w:rPr>
      </w:pPr>
    </w:p>
    <w:p>
      <w:pPr>
        <w:jc w:val="both"/>
        <w:ind w:firstLine="8"/>
        <w:spacing w:after="0" w:line="254" w:lineRule="auto"/>
        <w:tabs>
          <w:tab w:leader="none" w:pos="2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Participating employees may defer a portion of their pretax earnings, up to the IRS annual contribution limit. Commencing in the fourth quarter for 2008, the Company began making a matching contribution up to a maximum of 3% of an employee’s annual salary and the Company’s total contribution for the years ended December 31, 2014, 2013 and 2012 was $56,875, $57,239 and $60,360 respectively. The Company’s contribution was made in the form of our common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15.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1999, the Company entered into a license agreement with Duke University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 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2014, 2013 and 2012, the Company has not incurred any expense under this agreement and will not incur any future liabilities until commercial sales commence.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Europe, Hong Kong, Australia and Canada and have been allowed in Japan. The Japanese allowed application is expected to issue without hindrance in March of 2011. The European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University extend for the life of the last-to-expire of the licensed patents.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ThermoDox® is a registered trademark in the United States, Argentina, Australia, Canada, China, Columbia, the European Communities: (Austria, Belgium, Bulgaria, Cyprus, Czech Republic, Denmark, Estonia, Finland, France, Germany, Greece, Hungary, Ireland, Italy, Korea, Latvia, Lithuania, Luxembourg, Malta, Netherlands, Poland, Portugal, Romania, Slovakia, Slovenia, Spain, Sweden, UK),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As of December 31, 2014, the Company has incurred approximately $209,000 in costs to be reimbursed to Hisun.</w:t>
      </w:r>
    </w:p>
    <w:p>
      <w:pPr>
        <w:spacing w:after="0" w:line="178"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right="1420" w:hanging="368"/>
        <w:spacing w:after="0" w:line="277" w:lineRule="auto"/>
        <w:tabs>
          <w:tab w:leader="none" w:pos="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660" w:right="1420" w:hanging="368"/>
        <w:spacing w:after="0" w:line="277" w:lineRule="auto"/>
        <w:tabs>
          <w:tab w:leader="none" w:pos="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60" w:right="1420" w:hanging="368"/>
        <w:spacing w:after="0" w:line="277" w:lineRule="auto"/>
        <w:tabs>
          <w:tab w:leader="none" w:pos="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66" w:lineRule="exact"/>
        <w:rPr>
          <w:rFonts w:ascii="Arial" w:cs="Arial" w:eastAsia="Arial" w:hAnsi="Arial"/>
          <w:sz w:val="18"/>
          <w:szCs w:val="18"/>
          <w:b w:val="1"/>
          <w:bCs w:val="1"/>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AND COMMITMENTS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two $50,000 reductions of the standby letter of credit in April 2013 and 2014, the Company reduced the escrow deposit by $50,000 each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43 months with rent payments of approximately $23,200 per month.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$425,443, $280,808 and $184,790 in connection with these leases in 2014,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future minimum payments required under leases that have initial or remaining lease terms of one year or more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color w:val="auto"/>
              </w:rPr>
              <w:t>For the year ending 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570,078</w:t>
            </w: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575,513</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378,042</w:t>
            </w: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23,200</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2019 and beyond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1,546,833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20, 2015 the Company announced it had signed a license and distribution agreement with myTomorrows to implement an Early Access Program for ThermoDox®, its proprietary heat-activated liposomal encapsulation of doxorubicin, in all countries of the European Union (EU) territory plus Switzerland for the treatment of patients with recurrent chest wall (RCW) breast cancer.</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RCW breast cancer is difficult to treat and has a poor prognosis with a significant impact on a patient's quality of life. Patients with highly resistant tumors found on the chest wall often see their cancer progress despite previous treatment attempts including chemotherapy, radiation therapy and hormone therapy. There are approximately 25,000 to 35,000 incidence of RCW breast cancer in the EU alone and thermal therapy is a well-accepted strategy for treating patients. Recent findings from two Phase I studies and an ongoing open label Phase II study indicate that when combined with thermal therapy,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can demonstrate significant overall response rates and tumor control in post mastectomy, refractory patients.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Early Access Programs (EAP) allow biopharmaceutical companies to provide eligible patients with ethical access to investigational medicines for unmet medical needs within the scope of the existing early access legislation. Access is provided in response to physician requests in a fully compliant manner, where no alternative treatment options are available to these patients. Celsion will provide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centers of excellence in the EU and Switzerland through its Early Access Program with myTomorrows, at prices that are comparable to chemotherapeutics used to treat this and other aggressive form of cancer. The Company expects to have ThermoDox® available for the EAP in the second quarter of 2015.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19. SELECTED QUARTERLY FINANCIAL DATA (Unaudited)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Quarters Ended</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June 30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30</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(6,673)</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5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Non-cash deemed dividend from beneficial conversion feature on convertible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Basic and diluted net loss available to common shareholders 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5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960" w:type="dxa"/>
            <w:vAlign w:val="bottom"/>
          </w:tcPr>
          <w:p>
            <w:pPr>
              <w:ind w:left="5520"/>
              <w:spacing w:after="0"/>
              <w:rPr>
                <w:sz w:val="20"/>
                <w:szCs w:val="20"/>
                <w:color w:val="auto"/>
              </w:rPr>
            </w:pPr>
            <w:r>
              <w:rPr>
                <w:rFonts w:ascii="Arial" w:cs="Arial" w:eastAsia="Arial" w:hAnsi="Arial"/>
                <w:sz w:val="18"/>
                <w:szCs w:val="18"/>
                <w:color w:val="auto"/>
              </w:rPr>
              <w:t>F-34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EMPLOYMENT AGREEMENT</w:t>
      </w:r>
      <w:r>
        <w:rPr>
          <w:rFonts w:ascii="Arial" w:cs="Arial" w:eastAsia="Arial" w:hAnsi="Arial"/>
          <w:sz w:val="17"/>
          <w:szCs w:val="17"/>
          <w:color w:val="auto"/>
        </w:rPr>
        <w:t xml:space="preserve"> (the “Agreement”) is made and entered into effective as of the 5th day of December 2014 (the “Effective Date”), by and between Celsion Corporation, a Delaware corporation (the “Company”), and Michael H. Tardugno</w:t>
      </w:r>
      <w:r>
        <w:rPr>
          <w:rFonts w:ascii="Arial" w:cs="Arial" w:eastAsia="Arial" w:hAnsi="Arial"/>
          <w:sz w:val="17"/>
          <w:szCs w:val="17"/>
          <w:b w:val="1"/>
          <w:bCs w:val="1"/>
          <w:color w:val="auto"/>
        </w:rPr>
        <w:t>,</w:t>
      </w:r>
      <w:r>
        <w:rPr>
          <w:rFonts w:ascii="Arial" w:cs="Arial" w:eastAsia="Arial" w:hAnsi="Arial"/>
          <w:sz w:val="17"/>
          <w:szCs w:val="17"/>
          <w:color w:val="auto"/>
        </w:rPr>
        <w:t xml:space="preserve"> an individual (the “Executive”).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Executive to serve in the capacities of Chairman, President and Chief Executive Officer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set forth in this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accept employment in such capacities on such terms and conditions.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by the parties hereto, such parties, intending to be legally bound, agree as follows:</w:t>
      </w:r>
    </w:p>
    <w:p>
      <w:pPr>
        <w:spacing w:after="0" w:line="18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 Duties and Acceptance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accordance with the terms of this Agreement, the Company hereby employs the Executive, for the Term (as hereinafter defined), to render full-time services to the Company as Chairman, President and Chief Executive Officer and to perform the customary duties and bear the customary responsibilities of such positions and such other duties and responsibilities, commensurate with such positions, as the Executive shall be directed from time to time by the Board (the “Board”) of the Company to perform or bear, which duties and responsibilities shall be consistent with the provisions of the Bylaws of the Company in effect on the date hereof that relate to or bear upon the duties of the Chairman, President and Chief Executive Officer, all in accordance with the terms of this Agreement.</w:t>
      </w:r>
    </w:p>
    <w:p>
      <w:pPr>
        <w:spacing w:after="0" w:line="193" w:lineRule="exact"/>
        <w:rPr>
          <w:rFonts w:ascii="Arial" w:cs="Arial" w:eastAsia="Arial" w:hAnsi="Arial"/>
          <w:sz w:val="18"/>
          <w:szCs w:val="18"/>
          <w:color w:val="auto"/>
        </w:rPr>
      </w:pPr>
    </w:p>
    <w:p>
      <w:pPr>
        <w:ind w:left="660" w:hanging="4"/>
        <w:spacing w:after="0" w:line="277" w:lineRule="auto"/>
        <w:tabs>
          <w:tab w:leader="none" w:pos="9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Executive hereby accepts such employment and agrees to render the services described above, in accordance with the terms of this Agreement.</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3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Executive further agrees to accept election and to serve during all or any part of the Term as a director of the Company without any compensation therefor other than that specified in this Agreement, if elected to such position by the Board or the stockholders of the Company. At all times during the Term, the Company shall include the Executive in the management slate for election as a director at every stockholders’ meeting at which his term as a director would otherwise expire. At the request of the Board, following termination or expiration of this Agreement, the Executive promptly shall tender his resignation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8" w:name="page99"/>
    <w:bookmarkEnd w:id="98"/>
    <w:p>
      <w:pPr>
        <w:ind w:left="328" w:hanging="4"/>
        <w:spacing w:after="0" w:line="277" w:lineRule="auto"/>
        <w:tabs>
          <w:tab w:leader="none" w:pos="5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principal place of employment of the Executive hereunder shall at all times during the Term be in the Lawrenceville, New Jersey area or such other location(s) as may be mutually acceptable to the Executive and the Board.</w:t>
      </w:r>
    </w:p>
    <w:p>
      <w:pPr>
        <w:spacing w:after="0" w:line="170" w:lineRule="exact"/>
        <w:rPr>
          <w:rFonts w:ascii="Arial" w:cs="Arial" w:eastAsia="Arial" w:hAnsi="Arial"/>
          <w:sz w:val="18"/>
          <w:szCs w:val="18"/>
          <w:color w:val="auto"/>
        </w:rPr>
      </w:pPr>
    </w:p>
    <w:p>
      <w:pPr>
        <w:jc w:val="both"/>
        <w:ind w:left="328" w:hanging="4"/>
        <w:spacing w:after="0" w:line="279" w:lineRule="auto"/>
        <w:tabs>
          <w:tab w:leader="none" w:pos="581"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although the Executive shall provide services as a full-time employee, it is understood that the Executive, with prior notification to the Board, may (1) participate in professional activities; (2) publish academic articles; (3) support non-competing external research programs; and (4) participate in community and/or philanthropic activities (collectively, “Permitted Activities”),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Permitted Activities do not interfere with the Executive’s duties or services to the Company.</w:t>
      </w:r>
    </w:p>
    <w:p>
      <w:pPr>
        <w:spacing w:after="0" w:line="171" w:lineRule="exact"/>
        <w:rPr>
          <w:rFonts w:ascii="Arial" w:cs="Arial" w:eastAsia="Arial" w:hAnsi="Arial"/>
          <w:sz w:val="17"/>
          <w:szCs w:val="17"/>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88" w:lineRule="auto"/>
        <w:rPr>
          <w:rFonts w:ascii="Arial" w:cs="Arial" w:eastAsia="Arial" w:hAnsi="Arial"/>
          <w:sz w:val="18"/>
          <w:szCs w:val="18"/>
          <w:color w:val="auto"/>
        </w:rPr>
      </w:pPr>
      <w:r>
        <w:rPr>
          <w:rFonts w:ascii="Arial" w:cs="Arial" w:eastAsia="Arial" w:hAnsi="Arial"/>
          <w:sz w:val="16"/>
          <w:szCs w:val="16"/>
          <w:color w:val="auto"/>
        </w:rPr>
        <w:t>The initial term of the Executive’s employment under this Agreement (the “Term”) shall commence on the Effective Date and shall end on the January 31, 2018, unless sooner terminated by the Company or the Executive pursuant to Section 6, 7 or 8 of this Agreement, as the case may be, or voluntarily by the Executive. Notwithstanding the foregoing, unless notice is given by the Executive or the Company to the other at least three</w:t>
      </w:r>
    </w:p>
    <w:p>
      <w:pPr>
        <w:jc w:val="both"/>
        <w:ind w:left="328"/>
        <w:spacing w:after="0" w:line="273" w:lineRule="auto"/>
        <w:rPr>
          <w:rFonts w:ascii="Arial" w:cs="Arial" w:eastAsia="Arial" w:hAnsi="Arial"/>
          <w:sz w:val="18"/>
          <w:szCs w:val="18"/>
          <w:color w:val="auto"/>
        </w:rPr>
      </w:pPr>
      <w:r>
        <w:rPr>
          <w:rFonts w:ascii="Arial" w:cs="Arial" w:eastAsia="Arial" w:hAnsi="Arial"/>
          <w:sz w:val="17"/>
          <w:szCs w:val="17"/>
          <w:color w:val="auto"/>
        </w:rPr>
        <w:t>(3) months prior to the expiration of the Term of this Agreement (including at least three (3) months prior to the expiration of any extension hereof, as provided below), the Term automatically shall be extended by one (1) year from the date it would otherwise end (whether upon expiration of the initial Term or any extension(s) thereof), unless sooner terminated pursuant to Section 6, 7 or 8 hereof or voluntarily by the Executive. In the event of such an automatic extension, the term “Term,” as used herein, shall include each and any such extension.</w:t>
      </w:r>
    </w:p>
    <w:p>
      <w:pPr>
        <w:spacing w:after="0" w:line="176"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55" w:lineRule="auto"/>
        <w:tabs>
          <w:tab w:leader="none" w:pos="5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compensation for the services to be rendered pursuant to this Agreement, the Company agrees to pay the Executive, during the period from the Effective Date through and including December 31, 2014, an annual base salary in the amount of $465,462 (the “Base Salary”). The Executive’s Base Salary hereunder shall be reviewed as of January 1, 2015 and at least annually thereafter during the Term of the Agreement for adjustment upward (but not downward) in the discretion of the Board or the Compensation Committee of the Board. The Executive’s Base Salary, as so adjusted, shall be considered the new Base Salary for all purposes of this Agreement. The Base Salary shall be paid in accordance with the Company’s standard payroll practices applicable to its senior executives.</w:t>
      </w:r>
    </w:p>
    <w:p>
      <w:pPr>
        <w:spacing w:after="0" w:line="193" w:lineRule="exact"/>
        <w:rPr>
          <w:rFonts w:ascii="Arial" w:cs="Arial" w:eastAsia="Arial" w:hAnsi="Arial"/>
          <w:sz w:val="18"/>
          <w:szCs w:val="18"/>
          <w:color w:val="auto"/>
        </w:rPr>
      </w:pPr>
    </w:p>
    <w:p>
      <w:pPr>
        <w:jc w:val="both"/>
        <w:ind w:left="328" w:hanging="4"/>
        <w:spacing w:after="0" w:line="290" w:lineRule="auto"/>
        <w:tabs>
          <w:tab w:leader="none" w:pos="589"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Company agrees that the Executive shall be eligible for an annual performance bonus from the Company with respect to each fiscal year of the Company that ends during the Term, pursuant to the Company’s management incentive bonus program, or policy or practice of the Board or Compensation Committee, in effect from time to time. The amount of any such performance bonus shall be determined by the Board or the Compensation Committee of the Board in its sole and absolute discretion, consistent with the Company’s performance, the Executive’s contribution to the Company’s performance and the provisions of any such applicable incentive bonus program, policy or practice;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annual performance bonus shall not exceed one hundred percent (100%) of the Base Salary for the fiscal year to which the bonus applies except pursuant to a specific finding by the Board or the Compensation Committee of the Board that a higher percentage is appropriate. Any such annual performance bonus shall be paid not later than two and one-half months after the end of the fiscal year to which the bonus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473075</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99" w:name="page100"/>
    <w:bookmarkEnd w:id="99"/>
    <w:p>
      <w:pPr>
        <w:jc w:val="both"/>
        <w:ind w:left="4" w:hanging="4"/>
        <w:spacing w:after="0" w:line="271" w:lineRule="auto"/>
        <w:tabs>
          <w:tab w:leader="none" w:pos="25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agrees to grant to the Executive, during the Term, at the time of its usual annual grant to employees for the applicable year, such options and/or other equity awards with respect to shares of the Company’s common stock as the Board or the Compensation Committee of the Board shall determine. In the event of a Change in Control (as defined in Section 12) of the Company, all such options and other equity awards granted by the Company to the Executive prior to such event, shall immediately vest and, in the case of options and similar awards, become and remain fully exercisable through their respective original maximum terms (provided that, after giving effect to such accelerated vesting and providing the Executive a reasonable opportunity to exercise such vested options and similar awards, such options and awards shall be subject to earlier termination in connection with a change in control of the Company and similar events as provided in the applicable plan and/or award agreement) and otherwise in accordance with their respective terms and conditions.</w:t>
      </w:r>
    </w:p>
    <w:p>
      <w:pPr>
        <w:spacing w:after="0" w:line="178" w:lineRule="exact"/>
        <w:rPr>
          <w:rFonts w:ascii="Arial" w:cs="Arial" w:eastAsia="Arial" w:hAnsi="Arial"/>
          <w:sz w:val="17"/>
          <w:szCs w:val="17"/>
          <w:color w:val="auto"/>
        </w:rPr>
      </w:pPr>
    </w:p>
    <w:p>
      <w:pPr>
        <w:jc w:val="both"/>
        <w:ind w:left="4" w:hanging="4"/>
        <w:spacing w:after="0" w:line="272" w:lineRule="auto"/>
        <w:tabs>
          <w:tab w:leader="none" w:pos="2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shall pay or reimburse the Executive for all reasonable expenses actually incurred or paid by the Executive during the Term in the performance of services under this Agreement, upon presentation of expense statements or vouchers or such other supporting information as may reasonably be required pursuant to the standard policies of the Company in effect from time to time. The Executive agrees to promptly submit and document any reimbursable expenses in accordance with the Company’s expense reimbursement policies to facilitate the timely reimbursement of such expenses. Additionally, the Executive shall receive a $12,000 annual allowance to be used at the Executive’s discretion. The allowance will be grossed up for tax purposes at the rate of 25%. Such allowance and related tax gross-up shall be paid not later than two and one-half months after the end of the year to which the allowance relates.</w:t>
      </w:r>
    </w:p>
    <w:p>
      <w:pPr>
        <w:spacing w:after="0" w:line="177" w:lineRule="exact"/>
        <w:rPr>
          <w:rFonts w:ascii="Arial" w:cs="Arial" w:eastAsia="Arial" w:hAnsi="Arial"/>
          <w:sz w:val="17"/>
          <w:szCs w:val="17"/>
          <w:color w:val="auto"/>
        </w:rPr>
      </w:pPr>
    </w:p>
    <w:p>
      <w:pPr>
        <w:ind w:left="4" w:hanging="4"/>
        <w:spacing w:after="0" w:line="277"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Term, the Company shall, at its election, reimburse the Executive for term life insurance at a level equal to one (1) times his Base Salary, or provide coverage for the Executive at such level.</w:t>
      </w:r>
    </w:p>
    <w:p>
      <w:pPr>
        <w:spacing w:after="0" w:line="170" w:lineRule="exact"/>
        <w:rPr>
          <w:rFonts w:ascii="Arial" w:cs="Arial" w:eastAsia="Arial" w:hAnsi="Arial"/>
          <w:sz w:val="18"/>
          <w:szCs w:val="18"/>
          <w:color w:val="auto"/>
        </w:rPr>
      </w:pPr>
    </w:p>
    <w:p>
      <w:pPr>
        <w:jc w:val="both"/>
        <w:ind w:left="4" w:hanging="4"/>
        <w:spacing w:after="0" w:line="259"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Term, the Executive shall be eligible to participate in all qualified and non-qualified savings and retirement plans, and all other compensation and benefit plans and programs, including welfare and fringe benefit programs that are generally made available by the Company to other senior executives of the Company, in each case in accordance with the eligibility and participation provisions of such plans and programs and as such plans or programs may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485775</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0" w:name="page101"/>
    <w:bookmarkEnd w:id="100"/>
    <w:p>
      <w:pPr>
        <w:jc w:val="both"/>
        <w:ind w:left="328" w:hanging="4"/>
        <w:spacing w:after="0" w:line="286" w:lineRule="auto"/>
        <w:tabs>
          <w:tab w:leader="none" w:pos="602"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the Term, the Executive shall be eligible for paid vacation of five (5) weeks per calendar year taken in accordance with the vacation policy of the Company. In the event that Executive does not utilize all of his vacation in any calendar year, he may carry forward up to five (5) weeks (twenty five (25) days) for up to one (1) calendar year. Unused vacation days shall not otherwise accumulate.</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55" w:lineRule="auto"/>
        <w:rPr>
          <w:rFonts w:ascii="Arial" w:cs="Arial" w:eastAsia="Arial" w:hAnsi="Arial"/>
          <w:sz w:val="18"/>
          <w:szCs w:val="18"/>
          <w:color w:val="auto"/>
        </w:rPr>
      </w:pPr>
      <w:r>
        <w:rPr>
          <w:rFonts w:ascii="Arial" w:cs="Arial" w:eastAsia="Arial" w:hAnsi="Arial"/>
          <w:sz w:val="18"/>
          <w:szCs w:val="18"/>
          <w:color w:val="auto"/>
        </w:rPr>
        <w:t>The Executive acknowledges and agrees that the “Employee Proprietary Information and Ownership of Inventions Agreement” annexed hereto as Exhibit A shall be deemed incorporated in and made a part of this Employment Agreement. Notwithstanding any other provision of this Agreement, the Executive shall continue to be bound by the terms of such Proprietary Information and Inventions Agreement for a period of five (5) years after the expiration or termination of this Agreement for any reason. The Executive and the Company agree that following expiration or termination of this Agreement for any reason the Proprietary Information and Inventions Agreement shall be applicable only to material, non-public, proprietary information of the Company.</w:t>
      </w:r>
    </w:p>
    <w:p>
      <w:pPr>
        <w:spacing w:after="0" w:line="193"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and Non-Disparagement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55" w:lineRule="auto"/>
        <w:tabs>
          <w:tab w:leader="none" w:pos="583"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During the Term, the Executive shall not (1) provide any services, directly or indirectly, to any other business or commercial entity without the consent of the Board or (2) participate in the formation of any business or commercial entity without the consent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in this Section 5(a) shall be deemed to prohibit the Executive from acquiring, solely as an investment, shares of capital stock (or other interests) of any corporation (or other entity) not exceeding two percent (2%) of such corporation’s (or other entity’s) then-outstanding shares of capital stock (or other interests)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nothing contained herein shall be deemed to limit the Executive’s Permitted Activities pursuant to Section 1(e).</w:t>
      </w:r>
    </w:p>
    <w:p>
      <w:pPr>
        <w:spacing w:after="0" w:line="193" w:lineRule="exact"/>
        <w:rPr>
          <w:rFonts w:ascii="Arial" w:cs="Arial" w:eastAsia="Arial" w:hAnsi="Arial"/>
          <w:sz w:val="18"/>
          <w:szCs w:val="18"/>
          <w:color w:val="auto"/>
        </w:rPr>
      </w:pPr>
    </w:p>
    <w:p>
      <w:pPr>
        <w:jc w:val="both"/>
        <w:ind w:left="328" w:hanging="4"/>
        <w:spacing w:after="0" w:line="288" w:lineRule="auto"/>
        <w:tabs>
          <w:tab w:leader="none" w:pos="58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this Agreement is terminated by the Company for Cause (as defined in Section 6(c)) or if the Executive terminates this Agreement other than in accordance with Section 7 or 8 hereof, or if the Executive is entitled to receive severance payments in connection with a termination of his employment in accordance with Section 9(c)(i) or 9(d)(i), then for a period of two (2) years following the date of termination the Executive shall not</w:t>
      </w:r>
    </w:p>
    <w:p>
      <w:pPr>
        <w:jc w:val="both"/>
        <w:ind w:left="328"/>
        <w:spacing w:after="0" w:line="268" w:lineRule="auto"/>
        <w:rPr>
          <w:rFonts w:ascii="Arial" w:cs="Arial" w:eastAsia="Arial" w:hAnsi="Arial"/>
          <w:sz w:val="16"/>
          <w:szCs w:val="16"/>
          <w:color w:val="auto"/>
        </w:rPr>
      </w:pPr>
      <w:r>
        <w:rPr>
          <w:rFonts w:ascii="Arial" w:cs="Arial" w:eastAsia="Arial" w:hAnsi="Arial"/>
          <w:sz w:val="17"/>
          <w:szCs w:val="17"/>
          <w:color w:val="auto"/>
        </w:rPr>
        <w:t>(1) provide any services, directly or indirectly, to any other business or commercial entity in the Company’s Field of Interest (as defined in Section 12), (2) solicit any customers or suppliers of the Company, (3) attempt to persuade or encourage customers or suppliers of the Company not to do business with the Company and/or to do business with a competitor of the Company, (4) participate in the formation of any business or commercial entity engaged primarily in the Company’s Field of Interest, or (5) directly or indirectly employ, or seek to employ or secure the services in any capacity of, any person employed at that time by the Company or any of its Affiliates, or otherwise encourage or entice any such person to leave such employment; provided, however, that nothing contained in this Section 5(b) shall be deemed to prohibit the Executive from acquiring, solely as an investment, shares of capital stock (or other interests) of any corporation (or other entity) in the Company’s Field of Interest not exceeding two percent (2%) of such corporation’s (or other entity’s) then outstanding shares of capital stock (or other interests) and, provided further, that nothing contained herein shall be deemed to limit Executive’s Permitted Activities pursuant to Section 1(e). This Section 5(b) shall be subject to written waivers, which may be obtained by the Executive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481330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1" w:name="page102"/>
    <w:bookmarkEnd w:id="101"/>
    <w:p>
      <w:pPr>
        <w:jc w:val="both"/>
        <w:ind w:left="4" w:hanging="4"/>
        <w:spacing w:after="0" w:line="264" w:lineRule="auto"/>
        <w:tabs>
          <w:tab w:leader="none" w:pos="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no time during the Term of this Agreement or thereafter will the Executive knowingly make any written or oral untrue statement or any statement that disparages the Company or its Affiliates or will the Company knowingly make any written or oral untrue statement or any statement that disparages the Executive.</w:t>
      </w:r>
    </w:p>
    <w:p>
      <w:pPr>
        <w:spacing w:after="0" w:line="181" w:lineRule="exact"/>
        <w:rPr>
          <w:rFonts w:ascii="Arial" w:cs="Arial" w:eastAsia="Arial" w:hAnsi="Arial"/>
          <w:sz w:val="18"/>
          <w:szCs w:val="18"/>
          <w:color w:val="auto"/>
        </w:rPr>
      </w:pPr>
    </w:p>
    <w:p>
      <w:pPr>
        <w:jc w:val="both"/>
        <w:ind w:left="4" w:hanging="4"/>
        <w:spacing w:after="0" w:line="259" w:lineRule="auto"/>
        <w:tabs>
          <w:tab w:leader="none" w:pos="2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Executive commits a breach, or threatens to commit a breach, of any of the provisions of this Section 5 or Exhibit A, the Company shall have the right and remedy to have the provisions of this Agreement or Exhibit A, as the case may be, specifically enforced by any court having equity jurisdiction, it being acknowledged and agreed that any such breach or threatened breach will cause irreparable injury to the Company and that money damages will not provide an adequate remedy to the Company.</w:t>
      </w:r>
    </w:p>
    <w:p>
      <w:pPr>
        <w:spacing w:after="0" w:line="186" w:lineRule="exact"/>
        <w:rPr>
          <w:rFonts w:ascii="Arial" w:cs="Arial" w:eastAsia="Arial" w:hAnsi="Arial"/>
          <w:sz w:val="18"/>
          <w:szCs w:val="18"/>
          <w:color w:val="auto"/>
        </w:rPr>
      </w:pPr>
    </w:p>
    <w:p>
      <w:pPr>
        <w:jc w:val="both"/>
        <w:ind w:left="4" w:hanging="4"/>
        <w:spacing w:after="0" w:line="255"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of the covenants contained in this Section 5 or Exhibit A or any part hereof or thereof, is hereafter construed to be invalid, illegal or unenforceable by a court or regulatory agency or tribunal of competent jurisdiction, such court, agency or tribunal shall have the power, and hereby is directed, to substitute for or limit such provision(s) in order as closely as possible to effectuate the original intent of the parties with respect to such invalid, illegal or unenforceable covenant(s) generally and so to enforce such substituted covenant(s). Subject to the foregoing, the invalidity, illegality or unenforceability of any one or more of the covenants contained in this Section 5 shall not affect the validity of any other provision hereof, which shall be given full effect without regard to the invalid portions.</w:t>
      </w:r>
    </w:p>
    <w:p>
      <w:pPr>
        <w:spacing w:after="0" w:line="193" w:lineRule="exact"/>
        <w:rPr>
          <w:rFonts w:ascii="Arial" w:cs="Arial" w:eastAsia="Arial" w:hAnsi="Arial"/>
          <w:sz w:val="18"/>
          <w:szCs w:val="18"/>
          <w:color w:val="auto"/>
        </w:rPr>
      </w:pPr>
    </w:p>
    <w:p>
      <w:pPr>
        <w:jc w:val="both"/>
        <w:ind w:left="4" w:hanging="4"/>
        <w:spacing w:after="0" w:line="312" w:lineRule="auto"/>
        <w:tabs>
          <w:tab w:leader="none" w:pos="23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any of the covenants contained in this Section 5 or Exhibit A, or any part hereof or thereof, is held to be unenforceable because of the duration of such provision, the area covered thereby or the extent thereof, the parties agree that the tribunal making such determination shall have the power, and hereby is directed, to reduce the duration, area and/or extent of such provision and, in its reduced form, such provision shall then be enforceable.</w:t>
      </w:r>
    </w:p>
    <w:p>
      <w:pPr>
        <w:spacing w:after="0" w:line="146" w:lineRule="exact"/>
        <w:rPr>
          <w:rFonts w:ascii="Arial" w:cs="Arial" w:eastAsia="Arial" w:hAnsi="Arial"/>
          <w:sz w:val="16"/>
          <w:szCs w:val="16"/>
          <w:color w:val="auto"/>
        </w:rPr>
      </w:pPr>
    </w:p>
    <w:p>
      <w:pPr>
        <w:jc w:val="both"/>
        <w:ind w:left="4" w:hanging="4"/>
        <w:spacing w:after="0" w:line="293" w:lineRule="auto"/>
        <w:tabs>
          <w:tab w:leader="none" w:pos="2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Anything else contained in this Agreement to the contrary notwithstanding, the parties hereto intend to and hereby do confer jurisdiction to enforce the covenants contained in this Section 5 and Exhibit A upon the courts of any state within the geographical scope of such covenants. In the event that the courts of any one or more of such states shall hold any such covenant wholly unenforceable by reason of the breadth of such scope or otherwise, it is the intention of the parties hereto that such determination not bar or in any way affect the Company’s right to the relief provided above in the courts of any other state within the geographical scope of such other covenants, as to breaches of such covenants in such other jurisdictions, the above covenants as they relate to each state being, for this purpose, severable into diverse and independent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471805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2" w:name="page103"/>
    <w:bookmarkEnd w:id="102"/>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During the Term of this Agreement, the Company may terminate this Agreement if any one or more of the following shall occur:</w:t>
      </w:r>
    </w:p>
    <w:p>
      <w:pPr>
        <w:spacing w:after="0" w:line="225" w:lineRule="exact"/>
        <w:rPr>
          <w:rFonts w:ascii="Arial" w:cs="Arial" w:eastAsia="Arial" w:hAnsi="Arial"/>
          <w:sz w:val="18"/>
          <w:szCs w:val="18"/>
          <w:color w:val="auto"/>
        </w:rPr>
      </w:pPr>
    </w:p>
    <w:p>
      <w:pPr>
        <w:jc w:val="both"/>
        <w:ind w:left="328" w:hanging="4"/>
        <w:spacing w:after="0" w:line="270" w:lineRule="auto"/>
        <w:tabs>
          <w:tab w:leader="none" w:pos="606"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The Executive shall die during the Term;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Executive’s legal representatives shall be entitled to receive (1) the Executive’s Base Salary through the date which is ninety (90) days after the Executive’s date of death and (2) a pro rata annual performance bonus (prorated by multiplying the full year bonus that otherwise would be due by the percentage derived from dividing the number of days in the then-current year prior to the death of the Executive by three hundred sixty-five (365) with respect to the fiscal year of the Company during which death occurs. Upon the Executive’s death, stock options previously granted to the Executive that are vested and fully exercisable at the time of death shall remain fully exercisable, by the Executive’s legal representatives,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 All stock options and stock awards (and similar equity rights) that have not vested prior the date of death shall be forfeited.</w:t>
      </w:r>
    </w:p>
    <w:p>
      <w:pPr>
        <w:spacing w:after="0" w:line="181" w:lineRule="exact"/>
        <w:rPr>
          <w:rFonts w:ascii="Arial" w:cs="Arial" w:eastAsia="Arial" w:hAnsi="Arial"/>
          <w:sz w:val="17"/>
          <w:szCs w:val="17"/>
          <w:color w:val="auto"/>
        </w:rPr>
      </w:pPr>
    </w:p>
    <w:p>
      <w:pPr>
        <w:ind w:left="588" w:hanging="264"/>
        <w:spacing w:after="0"/>
        <w:tabs>
          <w:tab w:leader="none" w:pos="588"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Executive shall become physically or mentally disabled so that the Executive is unable substantially to perform his services hereunder for</w:t>
      </w:r>
    </w:p>
    <w:p>
      <w:pPr>
        <w:spacing w:after="0" w:line="46" w:lineRule="exact"/>
        <w:rPr>
          <w:rFonts w:ascii="Arial" w:cs="Arial" w:eastAsia="Arial" w:hAnsi="Arial"/>
          <w:sz w:val="16"/>
          <w:szCs w:val="16"/>
          <w:color w:val="auto"/>
        </w:rPr>
      </w:pPr>
    </w:p>
    <w:p>
      <w:pPr>
        <w:jc w:val="both"/>
        <w:ind w:left="328"/>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(1) a period of one hundred twenty (120) consecutive days, or (2) shorter periods aggregating one hundred eighty (180) days during any twelve (12) month period;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terminate the Executive’s employment under this Section 6(b) only upon thirty</w:t>
      </w:r>
    </w:p>
    <w:p>
      <w:pPr>
        <w:jc w:val="both"/>
        <w:ind w:left="328"/>
        <w:spacing w:after="0" w:line="287" w:lineRule="auto"/>
        <w:rPr>
          <w:rFonts w:ascii="Arial" w:cs="Arial" w:eastAsia="Arial" w:hAnsi="Arial"/>
          <w:sz w:val="16"/>
          <w:szCs w:val="16"/>
          <w:color w:val="auto"/>
        </w:rPr>
      </w:pPr>
      <w:r>
        <w:rPr>
          <w:rFonts w:ascii="Arial" w:cs="Arial" w:eastAsia="Arial" w:hAnsi="Arial"/>
          <w:sz w:val="16"/>
          <w:szCs w:val="16"/>
          <w:color w:val="auto"/>
        </w:rPr>
        <w:t>(30) days’ prior written notice given by the Company to the Executive. Notwithstanding such disability the Company shall continue to pay the Executive his Base Salary through the date of such termination. In addition, the Executive shall be entitled to a pro rata annual performance bonus (prorated by multiplying the full year bonus that otherwise would be due by the percentage derived from dividing the number of days in the then-current year prior to the termination on account of disability of the Executive by three hundred sixty-five (365) with respect to the fiscal year of the Company during which such termination occurs. Upon such a disability, stock options previously granted to the Executive that are vested and fully exercisable at the time of disability shall remain fully exercisable, by the Executive or his legal representatives, should he have such,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 All stock options and stock awards (and similar equity rights) that have not vested prior to the date of disability shall be forfeited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473075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3" w:name="page104"/>
    <w:bookmarkEnd w:id="103"/>
    <w:p>
      <w:pPr>
        <w:ind w:left="588" w:hanging="264"/>
        <w:spacing w:after="0"/>
        <w:tabs>
          <w:tab w:leader="none" w:pos="588"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Executive acts, or fails to act, in a manner that provides Cause for termination. For purposes of this Agreement, the term “Cause” means</w:t>
      </w:r>
    </w:p>
    <w:p>
      <w:pPr>
        <w:spacing w:after="0" w:line="46" w:lineRule="exact"/>
        <w:rPr>
          <w:rFonts w:ascii="Arial" w:cs="Arial" w:eastAsia="Arial" w:hAnsi="Arial"/>
          <w:sz w:val="16"/>
          <w:szCs w:val="16"/>
          <w:color w:val="auto"/>
        </w:rPr>
      </w:pPr>
    </w:p>
    <w:p>
      <w:pPr>
        <w:jc w:val="both"/>
        <w:ind w:left="328"/>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the Executive’s indictment for, or conviction of, any crime or serious offense involving money or other property that constitutes a felony in the jurisdiction involved; (2) the Executive’s willful and ongoing neglect of, or failure to discharge, duties (including fiduciary duties), responsibilities and obligations with respect to the Company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neglect or failure remains uncured for a period of thirty (30) days after written notice describing the same is given to the Executive by the Company; (3) the Executive’s violation of any of the non-competition provisions of Section 5 hereof or the Executive’s material breach of any provisions of Section 13 hereof or Exhibit A hereto, or (4) any act of fraud or embezzlement by the Executive involving the Company or any of its Affiliates. All determinations of Cause for termination pursuant to this Section 6 shall be made by the Board, and shall require at least a two-thirds (2/3) vote of the entire Board excluding the Executive, should he then be a member of the Board.</w:t>
      </w:r>
    </w:p>
    <w:p>
      <w:pPr>
        <w:spacing w:after="0" w:line="191" w:lineRule="exact"/>
        <w:rPr>
          <w:rFonts w:ascii="Arial" w:cs="Arial" w:eastAsia="Arial" w:hAnsi="Arial"/>
          <w:sz w:val="16"/>
          <w:szCs w:val="16"/>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Executive may terminate this Agreement on written notice to the Company in the event of a material breach of the terms of this Agreement by the Company if such breach continues uncured for thirty (30) days after written notice describing the breach is first given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Executive may terminate this Agreement if such breach is for the payment of money and continues uncured for ten (10)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describing such breach is first given. The Executive may also terminate this Agreement upon written notice to the Company if any one or more of the following shall occur:</w:t>
      </w:r>
    </w:p>
    <w:p>
      <w:pPr>
        <w:spacing w:after="0" w:line="188" w:lineRule="exact"/>
        <w:rPr>
          <w:rFonts w:ascii="Arial" w:cs="Arial" w:eastAsia="Arial" w:hAnsi="Arial"/>
          <w:sz w:val="18"/>
          <w:szCs w:val="18"/>
          <w:color w:val="auto"/>
        </w:rPr>
      </w:pPr>
    </w:p>
    <w:p>
      <w:pPr>
        <w:ind w:left="328" w:hanging="4"/>
        <w:spacing w:after="0" w:line="277" w:lineRule="auto"/>
        <w:tabs>
          <w:tab w:leader="none" w:pos="5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loss of material duties or authority of the Executive as Chairman, President and Chief Executive Officer, and such loss continues for thirty (30) days after written notice of such loss is given to the Company;</w:t>
      </w:r>
    </w:p>
    <w:p>
      <w:pPr>
        <w:spacing w:after="0" w:line="170" w:lineRule="exact"/>
        <w:rPr>
          <w:rFonts w:ascii="Arial" w:cs="Arial" w:eastAsia="Arial" w:hAnsi="Arial"/>
          <w:sz w:val="18"/>
          <w:szCs w:val="18"/>
          <w:color w:val="auto"/>
        </w:rPr>
      </w:pPr>
    </w:p>
    <w:p>
      <w:pPr>
        <w:jc w:val="both"/>
        <w:ind w:left="328" w:hanging="4"/>
        <w:spacing w:after="0" w:line="286" w:lineRule="auto"/>
        <w:tabs>
          <w:tab w:leader="none" w:pos="585"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a Prohibited Event occurs,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gives written notice of termination within ninety (90) days after such occurrence and such Prohibited Event is not remedied within thirty (30) days after such notice. For this purpose a “Prohibited Event” exists if the Executive is not continuously at least one (1) of Chairman, President or Chief Executive Officer of the Company during the Term;</w:t>
      </w:r>
    </w:p>
    <w:p>
      <w:pPr>
        <w:spacing w:after="0" w:line="165" w:lineRule="exact"/>
        <w:rPr>
          <w:rFonts w:ascii="Arial" w:cs="Arial" w:eastAsia="Arial" w:hAnsi="Arial"/>
          <w:sz w:val="17"/>
          <w:szCs w:val="17"/>
          <w:color w:val="auto"/>
        </w:rPr>
      </w:pPr>
    </w:p>
    <w:p>
      <w:pPr>
        <w:jc w:val="both"/>
        <w:ind w:left="328" w:hanging="4"/>
        <w:spacing w:after="0" w:line="257" w:lineRule="auto"/>
        <w:tabs>
          <w:tab w:leader="none" w:pos="57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shall make a general assignment for benefit of creditors, or any proceeding shall be instituted by the Company seeking to adjudicate it a bankrupt or insolvent, or seeking liquidation, winding up, reorganization, arrangement, adjustment, protection, relief, or composition of it or its debts under any law relating to bankruptcy, insolvency or reorganization or relief of debtors, or seeking entry of an order for relief or the appointment of a receiver, trustee, or other similar official for it or for any substantial part of its property, or the Company shall take any corporate action to authorize any of the actions set forth above in this Section 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487045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4" w:name="page105"/>
    <w:bookmarkEnd w:id="104"/>
    <w:p>
      <w:pPr>
        <w:jc w:val="both"/>
        <w:ind w:left="328" w:hanging="4"/>
        <w:spacing w:after="0" w:line="312" w:lineRule="auto"/>
        <w:tabs>
          <w:tab w:leader="none" w:pos="58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 involuntary petition shall be filed or an action or proceeding otherwise commenced against the Company seeking reorganization, arrangement or readjustment of the Company’s debts or for any other relief under the Federal Bankruptcy Code, as amended, or under any other bankruptcy or insolvency act or law, state or federal, now or hereafter existing and shall remain undismissed or unstayed for a period of thirty (30) days;</w:t>
      </w:r>
    </w:p>
    <w:p>
      <w:pPr>
        <w:spacing w:after="0" w:line="146" w:lineRule="exact"/>
        <w:rPr>
          <w:rFonts w:ascii="Arial" w:cs="Arial" w:eastAsia="Arial" w:hAnsi="Arial"/>
          <w:sz w:val="16"/>
          <w:szCs w:val="16"/>
          <w:color w:val="auto"/>
        </w:rPr>
      </w:pPr>
    </w:p>
    <w:p>
      <w:pPr>
        <w:ind w:left="568" w:hanging="244"/>
        <w:spacing w:after="0"/>
        <w:tabs>
          <w:tab w:leader="none" w:pos="568"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receiver, assignee, liquidator, trustee or similar officer for the Company or for all or any part of its property shall be appointed involuntarily; or</w:t>
      </w:r>
    </w:p>
    <w:p>
      <w:pPr>
        <w:spacing w:after="0" w:line="248" w:lineRule="exact"/>
        <w:rPr>
          <w:rFonts w:ascii="Arial" w:cs="Arial" w:eastAsia="Arial" w:hAnsi="Arial"/>
          <w:sz w:val="16"/>
          <w:szCs w:val="16"/>
          <w:color w:val="auto"/>
        </w:rPr>
      </w:pPr>
    </w:p>
    <w:p>
      <w:pPr>
        <w:jc w:val="both"/>
        <w:ind w:left="328" w:hanging="4"/>
        <w:spacing w:after="0" w:line="259" w:lineRule="auto"/>
        <w:tabs>
          <w:tab w:leader="none" w:pos="5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 material breach by the Company of any other material agreement with the Executive shall occur, if such breach continues uncured for thirty (30) days after written notice describing such breach is first given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Executive shall be permitted to terminate this Agreement if such breach is for the payment of money and continues uncured for ten (10) days after written notice describing such breach is first given.</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97" w:lineRule="auto"/>
        <w:tabs>
          <w:tab w:leader="none" w:pos="575"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addition to the above, during the period commencing on the six (6) month anniversary of a Change in Control (as defined in Section 12) of the Company and ending on the two (2) year anniversary of such Change in Control, the Executive may terminate this Agreement upon expiration of ninety (90) days’ prior written notice if “Good Reason” exists for the Executive’s termination. For this purpose, termination for “Good Reason” shall mean a termination by the Executive of his employment hereunder following the occurrence, without his prior written consent, of any of the following events, unless the Company fully cures all grounds for such termination within thirty (30) days after the Executive’s notice:</w:t>
      </w:r>
    </w:p>
    <w:p>
      <w:pPr>
        <w:spacing w:after="0" w:line="158" w:lineRule="exact"/>
        <w:rPr>
          <w:rFonts w:ascii="Arial" w:cs="Arial" w:eastAsia="Arial" w:hAnsi="Arial"/>
          <w:sz w:val="16"/>
          <w:szCs w:val="16"/>
          <w:color w:val="auto"/>
        </w:rPr>
      </w:pPr>
    </w:p>
    <w:p>
      <w:pPr>
        <w:ind w:left="968" w:right="20" w:firstLine="5"/>
        <w:spacing w:after="0" w:line="308" w:lineRule="auto"/>
        <w:tabs>
          <w:tab w:leader="none" w:pos="1195" w:val="left"/>
        </w:tabs>
        <w:numPr>
          <w:ilvl w:val="2"/>
          <w:numId w:val="44"/>
        </w:numPr>
        <w:rPr>
          <w:rFonts w:ascii="Arial" w:cs="Arial" w:eastAsia="Arial" w:hAnsi="Arial"/>
          <w:sz w:val="17"/>
          <w:szCs w:val="17"/>
          <w:color w:val="auto"/>
        </w:rPr>
      </w:pPr>
      <w:r>
        <w:rPr>
          <w:rFonts w:ascii="Arial" w:cs="Arial" w:eastAsia="Arial" w:hAnsi="Arial"/>
          <w:sz w:val="17"/>
          <w:szCs w:val="17"/>
          <w:color w:val="auto"/>
        </w:rPr>
        <w:t>any material adverse change in the Executive’s authority, duties, titles or offices (including reporting responsibility), or any significant increase in the Executive’s business travel obligations, from those existing immediately prior to the Change in Control;</w:t>
      </w:r>
    </w:p>
    <w:p>
      <w:pPr>
        <w:spacing w:after="0" w:line="146" w:lineRule="exact"/>
        <w:rPr>
          <w:rFonts w:ascii="Arial" w:cs="Arial" w:eastAsia="Arial" w:hAnsi="Arial"/>
          <w:sz w:val="17"/>
          <w:szCs w:val="17"/>
          <w:color w:val="auto"/>
        </w:rPr>
      </w:pPr>
    </w:p>
    <w:p>
      <w:pPr>
        <w:jc w:val="both"/>
        <w:ind w:left="968" w:firstLine="5"/>
        <w:spacing w:after="0" w:line="255" w:lineRule="auto"/>
        <w:tabs>
          <w:tab w:leader="none" w:pos="12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compensation plan in which the Executive participated immediately prior to such Change in Control and which is material to the Executive’s total compensation, including but not limited to the Company’s stock option, bonus and other plans or any substitute plans adopted prior to the Change in Control, unless an equitable arrangement (embodied in an ongoing substitute or alternative plan) has been made with respect to such plan, or any failure by the Company to continue the Executive’s participation therein (or in such substitute or alternative plan) on a basis no less favorable to the Executive, both in terms of the amount of benefits provided and the level of the Executive’s participation relative to other participants, as existed immediately prior to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487680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5" w:name="page106"/>
    <w:bookmarkEnd w:id="105"/>
    <w:p>
      <w:pPr>
        <w:jc w:val="both"/>
        <w:ind w:left="968" w:firstLine="5"/>
        <w:spacing w:after="0" w:line="293" w:lineRule="auto"/>
        <w:tabs>
          <w:tab w:leader="none" w:pos="129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any failure by the Company to continue to provide the Executive with benefits substantially similar to those enjoyed by the Executive under any of the Company’s retirement, life insurance, medical, health and accident, or disability plans, programs or arrangements in which the Executive was participating immediately prior to such Change in Control, the taking of any action by the Company that would directly or indirectly materially reduce any of such benefits or deprive the Executive of any perquisite enjoyed by the Executive at the time of such Change in Control, or the failure by the Company to maintain a vacation policy with respect to the Executive that is at least as favorable as the vacation policy (whether formal or informal) in place with respect to the Executive immediately prior to such Change in Control; or</w:t>
      </w:r>
    </w:p>
    <w:p>
      <w:pPr>
        <w:spacing w:after="0" w:line="164" w:lineRule="exact"/>
        <w:rPr>
          <w:rFonts w:ascii="Arial" w:cs="Arial" w:eastAsia="Arial" w:hAnsi="Arial"/>
          <w:sz w:val="16"/>
          <w:szCs w:val="16"/>
          <w:color w:val="auto"/>
        </w:rPr>
      </w:pPr>
    </w:p>
    <w:p>
      <w:pPr>
        <w:ind w:left="968" w:firstLine="5"/>
        <w:spacing w:after="0" w:line="277" w:lineRule="auto"/>
        <w:tabs>
          <w:tab w:leader="none" w:pos="128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in writing of its obligation to perform this Agreement by any successor to all or substantially all of the assets of the Company upon a merger, consolidation, sale or similar transaction.</w:t>
      </w:r>
    </w:p>
    <w:p>
      <w:pPr>
        <w:spacing w:after="0" w:line="170" w:lineRule="exact"/>
        <w:rPr>
          <w:rFonts w:ascii="Arial" w:cs="Arial" w:eastAsia="Arial" w:hAnsi="Arial"/>
          <w:sz w:val="18"/>
          <w:szCs w:val="18"/>
          <w:color w:val="auto"/>
        </w:rPr>
      </w:pPr>
    </w:p>
    <w:p>
      <w:pPr>
        <w:jc w:val="both"/>
        <w:ind w:left="328" w:hanging="4"/>
        <w:spacing w:after="0" w:line="286" w:lineRule="auto"/>
        <w:tabs>
          <w:tab w:leader="none" w:pos="585"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 addition, the Executive may elect to terminate his employment, at his own initiative, for any reason or for no reason, during the six- (6) month period commencing on the six (6) -month anniversary of a Change in Control of the Company and ending on the one (1)-year anniversary of such Change in Control, in which case such termination of employment shall also be deemed to be for “Good Reason.”</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Severance and Benefit Continuation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69" w:lineRule="auto"/>
        <w:tabs>
          <w:tab w:leader="none" w:pos="572"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Termination for Cause or Voluntary Termination by the Executive. </w:t>
      </w:r>
      <w:r>
        <w:rPr>
          <w:rFonts w:ascii="Arial" w:cs="Arial" w:eastAsia="Arial" w:hAnsi="Arial"/>
          <w:sz w:val="17"/>
          <w:szCs w:val="17"/>
          <w:color w:val="auto"/>
        </w:rPr>
        <w:t>If the Company terminates this Agreement for Cause pursuant to Section 6(c)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hereof, or if the Executive voluntarily terminates this Agreement other than pursuant to Section 7 or 8 hereof (which termination alone shall not constitute a breach of this Agreement), no severance or benefit continuation provisions shall apply;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Executive shall have the same opportunity to continue group health benefits at the Executive’s expense in accordance with the Consolidated Omnibus Budget Reconciliation Act of 1985 (“COBRA”) as is available generally to other employees terminating employment with the Company. All stock options and stock awards (and similar equity rights) held by the Executive that have vested prior to such termination of this Agreement may be exercised by the Executive for a period of one hundred eighty (180) days after the date of termination (subject to earlier termination in connection with a change in control of the Company and similar events as provided in the applicable plan and/or award agreement), at which time they shall automatically be forfeited if not exercised. All stock options and stock awards (and similar equity rights) that have not vested prior to such termination shall be forfeited by the Executive. For purposes of this Agreement, an election by the Company not to renew this Agreement beyond the end of the then-current Term shall be considered a termination of this Agreement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483235</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6" w:name="page107"/>
    <w:bookmarkEnd w:id="106"/>
    <w:p>
      <w:pPr>
        <w:jc w:val="both"/>
        <w:ind w:left="4" w:hanging="4"/>
        <w:spacing w:after="0" w:line="259" w:lineRule="auto"/>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Death or Disability. </w:t>
      </w:r>
      <w:r>
        <w:rPr>
          <w:rFonts w:ascii="Arial" w:cs="Arial" w:eastAsia="Arial" w:hAnsi="Arial"/>
          <w:sz w:val="18"/>
          <w:szCs w:val="18"/>
          <w:color w:val="auto"/>
        </w:rPr>
        <w:t>In the event of termination of this Agreement pursuant to Section 6(a) or 6(b) by reason of the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of the Executive, in addition to the Base Salary payments and pro rata annual performance bonus provided for in paragraph (a) or (b) of Section 6, as applicable, the Company shall continue to provide all benefits subject to COBRA, at its sole cost and expense, with respect to the Executive and his dependents for the maximum period provided by COBRA.</w:t>
      </w:r>
    </w:p>
    <w:p>
      <w:pPr>
        <w:spacing w:after="0" w:line="186" w:lineRule="exact"/>
        <w:rPr>
          <w:rFonts w:ascii="Arial" w:cs="Arial" w:eastAsia="Arial" w:hAnsi="Arial"/>
          <w:sz w:val="18"/>
          <w:szCs w:val="18"/>
          <w:color w:val="auto"/>
        </w:rPr>
      </w:pPr>
    </w:p>
    <w:p>
      <w:pPr>
        <w:jc w:val="both"/>
        <w:ind w:left="4" w:hanging="4"/>
        <w:spacing w:after="0" w:line="259"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Other Than for Cause or Termination by the Executive Based on a Material Breach by the Company. </w:t>
      </w:r>
      <w:r>
        <w:rPr>
          <w:rFonts w:ascii="Arial" w:cs="Arial" w:eastAsia="Arial" w:hAnsi="Arial"/>
          <w:sz w:val="18"/>
          <w:szCs w:val="18"/>
          <w:color w:val="auto"/>
        </w:rPr>
        <w:t>If (1)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terminates this Agreement and the Executive’s employment other than pursuant to Section 6 hereof or (2) the Executive terminates this Agreement and his employment pursuant to Section 7, and in each case the termination of employment does not occur on or within two (2) years following the consummation of a Change in Control of the Company, then:</w:t>
      </w:r>
    </w:p>
    <w:p>
      <w:pPr>
        <w:spacing w:after="0" w:line="186" w:lineRule="exact"/>
        <w:rPr>
          <w:rFonts w:ascii="Arial" w:cs="Arial" w:eastAsia="Arial" w:hAnsi="Arial"/>
          <w:sz w:val="18"/>
          <w:szCs w:val="18"/>
          <w:color w:val="auto"/>
        </w:rPr>
      </w:pPr>
    </w:p>
    <w:p>
      <w:pPr>
        <w:jc w:val="both"/>
        <w:ind w:left="644" w:firstLine="5"/>
        <w:spacing w:after="0" w:line="257" w:lineRule="auto"/>
        <w:tabs>
          <w:tab w:leader="none" w:pos="8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shall pay the Executive in accordance with its normal payroll practice an amount equal to the Executive’s Base Salary at the annualized rate in effect on the date of such termination, such payment to be made in equal monthly installments (rounded down to the nearest whole cent) over a period of twelve (12) consecutive months following the Executive’s Separation from Service (as defined in Section 12) (the “Severance Period”), with the first installment payable, subject to Section 14(b), in the month following the month in which the Executive’s Separation from Service occurs;</w:t>
      </w:r>
    </w:p>
    <w:p>
      <w:pPr>
        <w:spacing w:after="0" w:line="188" w:lineRule="exact"/>
        <w:rPr>
          <w:rFonts w:ascii="Arial" w:cs="Arial" w:eastAsia="Arial" w:hAnsi="Arial"/>
          <w:sz w:val="18"/>
          <w:szCs w:val="18"/>
          <w:color w:val="auto"/>
        </w:rPr>
      </w:pPr>
    </w:p>
    <w:p>
      <w:pPr>
        <w:jc w:val="both"/>
        <w:ind w:left="644" w:firstLine="5"/>
        <w:spacing w:after="0" w:line="289" w:lineRule="auto"/>
        <w:tabs>
          <w:tab w:leader="none" w:pos="9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all Company employee benefit plans and programs (including, but not limited to, the plans and programs set forth in Section 3(f)), other than participation in any Company tax-qualified retirement plan and any bonus, equity or other incentive plans and programs, applicable to the Executive shall be continued for the Severance Period (or, if such benefits are not available, or cannot be provided due to applicable law, the Company shall pay the Executive a lump sum cash amount equal to the after-tax economic equivalent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benefit to be provided on an insured basis, such lump sum cash value shall be the present value of the premiums expected to be paid for such coverage, and with respect to other benefits, such value shall be the present value of the expected cost to the Company of providing such benefits, and that, in all events, such payment shall be made within ninety (90) days following the Executive’s Separation from Service). In the case of all benefits subject to COBRA, the Company shall continue to provide such benefits at its expense with respect to the Executive and his dependents for the maximum period provided by COBRA; and</w:t>
      </w:r>
    </w:p>
    <w:p>
      <w:pPr>
        <w:spacing w:after="0" w:line="166" w:lineRule="exact"/>
        <w:rPr>
          <w:rFonts w:ascii="Arial" w:cs="Arial" w:eastAsia="Arial" w:hAnsi="Arial"/>
          <w:sz w:val="16"/>
          <w:szCs w:val="16"/>
          <w:color w:val="auto"/>
        </w:rPr>
      </w:pPr>
    </w:p>
    <w:p>
      <w:pPr>
        <w:jc w:val="both"/>
        <w:ind w:left="644" w:firstLine="5"/>
        <w:spacing w:after="0" w:line="259" w:lineRule="auto"/>
        <w:tabs>
          <w:tab w:leader="none" w:pos="97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stock options and awards of restricted stock (and similar equity rights), to the extent outstanding and vested on the date of such termination of this Agreement, shall remain fully exercisable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485775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7" w:name="page108"/>
    <w:bookmarkEnd w:id="107"/>
    <w:p>
      <w:pPr>
        <w:jc w:val="both"/>
        <w:ind w:left="4" w:hanging="4"/>
        <w:spacing w:after="0" w:line="257" w:lineRule="auto"/>
        <w:tabs>
          <w:tab w:leader="none" w:pos="25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Involuntary Termination Other Than for Cause, Termination by the Executive Based on a Material Breach by the Company or for Good Reason, or Nonrenewal by the Company, or Upon or After a Change in Control</w:t>
      </w:r>
      <w:r>
        <w:rPr>
          <w:rFonts w:ascii="Arial" w:cs="Arial" w:eastAsia="Arial" w:hAnsi="Arial"/>
          <w:sz w:val="18"/>
          <w:szCs w:val="18"/>
          <w:color w:val="auto"/>
        </w:rPr>
        <w:t>. If (1) the Company terminates this Agreement and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other than pursuant to Section 6 hereof or (2) the Executive terminates this Agreement and his employment pursuant to Section 7 or 8, and in each case the termination of employment occurs on or within two (2) years of the consummation of a Change in Control of the Company, then:</w:t>
      </w:r>
    </w:p>
    <w:p>
      <w:pPr>
        <w:spacing w:after="0" w:line="188" w:lineRule="exact"/>
        <w:rPr>
          <w:rFonts w:ascii="Arial" w:cs="Arial" w:eastAsia="Arial" w:hAnsi="Arial"/>
          <w:sz w:val="18"/>
          <w:szCs w:val="18"/>
          <w:color w:val="auto"/>
        </w:rPr>
      </w:pPr>
    </w:p>
    <w:p>
      <w:pPr>
        <w:jc w:val="both"/>
        <w:ind w:left="644" w:firstLine="5"/>
        <w:spacing w:after="0" w:line="264" w:lineRule="auto"/>
        <w:tabs>
          <w:tab w:leader="none" w:pos="8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shall pay the Executive a cash lump sum equal to one (1) times the Executive’s Base Salary at the annualized rate in effect on the date of such termination, such payment to be made, subject to Section 14(b), in the month following the month in which the Executive’s Separation from Service occurs;</w:t>
      </w:r>
    </w:p>
    <w:p>
      <w:pPr>
        <w:spacing w:after="0" w:line="181" w:lineRule="exact"/>
        <w:rPr>
          <w:rFonts w:ascii="Arial" w:cs="Arial" w:eastAsia="Arial" w:hAnsi="Arial"/>
          <w:sz w:val="18"/>
          <w:szCs w:val="18"/>
          <w:color w:val="auto"/>
        </w:rPr>
      </w:pPr>
    </w:p>
    <w:p>
      <w:pPr>
        <w:jc w:val="both"/>
        <w:ind w:left="644" w:firstLine="5"/>
        <w:spacing w:after="0" w:line="289" w:lineRule="auto"/>
        <w:tabs>
          <w:tab w:leader="none" w:pos="914"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all Company employee benefit plans and programs (including, but not limited to, the plans and programs set forth in Section 3(f), other than participation in any Company tax-qualified retirement plan, applicable to the Executive shall be continued for one (1) year from the date of such termination of employment (or, if such benefits are not available, or cannot be provided due to applicable law, the Company shall pay the Executive a lump sum cash amount equal to the after-tax economic equivalent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r>
        <w:rPr>
          <w:rFonts w:ascii="Arial" w:cs="Arial" w:eastAsia="Arial" w:hAnsi="Arial"/>
          <w:sz w:val="16"/>
          <w:szCs w:val="16"/>
          <w:i w:val="1"/>
          <w:iCs w:val="1"/>
          <w:color w:val="auto"/>
        </w:rPr>
        <w:t>,</w:t>
      </w:r>
      <w:r>
        <w:rPr>
          <w:rFonts w:ascii="Arial" w:cs="Arial" w:eastAsia="Arial" w:hAnsi="Arial"/>
          <w:sz w:val="16"/>
          <w:szCs w:val="16"/>
          <w:color w:val="auto"/>
        </w:rPr>
        <w:t xml:space="preserve"> with respect to any benefit to be provided on an insured basis, such lump sum cash value shall be the present value of the premiums expected to be paid for such coverage, and with respect to other benefits, such value shall be the present value of the expected cost to the Company of providing such benefits and that, in all events, such payment shall be made within ninety (90) days following the Executive’s Separation from Service). In the case of all benefits subject to COBRA, the Company shall continue to provide such benefits at its sole cost and expense with respect to the Executive and his dependents for the maximum period provided by COBRA; and</w:t>
      </w:r>
    </w:p>
    <w:p>
      <w:pPr>
        <w:spacing w:after="0" w:line="166" w:lineRule="exact"/>
        <w:rPr>
          <w:rFonts w:ascii="Arial" w:cs="Arial" w:eastAsia="Arial" w:hAnsi="Arial"/>
          <w:sz w:val="16"/>
          <w:szCs w:val="16"/>
          <w:color w:val="auto"/>
        </w:rPr>
      </w:pPr>
    </w:p>
    <w:p>
      <w:pPr>
        <w:jc w:val="both"/>
        <w:ind w:left="644" w:firstLine="5"/>
        <w:spacing w:after="0" w:line="255" w:lineRule="auto"/>
        <w:tabs>
          <w:tab w:leader="none" w:pos="9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stock options and awards of restricted stock (and similar equity rights), to the extent then vested and outstanding (after giving effect to any accelerated vesting pursuant to Section 3 (c) hereof), shall remain fully exercisable through their respective original maximum terms (provided that, after giving effect to such accelerated vesting and providing the Executive a reasonable opportunity to exercise such vested options and similar awards, such options and awards shall be subject to earlier termination in connection with a change in control of the Company and similar events as provided in the applicable plan and/or award agreement) and otherwise in accordance with their respective terms and conditions as if no Change in Control had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489585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8" w:name="page109"/>
    <w:bookmarkEnd w:id="108"/>
    <w:p>
      <w:pPr>
        <w:jc w:val="both"/>
        <w:ind w:left="328"/>
        <w:spacing w:after="0" w:line="286" w:lineRule="auto"/>
        <w:rPr>
          <w:sz w:val="20"/>
          <w:szCs w:val="20"/>
          <w:color w:val="auto"/>
        </w:rPr>
      </w:pPr>
      <w:r>
        <w:rPr>
          <w:rFonts w:ascii="Arial" w:cs="Arial" w:eastAsia="Arial" w:hAnsi="Arial"/>
          <w:sz w:val="16"/>
          <w:szCs w:val="16"/>
          <w:color w:val="auto"/>
        </w:rPr>
        <w:t>(e) The payments provided in Section 9(c) and 9(d) are intended as enhanced severance for a termination by the Company without Cause, or a termination by the Executive in the circumstances provided. As a condition of receiving such payments, the Executive or his legal representatives, should he have such, shall first execute and deliver to the Company within twenty-one (21) days following such termination of employment a general release of all claims against the Company, its Affiliates, agents and employees (other than any claims or rights pursuant to the Agreement or pursuant to equity or employee benefit plans), in a form and substance satisfactory to the Company, and shall not revoke such release within any revocation period provided under applicable law. In connection with such release by the Executive, the Company shall execute and deliver a comparable release of claims against the Executive within twenty-one (21) days following such termination of employment. Notwithstanding the foregoing, the Executive may elect to forego the severance payments provided herein, in which event neither party shall be required to execute a release of the other. Notwithstanding the foregoing provisions of this section 9(e), no release to be granted by the Executive shall be required to cause the Executive to release the Company from, waive, or forego in any way any of the Executive’s rights to indemnification under the applicable provisions of the Certificate of Incorporation or By-laws of the Company or any then-existing agreement between the Company and the Executive with respect thereto; and no release to be granted by the Company hereunder shall apply to any obligation of the Executive pursuant to this Agreement or any act of fraud or material dishonesty by the Executive. In addition, any release provided by one party to the other party pursuant to this Section 9(e) shall be null and void if the other party does not timely provide the release required hereunder (or, in the case of the release provided by the Company, if the Executive revokes his release within any revocation period provided by applicable law).</w:t>
      </w:r>
    </w:p>
    <w:p>
      <w:pPr>
        <w:spacing w:after="0" w:line="168" w:lineRule="exact"/>
        <w:rPr>
          <w:sz w:val="20"/>
          <w:szCs w:val="20"/>
          <w:color w:val="auto"/>
        </w:rPr>
      </w:pPr>
    </w:p>
    <w:p>
      <w:pPr>
        <w:ind w:left="328" w:hanging="328"/>
        <w:spacing w:after="0"/>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87" w:lineRule="auto"/>
        <w:rPr>
          <w:rFonts w:ascii="Arial" w:cs="Arial" w:eastAsia="Arial" w:hAnsi="Arial"/>
          <w:sz w:val="18"/>
          <w:szCs w:val="18"/>
          <w:color w:val="auto"/>
        </w:rPr>
      </w:pPr>
      <w:r>
        <w:rPr>
          <w:rFonts w:ascii="Arial" w:cs="Arial" w:eastAsia="Arial" w:hAnsi="Arial"/>
          <w:sz w:val="16"/>
          <w:szCs w:val="16"/>
          <w:color w:val="auto"/>
        </w:rPr>
        <w:t>Following the termination of his employment, the Executive agrees to cooperate with, and assist, the Company to ensure a smooth transition in management and, if requested by the Company, to make himself available to consult during regular business hours at mutually agreed upon times for up to a three (3) month period thereafter. At any time following the termination of his employment, the Executive will provide such information as the Company may request with respect to any Company- related transaction or other matter in which the Executive was involved in any way while employed by the Company. The Executive further agrees, during the Term of this Agreement and thereafter, to assist and cooperate with the Company in connection with the defense or prosecution of any claim that may be made against, or by, the Company or its Affiliates, in connection with any dispute or claim of any kind involving the Company or its Affiliates, including providing testimony in any proceeding before any arbitral, administrative, judicial, legislative or other body or agency. The Executive shall be entitled to reimbursement for all properly documented expenses reasonably incurred in connection with rendering transition services under this Section, including, but not limited to, reimbursement for all reasonable travel, lodging, meal expenses and legal fees, and the Executive shall be entitled to a per diem amount for his services equal to his then most recent annualized Base Salary under this Agreement, divided by two hundred forty (240)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476885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9" w:name="page110"/>
    <w:bookmarkEnd w:id="109"/>
    <w:p>
      <w:pPr>
        <w:ind w:left="328" w:hanging="328"/>
        <w:spacing w:after="0"/>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The Executive shall not be required to mitigate the amount of any payment provided for hereunder by seeking other employment or otherwise, nor shall the amount of any payment provided for hereunder be reduced by any compensation earned by the Executive as the result of employment by another employer after the date of termination of employment by the Company.</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used herein, the following terms have the following meaning:</w:t>
      </w:r>
    </w:p>
    <w:p>
      <w:pPr>
        <w:spacing w:after="0" w:line="225" w:lineRule="exact"/>
        <w:rPr>
          <w:rFonts w:ascii="Arial" w:cs="Arial" w:eastAsia="Arial" w:hAnsi="Arial"/>
          <w:sz w:val="18"/>
          <w:szCs w:val="18"/>
          <w:color w:val="auto"/>
        </w:rPr>
      </w:pPr>
    </w:p>
    <w:p>
      <w:pPr>
        <w:ind w:left="328" w:right="20" w:hanging="4"/>
        <w:spacing w:after="0" w:line="308" w:lineRule="auto"/>
        <w:tabs>
          <w:tab w:leader="none" w:pos="598" w:val="left"/>
        </w:tabs>
        <w:numPr>
          <w:ilvl w:val="2"/>
          <w:numId w:val="51"/>
        </w:numPr>
        <w:rPr>
          <w:rFonts w:ascii="Arial" w:cs="Arial" w:eastAsia="Arial" w:hAnsi="Arial"/>
          <w:sz w:val="17"/>
          <w:szCs w:val="17"/>
          <w:color w:val="auto"/>
        </w:rPr>
      </w:pPr>
      <w:r>
        <w:rPr>
          <w:rFonts w:ascii="Arial" w:cs="Arial" w:eastAsia="Arial" w:hAnsi="Arial"/>
          <w:sz w:val="17"/>
          <w:szCs w:val="17"/>
          <w:color w:val="auto"/>
        </w:rPr>
        <w:t>“Affiliate” means and includes any person, corporation or other entity controlling, controlled by or under common control with the person, corporation or other entity in question, determined in accordance with Rule 12b-2 under the Securities Exchange Act of 1934, as amended).</w:t>
      </w:r>
    </w:p>
    <w:p>
      <w:pPr>
        <w:spacing w:after="0" w:line="146" w:lineRule="exact"/>
        <w:rPr>
          <w:rFonts w:ascii="Arial" w:cs="Arial" w:eastAsia="Arial" w:hAnsi="Arial"/>
          <w:sz w:val="17"/>
          <w:szCs w:val="17"/>
          <w:color w:val="auto"/>
        </w:rPr>
      </w:pPr>
    </w:p>
    <w:p>
      <w:pPr>
        <w:ind w:left="368" w:hanging="251"/>
        <w:spacing w:after="0"/>
        <w:tabs>
          <w:tab w:leader="none" w:pos="3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25" w:lineRule="exact"/>
        <w:rPr>
          <w:rFonts w:ascii="Arial" w:cs="Arial" w:eastAsia="Arial" w:hAnsi="Arial"/>
          <w:sz w:val="18"/>
          <w:szCs w:val="18"/>
          <w:color w:val="auto"/>
        </w:rPr>
      </w:pPr>
    </w:p>
    <w:p>
      <w:pPr>
        <w:jc w:val="both"/>
        <w:ind w:left="328" w:hanging="4"/>
        <w:spacing w:after="0" w:line="312" w:lineRule="auto"/>
        <w:tabs>
          <w:tab w:leader="none" w:pos="543" w:val="left"/>
        </w:tabs>
        <w:numPr>
          <w:ilvl w:val="2"/>
          <w:numId w:val="52"/>
        </w:numPr>
        <w:rPr>
          <w:rFonts w:ascii="Arial" w:cs="Arial" w:eastAsia="Arial" w:hAnsi="Arial"/>
          <w:sz w:val="16"/>
          <w:szCs w:val="16"/>
          <w:color w:val="auto"/>
        </w:rPr>
      </w:pPr>
      <w:r>
        <w:rPr>
          <w:rFonts w:ascii="Arial" w:cs="Arial" w:eastAsia="Arial" w:hAnsi="Arial"/>
          <w:sz w:val="16"/>
          <w:szCs w:val="16"/>
          <w:color w:val="auto"/>
        </w:rPr>
        <w:t>Any Person, other than the Company, its Affiliates or any Company employee benefit plan (including any trustee of such plan acting as trustee), is or becomes the Beneficial Owner, directly or indirectly, of securities of the Company representing more than fifty percent (50%) of the combined voting power of the then outstanding securities entitled to vote generally in the election of directors (“Voting Securities”) of the Company; or</w:t>
      </w:r>
    </w:p>
    <w:p>
      <w:pPr>
        <w:spacing w:after="0" w:line="147" w:lineRule="exact"/>
        <w:rPr>
          <w:sz w:val="20"/>
          <w:szCs w:val="20"/>
          <w:color w:val="auto"/>
        </w:rPr>
      </w:pPr>
    </w:p>
    <w:p>
      <w:pPr>
        <w:jc w:val="both"/>
        <w:ind w:left="328" w:hanging="4"/>
        <w:spacing w:after="0" w:line="257" w:lineRule="auto"/>
        <w:tabs>
          <w:tab w:leader="none" w:pos="6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Individuals who constitute the Board of the Company (the “Incumbent Directors”),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188" w:lineRule="exact"/>
        <w:rPr>
          <w:rFonts w:ascii="Arial" w:cs="Arial" w:eastAsia="Arial" w:hAnsi="Arial"/>
          <w:sz w:val="18"/>
          <w:szCs w:val="18"/>
          <w:color w:val="auto"/>
        </w:rPr>
      </w:pPr>
    </w:p>
    <w:p>
      <w:pPr>
        <w:jc w:val="both"/>
        <w:ind w:left="328" w:hanging="4"/>
        <w:spacing w:after="0" w:line="293"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Consummation by the Company of a recapitalization, reorganization, merger, consolidation or other similar transaction (a “Business Combination”), with respect to which all or substantially all of the individuals and entities who were the beneficial owners of the Voting Securities immediately prior such Business Combination (the “Incumbent Shareholders”)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“Surviving Entity”), in substantially the same proportion as their ownership of such Voting Securities immediately prior to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471805</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0" w:name="page111"/>
    <w:bookmarkEnd w:id="110"/>
    <w:p>
      <w:pPr>
        <w:jc w:val="both"/>
        <w:ind w:left="328" w:hanging="4"/>
        <w:spacing w:after="0" w:line="257" w:lineRule="auto"/>
        <w:tabs>
          <w:tab w:leader="none" w:pos="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For purposes of this definition, the following terms shall have the meanings set forth below:</w:t>
      </w:r>
    </w:p>
    <w:p>
      <w:pPr>
        <w:spacing w:after="0" w:line="225" w:lineRule="exact"/>
        <w:rPr>
          <w:sz w:val="20"/>
          <w:szCs w:val="20"/>
          <w:color w:val="auto"/>
        </w:rPr>
      </w:pPr>
    </w:p>
    <w:p>
      <w:pPr>
        <w:ind w:left="628" w:hanging="304"/>
        <w:spacing w:after="0"/>
        <w:tabs>
          <w:tab w:leader="none" w:pos="6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225" w:lineRule="exact"/>
        <w:rPr>
          <w:rFonts w:ascii="Arial" w:cs="Arial" w:eastAsia="Arial" w:hAnsi="Arial"/>
          <w:sz w:val="18"/>
          <w:szCs w:val="18"/>
          <w:color w:val="auto"/>
        </w:rPr>
      </w:pPr>
    </w:p>
    <w:p>
      <w:pPr>
        <w:ind w:left="608" w:hanging="284"/>
        <w:spacing w:after="0"/>
        <w:tabs>
          <w:tab w:leader="none" w:pos="6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and</w:t>
      </w:r>
    </w:p>
    <w:p>
      <w:pPr>
        <w:spacing w:after="0" w:line="225" w:lineRule="exact"/>
        <w:rPr>
          <w:rFonts w:ascii="Arial" w:cs="Arial" w:eastAsia="Arial" w:hAnsi="Arial"/>
          <w:sz w:val="18"/>
          <w:szCs w:val="18"/>
          <w:color w:val="auto"/>
        </w:rPr>
      </w:pPr>
    </w:p>
    <w:p>
      <w:pPr>
        <w:ind w:left="608" w:hanging="284"/>
        <w:spacing w:after="0"/>
        <w:tabs>
          <w:tab w:leader="none" w:pos="6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 shall have the meaning as used in Sections 13(d) and 14(d) of the Exchange Act.</w:t>
      </w:r>
    </w:p>
    <w:p>
      <w:pPr>
        <w:spacing w:after="0" w:line="225" w:lineRule="exact"/>
        <w:rPr>
          <w:sz w:val="20"/>
          <w:szCs w:val="20"/>
          <w:color w:val="auto"/>
        </w:rPr>
      </w:pPr>
    </w:p>
    <w:p>
      <w:pPr>
        <w:jc w:val="both"/>
        <w:ind w:left="328"/>
        <w:spacing w:after="0" w:line="264" w:lineRule="auto"/>
        <w:rPr>
          <w:sz w:val="20"/>
          <w:szCs w:val="20"/>
          <w:color w:val="auto"/>
        </w:rPr>
      </w:pPr>
      <w:r>
        <w:rPr>
          <w:rFonts w:ascii="Arial" w:cs="Arial" w:eastAsia="Arial" w:hAnsi="Arial"/>
          <w:sz w:val="18"/>
          <w:szCs w:val="18"/>
          <w:color w:val="auto"/>
        </w:rPr>
        <w:t>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(“Code Section 409A”).</w:t>
      </w:r>
    </w:p>
    <w:p>
      <w:pPr>
        <w:spacing w:after="0" w:line="181" w:lineRule="exact"/>
        <w:rPr>
          <w:sz w:val="20"/>
          <w:szCs w:val="20"/>
          <w:color w:val="auto"/>
        </w:rPr>
      </w:pPr>
    </w:p>
    <w:p>
      <w:pPr>
        <w:jc w:val="both"/>
        <w:ind w:left="328" w:hanging="4"/>
        <w:spacing w:after="0" w:line="259" w:lineRule="auto"/>
        <w:tabs>
          <w:tab w:leader="none" w:pos="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“Company’s Field of Interest” means the primary businesses of the Company as described in the Company’s then two most recent Annual Reports on Form 10-K filed by the Company with the Securities and Exchange Commission (subject to any further description of such businesses that may be included in any Quarterly Reports on Form 10-Q or Current Reports on Form 8-K thereafter filed by the Company with the Securities and Exchange Commission) or as determined from time to time by the Board during the Term hereof.</w:t>
      </w:r>
    </w:p>
    <w:p>
      <w:pPr>
        <w:spacing w:after="0" w:line="186" w:lineRule="exact"/>
        <w:rPr>
          <w:rFonts w:ascii="Arial" w:cs="Arial" w:eastAsia="Arial" w:hAnsi="Arial"/>
          <w:sz w:val="18"/>
          <w:szCs w:val="18"/>
          <w:color w:val="auto"/>
        </w:rPr>
      </w:pPr>
    </w:p>
    <w:p>
      <w:pPr>
        <w:jc w:val="both"/>
        <w:ind w:left="328" w:hanging="4"/>
        <w:spacing w:after="0" w:line="264" w:lineRule="auto"/>
        <w:tabs>
          <w:tab w:leader="none" w:pos="6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As used herein, a “Separation from Service”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Representations by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The Executive represents and warrants that he has full right, power and authority to execute this Agreement and perform his obligations hereunder and that this Agreement has been duly executed by the Executive and such execution and the performance of this Agreement by the Executive do not and will not result in any conflict, breach or violation of or default under any other agreement or any judgment, order or decree to which the Executive is a party or by which he is bound. The Executive acknowledges and agrees that any material breach of the representations set forth in this Section 13 will constitute Cause under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487045</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1" w:name="page112"/>
    <w:bookmarkEnd w:id="111"/>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p>
    <w:p>
      <w:pPr>
        <w:spacing w:after="0" w:line="225" w:lineRule="exact"/>
        <w:rPr>
          <w:rFonts w:ascii="Arial" w:cs="Arial" w:eastAsia="Arial" w:hAnsi="Arial"/>
          <w:sz w:val="18"/>
          <w:szCs w:val="18"/>
          <w:color w:val="auto"/>
        </w:rPr>
      </w:pPr>
    </w:p>
    <w:p>
      <w:pPr>
        <w:jc w:val="both"/>
        <w:ind w:left="328" w:hanging="4"/>
        <w:spacing w:after="0" w:line="257" w:lineRule="auto"/>
        <w:tabs>
          <w:tab w:leader="none" w:pos="795" w:val="left"/>
        </w:tabs>
        <w:numPr>
          <w:ilvl w:val="1"/>
          <w:numId w:val="58"/>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jc w:val="both"/>
        <w:ind w:left="328" w:hanging="4"/>
        <w:spacing w:after="0" w:line="254" w:lineRule="auto"/>
        <w:tabs>
          <w:tab w:leader="none" w:pos="8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Executive is a “specified employee” within the meaning of Treasury Regulation Section 1.409A-1(i) as of the date of the Executive’s Separation from Service, the Executive shall not be entitled to any payment or benefit pursuant to Section 9(c) or 9(d) until the earlier of (i) the date which is six (6) months after his Separation from Service for any reason other than death, or (ii) the date of the Executive’s death. The provisions of this Section 14(b)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14(b)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92" w:lineRule="exact"/>
        <w:rPr>
          <w:rFonts w:ascii="Arial" w:cs="Arial" w:eastAsia="Arial" w:hAnsi="Arial"/>
          <w:sz w:val="18"/>
          <w:szCs w:val="18"/>
          <w:color w:val="auto"/>
        </w:rPr>
      </w:pPr>
    </w:p>
    <w:p>
      <w:pPr>
        <w:jc w:val="both"/>
        <w:ind w:left="328" w:hanging="4"/>
        <w:spacing w:after="0" w:line="297" w:lineRule="auto"/>
        <w:tabs>
          <w:tab w:leader="none" w:pos="827"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the extent that any benefits pursuant to Section 9(c)(ii) or 9(d)(ii) or reimbursements pursuant to Section 3(d) or 3(e) are taxable to the Executive, any reimbursement payment due to the Executive pursuant to any such provision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467360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2" w:name="page113"/>
    <w:bookmarkEnd w:id="112"/>
    <w:p>
      <w:pPr>
        <w:ind w:left="328" w:hanging="328"/>
        <w:spacing w:after="0"/>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68" w:lineRule="auto"/>
        <w:rPr>
          <w:rFonts w:ascii="Arial" w:cs="Arial" w:eastAsia="Arial" w:hAnsi="Arial"/>
          <w:sz w:val="18"/>
          <w:szCs w:val="18"/>
          <w:color w:val="auto"/>
        </w:rPr>
      </w:pPr>
      <w:r>
        <w:rPr>
          <w:rFonts w:ascii="Arial" w:cs="Arial" w:eastAsia="Arial" w:hAnsi="Arial"/>
          <w:sz w:val="17"/>
          <w:szCs w:val="17"/>
          <w:color w:val="auto"/>
        </w:rPr>
        <w:t>The parties shall attempt in good faith to resolve all claims, disputes and other disagreements arising hereunder by 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Lawrenceville, New Jersey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 Notwithstanding the foregoing, the Company shall be free to pursue its rights and remedies under Section 5 hereof and pursuant to Exhibit A hereto in any court of competent jurisdiction, without regard to the arbitral proceedings contemplated by this Section 15.</w:t>
      </w:r>
    </w:p>
    <w:p>
      <w:pPr>
        <w:spacing w:after="0" w:line="185" w:lineRule="exact"/>
        <w:rPr>
          <w:rFonts w:ascii="Arial" w:cs="Arial" w:eastAsia="Arial" w:hAnsi="Arial"/>
          <w:sz w:val="18"/>
          <w:szCs w:val="18"/>
          <w:color w:val="auto"/>
        </w:rPr>
      </w:pPr>
    </w:p>
    <w:p>
      <w:pPr>
        <w:ind w:left="328" w:hanging="328"/>
        <w:spacing w:after="0"/>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302" w:lineRule="auto"/>
        <w:rPr>
          <w:rFonts w:ascii="Arial" w:cs="Arial" w:eastAsia="Arial" w:hAnsi="Arial"/>
          <w:sz w:val="18"/>
          <w:szCs w:val="18"/>
          <w:color w:val="auto"/>
        </w:rPr>
      </w:pPr>
      <w:r>
        <w:rPr>
          <w:rFonts w:ascii="Arial" w:cs="Arial" w:eastAsia="Arial" w:hAnsi="Arial"/>
          <w:sz w:val="16"/>
          <w:szCs w:val="16"/>
          <w:color w:val="auto"/>
        </w:rPr>
        <w:t>All notices, requests, consents and other communications required or permitted to be given hereunder or contemplated or in connection herewith shall be in writing and shall be deemed to have been duly given if sent by private overnight mail service (delivery confirmed by such service), registered or certified mail (return receipt requested and received), telecopy (confirmed receipt by return fax from the receiving party) or if delivered personally, as follows (or to such other address as either party shall designate by notice in writing to the other in accordance herewith):</w:t>
      </w:r>
    </w:p>
    <w:p>
      <w:pPr>
        <w:spacing w:after="0" w:line="154"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68"/>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968"/>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968"/>
        <w:spacing w:after="0"/>
        <w:rPr>
          <w:sz w:val="20"/>
          <w:szCs w:val="20"/>
          <w:color w:val="auto"/>
        </w:rPr>
      </w:pPr>
      <w:r>
        <w:rPr>
          <w:rFonts w:ascii="Arial" w:cs="Arial" w:eastAsia="Arial" w:hAnsi="Arial"/>
          <w:sz w:val="18"/>
          <w:szCs w:val="18"/>
          <w:color w:val="auto"/>
        </w:rPr>
        <w:t>Michael Tardugno</w:t>
      </w:r>
    </w:p>
    <w:p>
      <w:pPr>
        <w:spacing w:after="0" w:line="23" w:lineRule="exact"/>
        <w:rPr>
          <w:sz w:val="20"/>
          <w:szCs w:val="20"/>
          <w:color w:val="auto"/>
        </w:rPr>
      </w:pPr>
    </w:p>
    <w:p>
      <w:pPr>
        <w:ind w:left="968"/>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328" w:hanging="328"/>
        <w:spacing w:after="0"/>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Indemnification and Limitation of Liability.</w:t>
      </w:r>
    </w:p>
    <w:p>
      <w:pPr>
        <w:spacing w:after="0" w:line="225"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The Corporation acknowledges and agrees that the protections afforded by Article Ninth of the Amended and Restated Certificate of Incorporation, as amended, of the Corporation, and Article VI of the Bylaws, as amended, of the Corporation are available to the Executive throughout the Term and thereafter, in accordance with their respective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482600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3" w:name="page114"/>
    <w:bookmarkEnd w:id="113"/>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hanging="4"/>
        <w:spacing w:after="0" w:line="277" w:lineRule="auto"/>
        <w:tabs>
          <w:tab w:leader="none" w:pos="6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Jersey applicable to agreements made and to be performed entirely in New Jersey.</w:t>
      </w:r>
    </w:p>
    <w:p>
      <w:pPr>
        <w:spacing w:after="0" w:line="170" w:lineRule="exact"/>
        <w:rPr>
          <w:rFonts w:ascii="Arial" w:cs="Arial" w:eastAsia="Arial" w:hAnsi="Arial"/>
          <w:sz w:val="18"/>
          <w:szCs w:val="18"/>
          <w:color w:val="auto"/>
        </w:rPr>
      </w:pPr>
    </w:p>
    <w:p>
      <w:pPr>
        <w:jc w:val="both"/>
        <w:ind w:left="328" w:hanging="4"/>
        <w:spacing w:after="0" w:line="255" w:lineRule="auto"/>
        <w:tabs>
          <w:tab w:leader="none" w:pos="5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together with the agreement set forth in Annex A hereto,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 Notwithstanding the foregoing, in the event that the provisions hereof shall conflict with the terms of any stock option grant agreement, stock award agreement or similar document granting stock options, warrants or similar rights, then the terms hereof shall control.</w:t>
      </w:r>
    </w:p>
    <w:p>
      <w:pPr>
        <w:spacing w:after="0" w:line="193" w:lineRule="exact"/>
        <w:rPr>
          <w:rFonts w:ascii="Arial" w:cs="Arial" w:eastAsia="Arial" w:hAnsi="Arial"/>
          <w:sz w:val="18"/>
          <w:szCs w:val="18"/>
          <w:color w:val="auto"/>
        </w:rPr>
      </w:pPr>
    </w:p>
    <w:p>
      <w:pPr>
        <w:jc w:val="both"/>
        <w:ind w:left="328" w:hanging="4"/>
        <w:spacing w:after="0" w:line="276" w:lineRule="auto"/>
        <w:tabs>
          <w:tab w:leader="none" w:pos="577"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This Agreement may be amended, modified, superseded, canceled, renewed or extended, and the terms or covenants hereof may be waived, only by a written instrument executed by the parties hereto, or in the case of a waiver, by the party waiving compliance. The failure of a party at any time or times to require performance of any provision hereof shall in no manner affect the right at a later time to enforce the same. No waiver by a party of the breach of any term or covenant contained in this Agreement, whether by conduct or otherwise, or any one or more or continuing waivers of any such breach, shall constitute a waiver of the breach of any other term or covenant contained in this Agreement.</w:t>
      </w:r>
    </w:p>
    <w:p>
      <w:pPr>
        <w:spacing w:after="0" w:line="172" w:lineRule="exact"/>
        <w:rPr>
          <w:rFonts w:ascii="Arial" w:cs="Arial" w:eastAsia="Arial" w:hAnsi="Arial"/>
          <w:sz w:val="17"/>
          <w:szCs w:val="17"/>
          <w:color w:val="auto"/>
        </w:rPr>
      </w:pPr>
    </w:p>
    <w:p>
      <w:pPr>
        <w:jc w:val="both"/>
        <w:ind w:left="328" w:hanging="4"/>
        <w:spacing w:after="0" w:line="272" w:lineRule="auto"/>
        <w:tabs>
          <w:tab w:leader="none" w:pos="585"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This Agreement shall be binding upon and inure to the benefit of the legal representatives, heirs, distributees, successors and permitted assigns of the parties hereto. The Company may not assign its rights and obligation under this Agreement without the prior written consent of the Executive, except to a successor to substantially all the Company’s business that expressly assumes the Company’s obligations hereunder in writing. For purposes of this Agreement, “successors” shall mean any successor by way of share exchange, merger, consolidation, reorganization or similar transaction, or the sale of all or substantially all of the assets of the Company. The Executive may not assign, transfer, alienate or encumber any rights or obligations under this Agreement, except by will or operation of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may designate beneficiaries to receive any payments permitted under the terms of the Company’s benefit plans.</w:t>
      </w:r>
    </w:p>
    <w:p>
      <w:pPr>
        <w:spacing w:after="0" w:line="3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509905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executed this Agreement under its or his seal effective as of the date first above written.</w:t>
      </w:r>
    </w:p>
    <w:p>
      <w:pPr>
        <w:sectPr>
          <w:pgSz w:w="11900" w:h="16838" w:orient="portrait"/>
          <w:cols w:equalWidth="0" w:num="1">
            <w:col w:w="10219"/>
          </w:cols>
          <w:pgMar w:left="2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[SEAL]</w:t>
            </w:r>
          </w:p>
        </w:tc>
        <w:tc>
          <w:tcPr>
            <w:tcW w:w="6380" w:type="dxa"/>
            <w:vAlign w:val="bottom"/>
          </w:tcPr>
          <w:p>
            <w:pPr>
              <w:ind w:left="1640"/>
              <w:spacing w:after="0"/>
              <w:rPr>
                <w:sz w:val="20"/>
                <w:szCs w:val="20"/>
                <w:color w:val="auto"/>
              </w:rPr>
            </w:pPr>
            <w:r>
              <w:rPr>
                <w:rFonts w:ascii="Arial" w:cs="Arial" w:eastAsia="Arial" w:hAnsi="Arial"/>
                <w:sz w:val="18"/>
                <w:szCs w:val="18"/>
                <w:color w:val="auto"/>
              </w:rPr>
              <w:t>Celsion Corporation</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6380" w:type="dxa"/>
            <w:vAlign w:val="bottom"/>
          </w:tcPr>
          <w:p>
            <w:pPr>
              <w:ind w:left="16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6380" w:type="dxa"/>
            <w:vAlign w:val="bottom"/>
          </w:tcPr>
          <w:p>
            <w:pPr>
              <w:ind w:left="1640"/>
              <w:spacing w:after="0"/>
              <w:rPr>
                <w:sz w:val="20"/>
                <w:szCs w:val="20"/>
                <w:color w:val="auto"/>
              </w:rPr>
            </w:pPr>
            <w:r>
              <w:rPr>
                <w:rFonts w:ascii="Arial" w:cs="Arial" w:eastAsia="Arial" w:hAnsi="Arial"/>
                <w:sz w:val="18"/>
                <w:szCs w:val="18"/>
                <w:color w:val="auto"/>
              </w:rPr>
              <w:t>Print Name: Robert W. Hooper</w:t>
            </w:r>
          </w:p>
        </w:tc>
        <w:tc>
          <w:tcPr>
            <w:tcW w:w="0" w:type="dxa"/>
            <w:vAlign w:val="bottom"/>
          </w:tcPr>
          <w:p>
            <w:pPr>
              <w:spacing w:after="0"/>
              <w:rPr>
                <w:sz w:val="1"/>
                <w:szCs w:val="1"/>
                <w:color w:val="auto"/>
              </w:rPr>
            </w:pPr>
          </w:p>
        </w:tc>
      </w:tr>
      <w:tr>
        <w:trPr>
          <w:trHeight w:val="648"/>
        </w:trPr>
        <w:tc>
          <w:tcPr>
            <w:tcW w:w="2200" w:type="dxa"/>
            <w:vAlign w:val="bottom"/>
          </w:tcPr>
          <w:p>
            <w:pPr>
              <w:spacing w:after="0"/>
              <w:rPr>
                <w:sz w:val="24"/>
                <w:szCs w:val="24"/>
                <w:color w:val="auto"/>
              </w:rPr>
            </w:pPr>
          </w:p>
        </w:tc>
        <w:tc>
          <w:tcPr>
            <w:tcW w:w="6380" w:type="dxa"/>
            <w:vAlign w:val="bottom"/>
          </w:tcPr>
          <w:p>
            <w:pPr>
              <w:ind w:left="2600"/>
              <w:spacing w:after="0"/>
              <w:rPr>
                <w:sz w:val="20"/>
                <w:szCs w:val="20"/>
                <w:color w:val="auto"/>
              </w:rPr>
            </w:pPr>
            <w:r>
              <w:rPr>
                <w:rFonts w:ascii="Arial" w:cs="Arial" w:eastAsia="Arial" w:hAnsi="Arial"/>
                <w:sz w:val="18"/>
                <w:szCs w:val="18"/>
                <w:color w:val="auto"/>
                <w:w w:val="90"/>
              </w:rPr>
              <w:t>Director and Chairman of Compensation Committee</w:t>
            </w:r>
          </w:p>
        </w:tc>
        <w:tc>
          <w:tcPr>
            <w:tcW w:w="0" w:type="dxa"/>
            <w:vAlign w:val="bottom"/>
          </w:tcPr>
          <w:p>
            <w:pPr>
              <w:spacing w:after="0"/>
              <w:rPr>
                <w:sz w:val="1"/>
                <w:szCs w:val="1"/>
                <w:color w:val="auto"/>
              </w:rPr>
            </w:pPr>
          </w:p>
        </w:tc>
      </w:tr>
      <w:tr>
        <w:trPr>
          <w:trHeight w:val="648"/>
        </w:trPr>
        <w:tc>
          <w:tcPr>
            <w:tcW w:w="2200" w:type="dxa"/>
            <w:vAlign w:val="bottom"/>
          </w:tcPr>
          <w:p>
            <w:pPr>
              <w:spacing w:after="0"/>
              <w:rPr>
                <w:sz w:val="20"/>
                <w:szCs w:val="20"/>
                <w:color w:val="auto"/>
              </w:rPr>
            </w:pPr>
            <w:r>
              <w:rPr>
                <w:rFonts w:ascii="Arial" w:cs="Arial" w:eastAsia="Arial" w:hAnsi="Arial"/>
                <w:sz w:val="18"/>
                <w:szCs w:val="18"/>
                <w:color w:val="auto"/>
              </w:rPr>
              <w:t>[SEAL]</w:t>
            </w:r>
          </w:p>
        </w:tc>
        <w:tc>
          <w:tcPr>
            <w:tcW w:w="6380" w:type="dxa"/>
            <w:vAlign w:val="bottom"/>
            <w:vMerge w:val="restart"/>
          </w:tcPr>
          <w:p>
            <w:pPr>
              <w:ind w:left="16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200" w:type="dxa"/>
            <w:vAlign w:val="bottom"/>
          </w:tcPr>
          <w:p>
            <w:pPr>
              <w:spacing w:after="0"/>
              <w:rPr>
                <w:sz w:val="24"/>
                <w:szCs w:val="24"/>
                <w:color w:val="auto"/>
              </w:rPr>
            </w:pPr>
          </w:p>
        </w:tc>
        <w:tc>
          <w:tcPr>
            <w:tcW w:w="6380" w:type="dxa"/>
            <w:vAlign w:val="bottom"/>
          </w:tcPr>
          <w:p>
            <w:pPr>
              <w:ind w:left="1640"/>
              <w:spacing w:after="0"/>
              <w:rPr>
                <w:sz w:val="20"/>
                <w:szCs w:val="20"/>
                <w:color w:val="auto"/>
              </w:rPr>
            </w:pPr>
            <w:r>
              <w:rPr>
                <w:rFonts w:ascii="Arial" w:cs="Arial" w:eastAsia="Arial" w:hAnsi="Arial"/>
                <w:sz w:val="18"/>
                <w:szCs w:val="18"/>
                <w:color w:val="auto"/>
              </w:rPr>
              <w:t>Print Name: Michael H. Tardugno</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6380" w:type="dxa"/>
            <w:vAlign w:val="bottom"/>
          </w:tcPr>
          <w:p>
            <w:pPr>
              <w:ind w:left="2580"/>
              <w:spacing w:after="0"/>
              <w:rPr>
                <w:sz w:val="20"/>
                <w:szCs w:val="20"/>
                <w:color w:val="auto"/>
              </w:rPr>
            </w:pPr>
            <w:r>
              <w:rPr>
                <w:rFonts w:ascii="Arial" w:cs="Arial" w:eastAsia="Arial" w:hAnsi="Arial"/>
                <w:sz w:val="18"/>
                <w:szCs w:val="18"/>
                <w:color w:val="auto"/>
              </w:rPr>
              <w:t>Chairman, President &amp; CEO</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Khursheed Anwer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Khursheed:</w:t>
      </w:r>
    </w:p>
    <w:p>
      <w:pPr>
        <w:spacing w:after="0" w:line="279" w:lineRule="exact"/>
        <w:rPr>
          <w:sz w:val="20"/>
          <w:szCs w:val="20"/>
          <w:color w:val="auto"/>
        </w:rPr>
      </w:pPr>
    </w:p>
    <w:p>
      <w:pPr>
        <w:jc w:val="both"/>
        <w:ind w:right="100" w:firstLine="4"/>
        <w:spacing w:after="0" w:line="270" w:lineRule="auto"/>
        <w:rPr>
          <w:sz w:val="20"/>
          <w:szCs w:val="20"/>
          <w:color w:val="auto"/>
        </w:rPr>
      </w:pPr>
      <w:r>
        <w:rPr>
          <w:rFonts w:ascii="Arial" w:cs="Arial" w:eastAsia="Arial" w:hAnsi="Arial"/>
          <w:sz w:val="17"/>
          <w:szCs w:val="17"/>
          <w:color w:val="auto"/>
        </w:rPr>
        <w:t>Celsion Corporation, a Delaware corporation ("Celsion"), is pleased to extend to you an offer of employment with Celsion as Executive Vice President and CSO Nucleic Acid Therapy, pending the closing of the purchase of substantially all of the assets and assumption of certain specified liabilities of Egen, Inc., an Alabama corporation ("EGEN"), by Celsion pursuant to that certain Asset Purchase Agreement dated on or about the date hereof, by and between Celsion and EGEN (the "Purchase Agreement"). This offer of employment is contingent on the closing of the transactions contemplated by the Purchase Agreement (the "Acquisition") and will be effective from and after the date of the closing of the Acquisition ("Closing Date"), subject to your execution and delivery of this offer letter and the Employee Proprietary Information Agreement attached hereto (the "Proprietary Information Agreement"). PLEASE NOTE THAT THIS OFFER OF EMPLOYMENT AND THE PROPRIETARY INFORMATION AGREEMENT WILL BE NULL AND VOID AND OF NO FORCE AND EFFECT IF THE ACQUISITION DOES NOT CLOSE AND THE PURCHASE AGREEMENT IS TERMINATED.</w:t>
      </w:r>
    </w:p>
    <w:p>
      <w:pPr>
        <w:spacing w:after="0" w:line="182" w:lineRule="exact"/>
        <w:rPr>
          <w:sz w:val="20"/>
          <w:szCs w:val="20"/>
          <w:color w:val="auto"/>
        </w:rPr>
      </w:pPr>
    </w:p>
    <w:p>
      <w:pPr>
        <w:jc w:val="both"/>
        <w:ind w:left="20" w:right="100" w:firstLine="4"/>
        <w:spacing w:after="0" w:line="269" w:lineRule="auto"/>
        <w:rPr>
          <w:sz w:val="20"/>
          <w:szCs w:val="20"/>
          <w:color w:val="auto"/>
        </w:rPr>
      </w:pPr>
      <w:r>
        <w:rPr>
          <w:rFonts w:ascii="Arial" w:cs="Arial" w:eastAsia="Arial" w:hAnsi="Arial"/>
          <w:sz w:val="17"/>
          <w:szCs w:val="17"/>
          <w:color w:val="auto"/>
        </w:rPr>
        <w:t>This offer letter, along with the Employee Proprietary Information Agreement and the other documents referred to herein, is the complete agreement regarding the terms and conditions of your employment and will supersede and replace any prior agreements (written or verbal) between you and Celsion and/or you and EGEN ("Prior Agreements"). By accepting this offer of employment with Celsion, you acknowledge and agree that upon the closing of the Acquisition, any Prior Agreements (including, without limitation, the Employment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Agreement and Non-Disclosure, Non-Competition and Transfer of Intellectual Property Rights Agreement between you and EGEN dated: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January 11, 2005 , will be null and void and you will no longer be eligible for any benefits or payments under any such agreements.</w:t>
      </w:r>
    </w:p>
    <w:p>
      <w:pPr>
        <w:spacing w:after="0" w:line="222" w:lineRule="exact"/>
        <w:rPr>
          <w:sz w:val="20"/>
          <w:szCs w:val="20"/>
          <w:color w:val="auto"/>
        </w:rPr>
      </w:pPr>
    </w:p>
    <w:p>
      <w:pPr>
        <w:jc w:val="both"/>
        <w:ind w:left="20" w:right="120" w:firstLine="4"/>
        <w:spacing w:after="0" w:line="308" w:lineRule="auto"/>
        <w:rPr>
          <w:sz w:val="20"/>
          <w:szCs w:val="20"/>
          <w:color w:val="auto"/>
        </w:rPr>
      </w:pPr>
      <w:r>
        <w:rPr>
          <w:rFonts w:ascii="Arial" w:cs="Arial" w:eastAsia="Arial" w:hAnsi="Arial"/>
          <w:sz w:val="17"/>
          <w:szCs w:val="17"/>
          <w:color w:val="auto"/>
        </w:rPr>
        <w:t>Your starting salary with Celsion will be $11,461.54 every two weeks, which is $298,000 on an annualized basis. Your salary will be paid bi-weekly in arrears. Salary payments can be electronically deposited into a checking/savings account of your choosing. Additionally,</w:t>
      </w:r>
    </w:p>
    <w:p>
      <w:pPr>
        <w:spacing w:after="0" w:line="201" w:lineRule="exact"/>
        <w:rPr>
          <w:sz w:val="20"/>
          <w:szCs w:val="20"/>
          <w:color w:val="auto"/>
        </w:rPr>
      </w:pPr>
    </w:p>
    <w:p>
      <w:pPr>
        <w:jc w:val="both"/>
        <w:ind w:left="800" w:right="400" w:hanging="454"/>
        <w:spacing w:after="0" w:line="257"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will eligible for an annual bonus, with a target bonus of 40% (range 0% - 40%) of your annual base salary, contingent upon meeting personal goals and company objectives established by Celsion. Your bonus for 2014 will be pro- rated for the time you are employed by Celsion. Your actual bonus amount each year, if any, will be determined by Celsion's Compensation Committee (or its delegate) in its sole discretion. You will be eligible for a bonus for a particular year only if you are employed with Celsion through the date the bonus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641350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80"/>
          </w:cols>
          <w:pgMar w:left="1280" w:top="132" w:right="239" w:bottom="1440" w:gutter="0" w:footer="0" w:header="0"/>
        </w:sectPr>
      </w:pPr>
    </w:p>
    <w:bookmarkStart w:id="116" w:name="page117"/>
    <w:bookmarkEnd w:id="116"/>
    <w:p>
      <w:pPr>
        <w:jc w:val="both"/>
        <w:ind w:left="640" w:hanging="320"/>
        <w:spacing w:after="0" w:line="255"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approval by the board of directors of Celsion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Directors"), you will be granted an option to purchase 30,000 shares of Celsion common stock. This option grant will vest in equal annual installments over four (4) years measured from the Closing Date, subject in each case to your continued employment with Celsion through the applicable vesting date. The per-share exercise price of the option will be the per-share closing price of Celsion stock on the date of the approval of the Board of Directors of this grant. The option will be granted under, and subject to the terms of, Celsion's stock incentive plan and standard form of option agreement under the plan. You will be considered for a discretionary stock option award in 2015 and annually thereafter.</w:t>
      </w:r>
    </w:p>
    <w:p>
      <w:pPr>
        <w:spacing w:after="0" w:line="247" w:lineRule="exact"/>
        <w:rPr>
          <w:rFonts w:ascii="Arial" w:cs="Arial" w:eastAsia="Arial" w:hAnsi="Arial"/>
          <w:sz w:val="18"/>
          <w:szCs w:val="18"/>
          <w:color w:val="auto"/>
        </w:rPr>
      </w:pPr>
    </w:p>
    <w:p>
      <w:pPr>
        <w:ind w:left="660" w:hanging="326"/>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addition, you will be eligible for the benefits set forth in the Retention and Severance Agreement attached hereto.</w:t>
      </w:r>
    </w:p>
    <w:p>
      <w:pPr>
        <w:spacing w:after="0" w:line="279" w:lineRule="exact"/>
        <w:rPr>
          <w:rFonts w:ascii="Arial" w:cs="Arial" w:eastAsia="Arial" w:hAnsi="Arial"/>
          <w:sz w:val="18"/>
          <w:szCs w:val="18"/>
          <w:color w:val="auto"/>
        </w:rPr>
      </w:pPr>
    </w:p>
    <w:p>
      <w:pPr>
        <w:ind w:left="680" w:hanging="360"/>
        <w:spacing w:after="0"/>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Subject to the approval of the Board of Directors, you will also be granted 5,000 shares of Celsion stock vesting on the date of approval.</w:t>
      </w:r>
    </w:p>
    <w:p>
      <w:pPr>
        <w:spacing w:after="0" w:line="237" w:lineRule="exact"/>
        <w:rPr>
          <w:sz w:val="20"/>
          <w:szCs w:val="20"/>
          <w:color w:val="auto"/>
        </w:rPr>
      </w:pPr>
    </w:p>
    <w:p>
      <w:pPr>
        <w:jc w:val="both"/>
        <w:ind w:firstLine="4"/>
        <w:spacing w:after="0" w:line="259" w:lineRule="auto"/>
        <w:rPr>
          <w:sz w:val="20"/>
          <w:szCs w:val="20"/>
          <w:color w:val="auto"/>
        </w:rPr>
      </w:pPr>
      <w:r>
        <w:rPr>
          <w:rFonts w:ascii="Arial" w:cs="Arial" w:eastAsia="Arial" w:hAnsi="Arial"/>
          <w:sz w:val="18"/>
          <w:szCs w:val="18"/>
          <w:color w:val="auto"/>
        </w:rPr>
        <w:t>As a member of our professional staff, your position is salaried and exempt from federal wage-hour law. You will not be eligible for overtime pay for hours actually worked in excess of 40 in a given workweek. Your employment is at will. You or Celsion may terminate our employment relationship at any time with or without cause or notice. As such, neither this letter nor any other oral or written representations may be considered a contract for any specific period of time.</w:t>
      </w:r>
    </w:p>
    <w:p>
      <w:pPr>
        <w:spacing w:after="0" w:line="187" w:lineRule="exact"/>
        <w:rPr>
          <w:sz w:val="20"/>
          <w:szCs w:val="20"/>
          <w:color w:val="auto"/>
        </w:rPr>
      </w:pPr>
    </w:p>
    <w:p>
      <w:pPr>
        <w:jc w:val="both"/>
        <w:ind w:firstLine="4"/>
        <w:spacing w:after="0" w:line="255" w:lineRule="auto"/>
        <w:rPr>
          <w:sz w:val="20"/>
          <w:szCs w:val="20"/>
          <w:color w:val="auto"/>
        </w:rPr>
      </w:pPr>
      <w:r>
        <w:rPr>
          <w:rFonts w:ascii="Arial" w:cs="Arial" w:eastAsia="Arial" w:hAnsi="Arial"/>
          <w:sz w:val="18"/>
          <w:szCs w:val="18"/>
          <w:color w:val="auto"/>
        </w:rPr>
        <w:t>You will be eligible for a benefits package made generally available to Celsion employees, currently including medical, dental, life insurance, voluntary life insurance, short and long term disability and participation in a 401(k) plan (which currently includes matching contributions), subject in each case to terms of the applicable program as in effect from time to time. Medical, dental and life insurance coverage will continue under your current programs and will be subject to renewal in December 2014 as part of Celsion's annual renewal process. Subject to Celsion's vacation policy in effect from time to time, your annual vacation allowance is four (4) weeks per year, accrued per pay period, and your vacation allowance for 2014 will be at a pro rata percentage of a full year calculated from your first day of employment.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addition, you are eligible for holiday, sick and personal days. Personal day allowance for 2014 has restrictions as specified in our Employee Handbook.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entire benefits package will be given to you on your first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655320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360" w:top="854" w:right="339" w:bottom="1440" w:gutter="0" w:footer="0" w:header="0"/>
        </w:sectPr>
      </w:pPr>
    </w:p>
    <w:bookmarkStart w:id="117" w:name="page118"/>
    <w:bookmarkEnd w:id="117"/>
    <w:p>
      <w:pPr>
        <w:jc w:val="both"/>
        <w:ind w:left="120" w:right="140" w:firstLine="4"/>
        <w:spacing w:after="0" w:line="257" w:lineRule="auto"/>
        <w:rPr>
          <w:sz w:val="20"/>
          <w:szCs w:val="20"/>
          <w:color w:val="auto"/>
        </w:rPr>
      </w:pPr>
      <w:r>
        <w:rPr>
          <w:rFonts w:ascii="Arial" w:cs="Arial" w:eastAsia="Arial" w:hAnsi="Arial"/>
          <w:sz w:val="18"/>
          <w:szCs w:val="18"/>
          <w:color w:val="auto"/>
        </w:rPr>
        <w:t>The terms of your employment shall be governed by the laws of the State of Alabama. All forms of compensation referred to in this letter are subject to all applicable tax withholding. Except for such withholding, you will be responsible for your own tax liability imposed with respect to such compensation. This letter and all of your rights and obligations hereunder are personal to you and may not be transferred or assigned by you at any time. Celsion may assign its rights under this letter to any entity that assumes Celsion's obligations hereunder in connection with any sale or transfer of all or a substantial portion of Celsion' s assets to such entity.</w:t>
      </w:r>
    </w:p>
    <w:p>
      <w:pPr>
        <w:spacing w:after="0" w:line="188" w:lineRule="exact"/>
        <w:rPr>
          <w:sz w:val="20"/>
          <w:szCs w:val="20"/>
          <w:color w:val="auto"/>
        </w:rPr>
      </w:pPr>
    </w:p>
    <w:p>
      <w:pPr>
        <w:jc w:val="both"/>
        <w:ind w:left="120" w:right="140" w:firstLine="4"/>
        <w:spacing w:after="0" w:line="264" w:lineRule="auto"/>
        <w:rPr>
          <w:sz w:val="20"/>
          <w:szCs w:val="20"/>
          <w:color w:val="auto"/>
        </w:rPr>
      </w:pPr>
      <w:r>
        <w:rPr>
          <w:rFonts w:ascii="Arial" w:cs="Arial" w:eastAsia="Arial" w:hAnsi="Arial"/>
          <w:sz w:val="18"/>
          <w:szCs w:val="18"/>
          <w:color w:val="auto"/>
        </w:rPr>
        <w:t>Your employment start date is the Closing Date. On your first day of employment with Celsion, please bring documentation for the purpose of completing the I-9 Form which authorizes your employment in the United States. Please sign and return this letter via mail or fax to me at (609) 482-4499 no later than June 2, 2014 to indicate your acceptance of this position.</w:t>
      </w:r>
    </w:p>
    <w:p>
      <w:pPr>
        <w:spacing w:after="0" w:line="181"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8"/>
          <w:szCs w:val="18"/>
          <w:color w:val="auto"/>
        </w:rPr>
        <w:t>If you have any questions about the contents of this letter or about your potential employment with Celsion Corporation, please contact Jeffrey Church at (609) 896-9100.</w:t>
      </w:r>
    </w:p>
    <w:p>
      <w:pPr>
        <w:spacing w:after="0" w:line="170"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On behalf of the Management and Employees of Celsion, I sincerely welcome you and wish to express our excitement with your decision to join Celsion Corporation.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Michael H. Tardugno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H. Tardugno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ind w:left="120"/>
              <w:spacing w:after="0"/>
              <w:rPr>
                <w:sz w:val="20"/>
                <w:szCs w:val="20"/>
                <w:color w:val="auto"/>
              </w:rPr>
            </w:pPr>
            <w:r>
              <w:rPr>
                <w:rFonts w:ascii="Arial" w:cs="Arial" w:eastAsia="Arial" w:hAnsi="Arial"/>
                <w:sz w:val="18"/>
                <w:szCs w:val="18"/>
                <w:b w:val="1"/>
                <w:bCs w:val="1"/>
                <w:color w:val="auto"/>
              </w:rPr>
              <w:t>ACCEPTED:</w:t>
            </w: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08"/>
        </w:trPr>
        <w:tc>
          <w:tcPr>
            <w:tcW w:w="5500" w:type="dxa"/>
            <w:vAlign w:val="bottom"/>
            <w:gridSpan w:val="3"/>
          </w:tcPr>
          <w:p>
            <w:pPr>
              <w:spacing w:after="0"/>
              <w:rPr>
                <w:sz w:val="20"/>
                <w:szCs w:val="20"/>
                <w:color w:val="auto"/>
              </w:rPr>
            </w:pPr>
            <w:r>
              <w:rPr>
                <w:rFonts w:ascii="Arial" w:cs="Arial" w:eastAsia="Arial" w:hAnsi="Arial"/>
                <w:sz w:val="18"/>
                <w:szCs w:val="18"/>
                <w:i w:val="1"/>
                <w:iCs w:val="1"/>
                <w:color w:val="auto"/>
              </w:rPr>
              <w:t>Khursheed Anwer</w:t>
            </w:r>
          </w:p>
        </w:tc>
        <w:tc>
          <w:tcPr>
            <w:tcW w:w="11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June 2, 2014</w:t>
            </w:r>
          </w:p>
        </w:tc>
      </w:tr>
      <w:tr>
        <w:trPr>
          <w:trHeight w:val="453"/>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017"/>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1"/>
        </w:trPr>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27" w:right="1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May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Khursheed Anwer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Retention and Severance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Khursheed:</w:t>
      </w:r>
    </w:p>
    <w:p>
      <w:pPr>
        <w:spacing w:after="0" w:line="225" w:lineRule="exact"/>
        <w:rPr>
          <w:sz w:val="20"/>
          <w:szCs w:val="20"/>
          <w:color w:val="auto"/>
        </w:rPr>
      </w:pPr>
    </w:p>
    <w:p>
      <w:pPr>
        <w:jc w:val="both"/>
        <w:ind w:firstLine="650"/>
        <w:spacing w:after="0" w:line="271" w:lineRule="auto"/>
        <w:rPr>
          <w:sz w:val="20"/>
          <w:szCs w:val="20"/>
          <w:color w:val="auto"/>
        </w:rPr>
      </w:pPr>
      <w:r>
        <w:rPr>
          <w:rFonts w:ascii="Arial" w:cs="Arial" w:eastAsia="Arial" w:hAnsi="Arial"/>
          <w:sz w:val="17"/>
          <w:szCs w:val="17"/>
          <w:color w:val="auto"/>
        </w:rPr>
        <w:t>Celsion Corporation, a Delaware corporation ("Celsion"), is pleased to offer you a retention bonus opportunity and certain severance protections on the terms and conditions described below in this letter, pending the closing of the purchase of substantially all of the assets and the assumption of certain specified liabilities of Egen, Inc., an Alabama corporation ("EGEN"), by Celsion pursuant to that certain Asset Purchase Agreement dated on or about the date hereof, by and between Celsion and EGEN (the "Purchase Agreement"). This letter agreement is contingent on the closing of the transactions contemplated by the Purchase Agreement (the "Acquisition") and will be effective from and after the date of the closing of the Acquisition ("Closing Date"), subject to your execution and delivery of this letter agreement. PLEASE NOTE THAT THIS LETTER AGREEMENT WILL BE NULL AND VOID AND OF NO FORCE AND EFFECT IF THE ACQUISITION DOES NOT CLOSE AND THE PURCHASE AGREEMENT IS TERMINATED.</w:t>
      </w:r>
    </w:p>
    <w:p>
      <w:pPr>
        <w:spacing w:after="0" w:line="179" w:lineRule="exact"/>
        <w:rPr>
          <w:sz w:val="20"/>
          <w:szCs w:val="20"/>
          <w:color w:val="auto"/>
        </w:rPr>
      </w:pPr>
    </w:p>
    <w:p>
      <w:pPr>
        <w:jc w:val="both"/>
        <w:ind w:firstLine="650"/>
        <w:spacing w:after="0" w:line="257" w:lineRule="auto"/>
        <w:rPr>
          <w:sz w:val="20"/>
          <w:szCs w:val="20"/>
          <w:color w:val="auto"/>
        </w:rPr>
      </w:pPr>
      <w:r>
        <w:rPr>
          <w:rFonts w:ascii="Arial" w:cs="Arial" w:eastAsia="Arial" w:hAnsi="Arial"/>
          <w:sz w:val="18"/>
          <w:szCs w:val="18"/>
          <w:color w:val="auto"/>
        </w:rPr>
        <w:t>This letter agreement, along with your offer letter with Celsion entered into concurrently herewith, is the complete agreement regarding the subject matter hereof and will supersede and replace any prior agreements (written or verbal) between you and Celsion and/or you and EGEN ("Prior Agreements"). By accepting this letter agreement with Celsion, you acknowledge and agree that upon the closing of the Acquisition, any Prior Agreements will be null and void and you will no longer be eligible for any benefits or payments under any such agreements.</w:t>
      </w:r>
    </w:p>
    <w:p>
      <w:pPr>
        <w:spacing w:after="0" w:line="188" w:lineRule="exact"/>
        <w:rPr>
          <w:sz w:val="20"/>
          <w:szCs w:val="20"/>
          <w:color w:val="auto"/>
        </w:rPr>
      </w:pPr>
    </w:p>
    <w:p>
      <w:pPr>
        <w:jc w:val="both"/>
        <w:ind w:firstLine="676"/>
        <w:spacing w:after="0" w:line="255" w:lineRule="auto"/>
        <w:tabs>
          <w:tab w:leader="none" w:pos="101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Retention Stock Award. Subject to approval by the board of directors of Celsion (the "Board of Directors"), you will be granted an award of 35,000 restricted shares of Celsion common stock. This award will vest in one installment on the date that is Thirty-six (36) months after the Closing Date (the "Vesting Date") subject to your continued employment with Celsion through the Vesting Date. If your employment with Celsion terminates for any reason prior to the Vesting Date, your unvested shares will be forfeited to Celsion without any payment or other consideration. The award will be granted under, and subject to the terms of, Celsion's Stock Incentive Plan and standard form of restricted stock award agreement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678180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80"/>
          </w:cols>
          <w:pgMar w:left="1280" w:top="854" w:right="339" w:bottom="1440" w:gutter="0" w:footer="0" w:header="0"/>
        </w:sectPr>
      </w:pPr>
    </w:p>
    <w:bookmarkStart w:id="119" w:name="page120"/>
    <w:bookmarkEnd w:id="119"/>
    <w:p>
      <w:pPr>
        <w:ind w:right="20" w:firstLine="653"/>
        <w:spacing w:after="0" w:line="277" w:lineRule="auto"/>
        <w:tabs>
          <w:tab w:leader="none" w:pos="10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Retention Bonus. In addition, if your employment with Celsion continues through the Vesting Date, you will be entitled to a retention bonus of $150,000, such amount to be paid in cash in a lump sum within thirty (30) days after the Vesting Date.</w:t>
      </w:r>
    </w:p>
    <w:p>
      <w:pPr>
        <w:spacing w:after="0" w:line="170" w:lineRule="exact"/>
        <w:rPr>
          <w:rFonts w:ascii="Arial" w:cs="Arial" w:eastAsia="Arial" w:hAnsi="Arial"/>
          <w:sz w:val="18"/>
          <w:szCs w:val="18"/>
          <w:color w:val="auto"/>
        </w:rPr>
      </w:pPr>
    </w:p>
    <w:p>
      <w:pPr>
        <w:jc w:val="both"/>
        <w:ind w:right="20" w:firstLine="658"/>
        <w:spacing w:after="0" w:line="270" w:lineRule="auto"/>
        <w:tabs>
          <w:tab w:leader="none" w:pos="10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Severance Benefits. If your employment with Celsion is terminated by Celsion without Cause (as defined below), you will be entitled to receive as severance (a) payment of twelve (12) months of your base salary at the rate in effect on your termination date (such amount to be paid in installments in accordance with Celsion's regular payroll practices commencing on the sixtieth (60th) day after your termination date); and (b) payment or reimbursement by the Company of your premiums to continue health coverage for you and your eligible dependents under COBRA for twelve (12) months following your termination. Your right to receive these severance benefits is conditioned on (1) your signing and delivering to Celsion a separation agreement and release of claims in a form acceptable to Celsion within forty-five (45) days following the date of termination of your employment (and not revoking such agreement and release within any revocation period provided by applicable law), and (2) your compliance in all material respects with your obligations under your nondisclosure, confidentiality, invention assignment or similar agreement(s) with Celsion or EGEN and all similar company policies (together, your "Continuing Obligations").</w:t>
      </w:r>
    </w:p>
    <w:p>
      <w:pPr>
        <w:spacing w:after="0" w:line="182" w:lineRule="exact"/>
        <w:rPr>
          <w:sz w:val="20"/>
          <w:szCs w:val="20"/>
          <w:color w:val="auto"/>
        </w:rPr>
      </w:pPr>
    </w:p>
    <w:p>
      <w:pPr>
        <w:jc w:val="both"/>
        <w:ind w:right="20" w:firstLine="650"/>
        <w:spacing w:after="0" w:line="297" w:lineRule="auto"/>
        <w:rPr>
          <w:sz w:val="20"/>
          <w:szCs w:val="20"/>
          <w:color w:val="auto"/>
        </w:rPr>
      </w:pPr>
      <w:r>
        <w:rPr>
          <w:rFonts w:ascii="Arial" w:cs="Arial" w:eastAsia="Arial" w:hAnsi="Arial"/>
          <w:sz w:val="16"/>
          <w:szCs w:val="16"/>
          <w:color w:val="auto"/>
        </w:rPr>
        <w:t>For purposes of this letter, "Cause" shall mean: (a) your unauthorized use or disclosure of Celsion' s confidential information or trade secrets; (b) your material breach of any agreement between you and Celsion; (c) your material failure to comply with Celsion's written policies or rules; (d) your conviction of, or plea of "guilty" or "no contest" to, any felony or any misdemeanor that includes a punishment of imprisonment under the laws of the United States or any State thereof; (e) your gross negligence or willful misconduct in performance of your material duties to Celsion; or (f) your continuing failure to perform assigned material duties for Celsion after receiving written notification of such failure from your supervisor or the Board of Directors.</w:t>
      </w:r>
    </w:p>
    <w:p>
      <w:pPr>
        <w:spacing w:after="0" w:line="158" w:lineRule="exact"/>
        <w:rPr>
          <w:sz w:val="20"/>
          <w:szCs w:val="20"/>
          <w:color w:val="auto"/>
        </w:rPr>
      </w:pPr>
    </w:p>
    <w:p>
      <w:pPr>
        <w:jc w:val="both"/>
        <w:ind w:firstLine="653"/>
        <w:spacing w:after="0" w:line="257" w:lineRule="auto"/>
        <w:tabs>
          <w:tab w:leader="none" w:pos="10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Taxes. Celsion will withhold required federal, state and local taxes from any and all payments contemplated by this letter. Except for such withholding rights, you will be responsible for your own tax liability imposed with respect to such payments. It is intended that any amounts payable under this letter shall either be exempt from or comply with Section 409A of the U.S. Internal Revenue Code so as not to subject you to payment of any additional tax, penalty or interest imposed under Section 409A, and the provisions of this letter will be construed and interpreted in accordance with such intent.</w:t>
      </w:r>
    </w:p>
    <w:p>
      <w:pPr>
        <w:spacing w:after="0" w:line="188" w:lineRule="exact"/>
        <w:rPr>
          <w:rFonts w:ascii="Arial" w:cs="Arial" w:eastAsia="Arial" w:hAnsi="Arial"/>
          <w:sz w:val="18"/>
          <w:szCs w:val="18"/>
          <w:color w:val="auto"/>
        </w:rPr>
      </w:pPr>
    </w:p>
    <w:p>
      <w:pPr>
        <w:jc w:val="both"/>
        <w:ind w:right="20" w:firstLine="658"/>
        <w:spacing w:after="0" w:line="286" w:lineRule="auto"/>
        <w:tabs>
          <w:tab w:leader="none" w:pos="10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Confidentiality. You will hold this letter and its terms and conditions in confidence and not disclose them at any time (whether during or after your employment with Celsion) to any other person, unless compelled by lawful process and except for disclosures to your spouse and/or legal or tax professionals (each of whom, as a condition of such disclosure to them, must similarly agree to hold such information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626745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120" w:name="page121"/>
    <w:bookmarkEnd w:id="120"/>
    <w:p>
      <w:pPr>
        <w:jc w:val="both"/>
        <w:ind w:left="120" w:firstLine="663"/>
        <w:spacing w:after="0" w:line="270" w:lineRule="auto"/>
        <w:tabs>
          <w:tab w:leader="none" w:pos="11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Miscellaneous. For as long as you are employed by Celsion, you agree to continue to fulfill your duties, comply with all applicable company policies, and use your best efforts to advance the interests of Celsion. However, nothing contained in this letter constitutes an employment or service commitment by Celsion (or any of its affiliates), affects your status as an employee at will who is subject to termination without cause at any time, or interferes in any way with Celsion' s right (or the right of its affiliates) to change your compensation or other terms of employment at any time. This letter contains all of the terms and conditions of the retention and severance arrangements described herein and supersedes all prior understandings and agreements, written or oral, between you and Celsion with respect thereto. You agree that your Continuing Obligations will survive any termination of your employment, and you affirm and agree to continue to abide by your Continuing Obligations. You represent that you have not previously breached any of your Continuing Obligations. This letter may be amended only by a written agreement, signed by an authorized officer of Celsion that expressly refers to this letter. The validity, interpretation, construction and performance of this letter shall be governed by the laws of the State of Alabama without regard to the conflicts of laws principles thereof.</w:t>
      </w:r>
    </w:p>
    <w:p>
      <w:pPr>
        <w:spacing w:after="0" w:line="178" w:lineRule="exact"/>
        <w:rPr>
          <w:sz w:val="20"/>
          <w:szCs w:val="20"/>
          <w:color w:val="auto"/>
        </w:rPr>
      </w:pPr>
    </w:p>
    <w:p>
      <w:pPr>
        <w:jc w:val="both"/>
        <w:ind w:left="120" w:firstLine="644"/>
        <w:spacing w:after="0" w:line="264" w:lineRule="auto"/>
        <w:rPr>
          <w:sz w:val="20"/>
          <w:szCs w:val="20"/>
          <w:color w:val="auto"/>
        </w:rPr>
      </w:pPr>
      <w:r>
        <w:rPr>
          <w:rFonts w:ascii="Arial" w:cs="Arial" w:eastAsia="Arial" w:hAnsi="Arial"/>
          <w:sz w:val="18"/>
          <w:szCs w:val="18"/>
          <w:color w:val="auto"/>
        </w:rPr>
        <w:t>If this letter accurately reflects our understanding regarding these matters, please indicate your acceptance by signing this letter below and returning it to me. A duplicate copy of this letter is included for your records. If you have any questions about the contents of this letter, please contact Jeffrey Church at (609) 896-9100.</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Michael H. Tardugno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H. Tardugno</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ACCEPTED:</w:t>
      </w:r>
    </w:p>
    <w:p>
      <w:pPr>
        <w:sectPr>
          <w:pgSz w:w="11900" w:h="16838" w:orient="portrait"/>
          <w:cols w:equalWidth="0" w:num="1">
            <w:col w:w="11320"/>
          </w:cols>
          <w:pgMar w:left="240" w:top="854"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6"/>
          <w:szCs w:val="16"/>
          <w:i w:val="1"/>
          <w:iCs w:val="1"/>
          <w:u w:val="single" w:color="auto"/>
          <w:color w:val="auto"/>
        </w:rPr>
        <w:t>Khursheed Anwer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June 2, 2014</w:t>
      </w:r>
    </w:p>
    <w:p>
      <w:pPr>
        <w:spacing w:after="0" w:line="211" w:lineRule="exact"/>
        <w:rPr>
          <w:sz w:val="20"/>
          <w:szCs w:val="20"/>
          <w:color w:val="auto"/>
        </w:rPr>
      </w:pPr>
    </w:p>
    <w:p>
      <w:pPr>
        <w:sectPr>
          <w:pgSz w:w="11900" w:h="16838" w:orient="portrait"/>
          <w:cols w:equalWidth="0" w:num="2">
            <w:col w:w="5920" w:space="720"/>
            <w:col w:w="4680"/>
          </w:cols>
          <w:pgMar w:left="240" w:top="85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289560</wp:posOffset>
            </wp:positionV>
            <wp:extent cx="3413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920" w:space="720"/>
            <w:col w:w="4680"/>
          </w:cols>
          <w:pgMar w:left="240" w:top="854" w:right="3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 of Celsion Corporation</w:t>
            </w:r>
          </w:p>
        </w:tc>
      </w:tr>
      <w:tr>
        <w:trPr>
          <w:trHeight w:val="414"/>
        </w:trPr>
        <w:tc>
          <w:tcPr>
            <w:tcW w:w="3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CLSN Laboratories, Inc.</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36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New Jersey</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incorporation by reference of our report dated March 12, 2015, with respect to the financial statements of Celsion Corporation, included in the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Stegman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left="260" w:right="2480"/>
        <w:spacing w:after="0" w:line="255"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560" w:hanging="552"/>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 w:firstLine="494"/>
        <w:spacing w:after="0" w:line="264" w:lineRule="auto"/>
        <w:tabs>
          <w:tab w:leader="none" w:pos="11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94"/>
        <w:spacing w:after="0" w:line="264" w:lineRule="auto"/>
        <w:tabs>
          <w:tab w:leader="none" w:pos="11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20" w:firstLine="494"/>
        <w:spacing w:after="0" w:line="342" w:lineRule="auto"/>
        <w:tabs>
          <w:tab w:leader="none" w:pos="1181"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4" w:lineRule="auto"/>
        <w:tabs>
          <w:tab w:leader="none" w:pos="11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60" w:firstLine="494"/>
        <w:spacing w:after="0" w:line="308" w:lineRule="auto"/>
        <w:tabs>
          <w:tab w:leader="none" w:pos="1171"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40" w:firstLine="494"/>
        <w:spacing w:after="0" w:line="277" w:lineRule="auto"/>
        <w:tabs>
          <w:tab w:leader="none" w:pos="11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March 12,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H. Tardugno</w:t>
            </w:r>
          </w:p>
        </w:tc>
      </w:tr>
      <w:tr>
        <w:trPr>
          <w:trHeight w:val="195"/>
        </w:trPr>
        <w:tc>
          <w:tcPr>
            <w:tcW w:w="55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260" w:right="2480"/>
        <w:spacing w:after="0" w:line="255"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560" w:hanging="552"/>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 w:firstLine="494"/>
        <w:spacing w:after="0" w:line="264" w:lineRule="auto"/>
        <w:tabs>
          <w:tab w:leader="none" w:pos="11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94"/>
        <w:spacing w:after="0" w:line="264" w:lineRule="auto"/>
        <w:tabs>
          <w:tab w:leader="none" w:pos="11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20" w:firstLine="494"/>
        <w:spacing w:after="0" w:line="342" w:lineRule="auto"/>
        <w:tabs>
          <w:tab w:leader="none" w:pos="1181"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4" w:lineRule="auto"/>
        <w:tabs>
          <w:tab w:leader="none" w:pos="11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60" w:firstLine="494"/>
        <w:spacing w:after="0" w:line="308" w:lineRule="auto"/>
        <w:tabs>
          <w:tab w:leader="none" w:pos="11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40" w:firstLine="494"/>
        <w:spacing w:after="0" w:line="277" w:lineRule="auto"/>
        <w:tabs>
          <w:tab w:leader="none" w:pos="11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12,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2014, as filed with the Securities and Exchange Commission on or about March 12, 2015 (the “Report”), I, Michael H. Tardugno, President and Chief Executive Officer of the Company, certify, pursuant to 10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12,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2014, as filed with the Securities and Exchange Commission on or about March 12, 2015 (the “Report”), I, Jeffrey W. Church, Senior Vice President and Chief Financial Officer of the Company, certify, pursuant to 10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12,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Letter"/>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lvl w:ilvl="1">
      <w:lvlJc w:val="left"/>
      <w:lvlText w:val="●"/>
      <w:numFmt w:val="bullet"/>
      <w:start w:val="1"/>
    </w:lvl>
  </w:abstractNum>
  <w:abstractNum w:abstractNumId="10">
    <w:nsid w:val="153EA438"/>
    <w:multiLevelType w:val="hybridMultilevel"/>
    <w:lvl w:ilvl="0">
      <w:lvlJc w:val="left"/>
      <w:lvlText w:val="%1."/>
      <w:numFmt w:val="upperLetter"/>
      <w:start w:val="1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2"/>
    </w:lvl>
  </w:abstractNum>
  <w:abstractNum w:abstractNumId="19">
    <w:nsid w:val="7A6D8D3C"/>
    <w:multiLevelType w:val="hybridMultilevel"/>
    <w:lvl w:ilvl="0">
      <w:lvlJc w:val="left"/>
      <w:lvlText w:val="(%1)"/>
      <w:numFmt w:val="lowerLetter"/>
      <w:start w:val="3"/>
    </w:lvl>
  </w:abstractNum>
  <w:abstractNum w:abstractNumId="20">
    <w:nsid w:val="4B588F54"/>
    <w:multiLevelType w:val="hybridMultilevel"/>
    <w:lvl w:ilvl="0">
      <w:lvlJc w:val="left"/>
      <w:lvlText w:val="(%1)"/>
      <w:numFmt w:val="lowerLetter"/>
      <w:start w:val="4"/>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21"/>
    </w:lvl>
  </w:abstractNum>
  <w:abstractNum w:abstractNumId="31">
    <w:nsid w:val="79A1DEAA"/>
    <w:multiLevelType w:val="hybridMultilevel"/>
    <w:lvl w:ilvl="0">
      <w:lvlJc w:val="left"/>
      <w:lvlText w:val="%1."/>
      <w:numFmt w:val="decimal"/>
      <w:start w:val="16"/>
    </w:lvl>
    <w:lvl w:ilvl="1">
      <w:lvlJc w:val="left"/>
      <w:lvlText w:val="●"/>
      <w:numFmt w:val="bullet"/>
      <w:start w:val="1"/>
    </w:lvl>
  </w:abstractNum>
  <w:abstractNum w:abstractNumId="32">
    <w:nsid w:val="75C6C33A"/>
    <w:multiLevelType w:val="hybridMultilevel"/>
    <w:lvl w:ilvl="0">
      <w:lvlJc w:val="left"/>
      <w:lvlText w:val="%1."/>
      <w:numFmt w:val="decimal"/>
      <w:start w:val="1"/>
    </w:lvl>
    <w:lvl w:ilvl="1">
      <w:lvlJc w:val="left"/>
      <w:lvlText w:val="(%2)"/>
      <w:numFmt w:val="lowerLetter"/>
      <w:start w:val="1"/>
    </w:lvl>
  </w:abstractNum>
  <w:abstractNum w:abstractNumId="33">
    <w:nsid w:val="12E685FB"/>
    <w:multiLevelType w:val="hybridMultilevel"/>
    <w:lvl w:ilvl="0">
      <w:lvlJc w:val="left"/>
      <w:lvlText w:val="%1"/>
      <w:numFmt w:val="decimal"/>
      <w:start w:val="1"/>
    </w:lvl>
    <w:lvl w:ilvl="1">
      <w:lvlJc w:val="left"/>
      <w:lvlText w:val="(%2)"/>
      <w:numFmt w:val="lowerLetter"/>
      <w:start w:val="4"/>
    </w:lvl>
  </w:abstractNum>
  <w:abstractNum w:abstractNumId="34">
    <w:nsid w:val="70C6A529"/>
    <w:multiLevelType w:val="hybridMultilevel"/>
    <w:lvl w:ilvl="0">
      <w:lvlJc w:val="left"/>
      <w:lvlText w:val="%1."/>
      <w:numFmt w:val="decimal"/>
      <w:start w:val="2"/>
    </w:lvl>
    <w:lvl w:ilvl="1">
      <w:lvlJc w:val="left"/>
      <w:lvlText w:val="(%2)"/>
      <w:numFmt w:val="lowerLetter"/>
      <w:start w:val="1"/>
    </w:lvl>
  </w:abstractNum>
  <w:abstractNum w:abstractNumId="35">
    <w:nsid w:val="520EEDD1"/>
    <w:multiLevelType w:val="hybridMultilevel"/>
    <w:lvl w:ilvl="0">
      <w:lvlJc w:val="left"/>
      <w:lvlText w:val="(%1)"/>
      <w:numFmt w:val="lowerLetter"/>
      <w:start w:val="3"/>
    </w:lvl>
  </w:abstractNum>
  <w:abstractNum w:abstractNumId="36">
    <w:nsid w:val="374A3FE6"/>
    <w:multiLevelType w:val="hybridMultilevel"/>
    <w:lvl w:ilvl="0">
      <w:lvlJc w:val="left"/>
      <w:lvlText w:val="%1"/>
      <w:numFmt w:val="decimal"/>
      <w:start w:val="1"/>
    </w:lvl>
    <w:lvl w:ilvl="1">
      <w:lvlJc w:val="left"/>
      <w:lvlText w:val="(%2)"/>
      <w:numFmt w:val="lowerLetter"/>
      <w:start w:val="7"/>
    </w:lvl>
  </w:abstractNum>
  <w:abstractNum w:abstractNumId="37">
    <w:nsid w:val="4F4EF005"/>
    <w:multiLevelType w:val="hybridMultilevel"/>
    <w:lvl w:ilvl="0">
      <w:lvlJc w:val="left"/>
      <w:lvlText w:val="%1."/>
      <w:numFmt w:val="decimal"/>
      <w:start w:val="4"/>
    </w:lvl>
    <w:lvl w:ilvl="1">
      <w:lvlJc w:val="left"/>
      <w:lvlText w:val="(%2)"/>
      <w:numFmt w:val="lowerLetter"/>
      <w:start w:val="1"/>
    </w:lvl>
  </w:abstractNum>
  <w:abstractNum w:abstractNumId="38">
    <w:nsid w:val="23F9C13C"/>
    <w:multiLevelType w:val="hybridMultilevel"/>
    <w:lvl w:ilvl="0">
      <w:lvlJc w:val="left"/>
      <w:lvlText w:val="(%1)"/>
      <w:numFmt w:val="lowerLetter"/>
      <w:start w:val="3"/>
    </w:lvl>
  </w:abstractNum>
  <w:abstractNum w:abstractNumId="39">
    <w:nsid w:val="649BB77C"/>
    <w:multiLevelType w:val="hybridMultilevel"/>
    <w:lvl w:ilvl="0">
      <w:lvlJc w:val="left"/>
      <w:lvlText w:val="%1."/>
      <w:numFmt w:val="decimal"/>
      <w:start w:val="6"/>
    </w:lvl>
    <w:lvl w:ilvl="1">
      <w:lvlJc w:val="left"/>
      <w:lvlText w:val="(%2)"/>
      <w:numFmt w:val="lowerLetter"/>
      <w:start w:val="1"/>
    </w:lvl>
  </w:abstractNum>
  <w:abstractNum w:abstractNumId="40">
    <w:nsid w:val="275AC794"/>
    <w:multiLevelType w:val="hybridMultilevel"/>
    <w:lvl w:ilvl="0">
      <w:lvlJc w:val="left"/>
      <w:lvlText w:val="%1"/>
      <w:numFmt w:val="decimal"/>
      <w:start w:val="1"/>
    </w:lvl>
    <w:lvl w:ilvl="1">
      <w:lvlJc w:val="left"/>
      <w:lvlText w:val="(%2)"/>
      <w:numFmt w:val="lowerLetter"/>
      <w:start w:val="3"/>
    </w:lvl>
  </w:abstractNum>
  <w:abstractNum w:abstractNumId="41">
    <w:nsid w:val="39386575"/>
    <w:multiLevelType w:val="hybridMultilevel"/>
    <w:lvl w:ilvl="0">
      <w:lvlJc w:val="left"/>
      <w:lvlText w:val="%1."/>
      <w:numFmt w:val="decimal"/>
      <w:start w:val="7"/>
    </w:lvl>
    <w:lvl w:ilvl="1">
      <w:lvlJc w:val="left"/>
      <w:lvlText w:val="(%2)"/>
      <w:numFmt w:val="lowerLetter"/>
      <w:start w:val="1"/>
    </w:lvl>
  </w:abstractNum>
  <w:abstractNum w:abstractNumId="42">
    <w:nsid w:val="1CF10FD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
    <w:nsid w:val="180115B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4">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5">
    <w:nsid w:val="47398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354FE9F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7">
    <w:nsid w:val="15B5AF5C"/>
    <w:multiLevelType w:val="hybridMultilevel"/>
    <w:lvl w:ilvl="0">
      <w:lvlJc w:val="left"/>
      <w:lvlText w:val="(%1)"/>
      <w:numFmt w:val="lowerLetter"/>
      <w:start w:val="2"/>
    </w:lvl>
    <w:lvl w:ilvl="1">
      <w:lvlJc w:val="left"/>
      <w:lvlText w:val="(%2)"/>
      <w:numFmt w:val="lowerRoman"/>
      <w:start w:val="1"/>
    </w:lvl>
  </w:abstractNum>
  <w:abstractNum w:abstractNumId="48">
    <w:nsid w:val="741226BB"/>
    <w:multiLevelType w:val="hybridMultilevel"/>
    <w:lvl w:ilvl="0">
      <w:lvlJc w:val="left"/>
      <w:lvlText w:val="(%1)"/>
      <w:numFmt w:val="lowerLetter"/>
      <w:start w:val="4"/>
    </w:lvl>
    <w:lvl w:ilvl="1">
      <w:lvlJc w:val="left"/>
      <w:lvlText w:val="(%2)"/>
      <w:numFmt w:val="lowerRoman"/>
      <w:start w:val="1"/>
    </w:lvl>
  </w:abstractNum>
  <w:abstractNum w:abstractNumId="49">
    <w:nsid w:val="D34B6A8"/>
    <w:multiLevelType w:val="hybridMultilevel"/>
    <w:lvl w:ilvl="0">
      <w:lvlJc w:val="left"/>
      <w:lvlText w:val="%1."/>
      <w:numFmt w:val="decimal"/>
      <w:start w:val="10"/>
    </w:lvl>
  </w:abstractNum>
  <w:abstractNum w:abstractNumId="50">
    <w:nsid w:val="10233C9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1">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2">
    <w:nsid w:val="61574095"/>
    <w:multiLevelType w:val="hybridMultilevel"/>
    <w:lvl w:ilvl="0">
      <w:lvlJc w:val="left"/>
      <w:lvlText w:val="(%1)"/>
      <w:numFmt w:val="lowerRoman"/>
      <w:start w:val="2"/>
    </w:lvl>
  </w:abstractNum>
  <w:abstractNum w:abstractNumId="53">
    <w:nsid w:val="7E0C57B1"/>
    <w:multiLevelType w:val="hybridMultilevel"/>
    <w:lvl w:ilvl="0">
      <w:lvlJc w:val="left"/>
      <w:lvlText w:val="(%1)"/>
      <w:numFmt w:val="lowerRoman"/>
      <w:start w:val="4"/>
    </w:lvl>
  </w:abstractNum>
  <w:abstractNum w:abstractNumId="54">
    <w:nsid w:val="77AE35EB"/>
    <w:multiLevelType w:val="hybridMultilevel"/>
    <w:lvl w:ilvl="0">
      <w:lvlJc w:val="left"/>
      <w:lvlText w:val="(%1)"/>
      <w:numFmt w:val="upperLetter"/>
      <w:start w:val="1"/>
    </w:lvl>
  </w:abstractNum>
  <w:abstractNum w:abstractNumId="55">
    <w:nsid w:val="579BE4F1"/>
    <w:multiLevelType w:val="hybridMultilevel"/>
    <w:lvl w:ilvl="0">
      <w:lvlJc w:val="left"/>
      <w:lvlText w:val="%1"/>
      <w:numFmt w:val="decimal"/>
      <w:start w:val="1"/>
    </w:lvl>
    <w:lvl w:ilvl="1">
      <w:lvlJc w:val="left"/>
      <w:lvlText w:val="(%2)"/>
      <w:numFmt w:val="lowerLetter"/>
      <w:start w:val="3"/>
    </w:lvl>
  </w:abstractNum>
  <w:abstractNum w:abstractNumId="56">
    <w:nsid w:val="310C50B3"/>
    <w:multiLevelType w:val="hybridMultilevel"/>
    <w:lvl w:ilvl="0">
      <w:lvlJc w:val="left"/>
      <w:lvlText w:val="%1."/>
      <w:numFmt w:val="decimal"/>
      <w:start w:val="13"/>
    </w:lvl>
    <w:lvl w:ilvl="1">
      <w:lvlJc w:val="left"/>
      <w:lvlText w:val="%2"/>
      <w:numFmt w:val="lowerLetter"/>
      <w:start w:val="1"/>
    </w:lvl>
  </w:abstractNum>
  <w:abstractNum w:abstractNumId="57">
    <w:nsid w:val="5FF87E05"/>
    <w:multiLevelType w:val="hybridMultilevel"/>
    <w:lvl w:ilvl="0">
      <w:lvlJc w:val="left"/>
      <w:lvlText w:val="%1."/>
      <w:numFmt w:val="decimal"/>
      <w:start w:val="14"/>
    </w:lvl>
    <w:lvl w:ilvl="1">
      <w:lvlJc w:val="left"/>
      <w:lvlText w:val="(%2)"/>
      <w:numFmt w:val="lowerLetter"/>
      <w:start w:val="1"/>
    </w:lvl>
  </w:abstractNum>
  <w:abstractNum w:abstractNumId="58">
    <w:nsid w:val="2F305DEF"/>
    <w:multiLevelType w:val="hybridMultilevel"/>
    <w:lvl w:ilvl="0">
      <w:lvlJc w:val="left"/>
      <w:lvlText w:val="%1."/>
      <w:numFmt w:val="decimal"/>
      <w:start w:val="15"/>
    </w:lvl>
  </w:abstractNum>
  <w:abstractNum w:abstractNumId="59">
    <w:nsid w:val="25A70BF7"/>
    <w:multiLevelType w:val="hybridMultilevel"/>
    <w:lvl w:ilvl="0">
      <w:lvlJc w:val="left"/>
      <w:lvlText w:val="%1."/>
      <w:numFmt w:val="decimal"/>
      <w:start w:val="17"/>
    </w:lvl>
  </w:abstractNum>
  <w:abstractNum w:abstractNumId="60">
    <w:nsid w:val="1DBABF00"/>
    <w:multiLevelType w:val="hybridMultilevel"/>
    <w:lvl w:ilvl="0">
      <w:lvlJc w:val="left"/>
      <w:lvlText w:val="%1."/>
      <w:numFmt w:val="decimal"/>
      <w:start w:val="18"/>
    </w:lvl>
    <w:lvl w:ilvl="1">
      <w:lvlJc w:val="left"/>
      <w:lvlText w:val="(%2)"/>
      <w:numFmt w:val="lowerLetter"/>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lvl w:ilvl="1">
      <w:lvlJc w:val="left"/>
      <w:lvlText w:val="•"/>
      <w:numFmt w:val="bullet"/>
      <w:start w:val="1"/>
    </w:lvl>
  </w:abstractNum>
  <w:abstractNum w:abstractNumId="63">
    <w:nsid w:val="1381823A"/>
    <w:multiLevelType w:val="hybridMultilevel"/>
    <w:lvl w:ilvl="0">
      <w:lvlJc w:val="left"/>
      <w:lvlText w:val="%1."/>
      <w:numFmt w:val="upperLetter"/>
      <w:start w:val="9"/>
    </w:lvl>
  </w:abstractNum>
  <w:abstractNum w:abstractNumId="64">
    <w:nsid w:val="5DB70AE5"/>
    <w:multiLevelType w:val="hybridMultilevel"/>
    <w:lvl w:ilvl="0">
      <w:lvlJc w:val="left"/>
      <w:lvlText w:val="%1."/>
      <w:numFmt w:val="decimal"/>
      <w:start w:val="2"/>
    </w:lvl>
  </w:abstractNum>
  <w:abstractNum w:abstractNumId="65">
    <w:nsid w:val="100F8FCA"/>
    <w:multiLevelType w:val="hybridMultilevel"/>
    <w:lvl w:ilvl="0">
      <w:lvlJc w:val="left"/>
      <w:lvlText w:val="%1."/>
      <w:numFmt w:val="decimal"/>
      <w:start w:val="4"/>
    </w:lvl>
  </w:abstractNum>
  <w:abstractNum w:abstractNumId="66">
    <w:nsid w:val="6590700B"/>
    <w:multiLevelType w:val="hybridMultilevel"/>
    <w:lvl w:ilvl="0">
      <w:lvlJc w:val="left"/>
      <w:lvlText w:val="%1."/>
      <w:numFmt w:val="decimal"/>
      <w:start w:val="6"/>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2019-12-05T22:10:37Z</dcterms:created>
  <dcterms:modified xsi:type="dcterms:W3CDTF">2019-12-05T22:10:37Z</dcterms:modified>
</cp:coreProperties>
</file>