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65" w:lineRule="exact"/>
        <w:rPr>
          <w:sz w:val="24"/>
          <w:szCs w:val="24"/>
          <w:color w:val="auto"/>
        </w:rPr>
      </w:pPr>
    </w:p>
    <w:p>
      <w:pPr>
        <w:ind w:left="4000" w:right="780" w:hanging="3020"/>
        <w:spacing w:after="0" w:line="528" w:lineRule="auto"/>
        <w:tabs>
          <w:tab w:leader="none" w:pos="195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2013</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1960" w:hanging="980"/>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295"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For the transition period from ____________ to ____________</w:t>
      </w:r>
    </w:p>
    <w:p>
      <w:pPr>
        <w:spacing w:after="0" w:line="27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001-15911</w:t>
      </w:r>
    </w:p>
    <w:p>
      <w:pPr>
        <w:spacing w:after="0" w:line="27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592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52-1256615</w:t>
            </w:r>
          </w:p>
        </w:tc>
      </w:tr>
      <w:tr>
        <w:trPr>
          <w:trHeight w:val="230"/>
        </w:trPr>
        <w:tc>
          <w:tcPr>
            <w:tcW w:w="550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Lawrenceville, NJ 08648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0" w:right="239" w:bottom="1440" w:gutter="0" w:footer="0" w:header="0"/>
        </w:sect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3">
            <w:col w:w="5320" w:space="720"/>
            <w:col w:w="1200" w:space="540"/>
            <w:col w:w="3640"/>
          </w:cols>
          <w:pgMar w:left="240" w:top="31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5">
            <w:col w:w="1540" w:space="120"/>
            <w:col w:w="100" w:space="140"/>
            <w:col w:w="3420" w:space="720"/>
            <w:col w:w="1980" w:space="180"/>
            <w:col w:w="3220"/>
          </w:cols>
          <w:pgMar w:left="240" w:top="310" w:right="239" w:bottom="1440" w:gutter="0" w:footer="0" w:header="0"/>
          <w:type w:val="continuous"/>
        </w:sectPr>
      </w:pP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As of May 8, 2013, the Registrant had 51,612,902 shares of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20" w:type="dxa"/>
            <w:vAlign w:val="bottom"/>
          </w:tcPr>
          <w:p>
            <w:pPr>
              <w:jc w:val="center"/>
              <w:ind w:left="1390"/>
              <w:spacing w:after="0"/>
              <w:rPr>
                <w:sz w:val="20"/>
                <w:szCs w:val="20"/>
                <w:color w:val="auto"/>
              </w:rPr>
            </w:pPr>
            <w:r>
              <w:rPr>
                <w:rFonts w:ascii="Arial" w:cs="Arial" w:eastAsia="Arial" w:hAnsi="Arial"/>
                <w:sz w:val="18"/>
                <w:szCs w:val="18"/>
                <w:b w:val="1"/>
                <w:bCs w:val="1"/>
                <w:color w:val="auto"/>
              </w:rPr>
              <w:t>CELSION CORPORATION</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2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QUARTERLY REPORT ON</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2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FORM 10-Q</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2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060" w:type="dxa"/>
            <w:vAlign w:val="bottom"/>
            <w:gridSpan w:val="2"/>
          </w:tcPr>
          <w:p>
            <w:pPr>
              <w:spacing w:after="0"/>
              <w:rPr>
                <w:sz w:val="23"/>
                <w:szCs w:val="23"/>
                <w:color w:val="auto"/>
              </w:rPr>
            </w:pP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0FFFF"/>
          </w:tcPr>
          <w:p>
            <w:pPr>
              <w:spacing w:after="0"/>
              <w:rPr>
                <w:sz w:val="20"/>
                <w:szCs w:val="20"/>
                <w:color w:val="auto"/>
              </w:rPr>
            </w:pPr>
            <w:r>
              <w:rPr>
                <w:rFonts w:ascii="Arial" w:cs="Arial" w:eastAsia="Arial" w:hAnsi="Arial"/>
                <w:sz w:val="18"/>
                <w:szCs w:val="18"/>
                <w:b w:val="1"/>
                <w:bCs w:val="1"/>
                <w:color w:val="auto"/>
              </w:rPr>
              <w:t>PART I: FINANCIAL INFORMATION</w:t>
            </w: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340" w:type="dxa"/>
            <w:vAlign w:val="bottom"/>
          </w:tcPr>
          <w:p>
            <w:pPr>
              <w:ind w:left="16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1.</w:t>
            </w:r>
          </w:p>
        </w:tc>
        <w:tc>
          <w:tcPr>
            <w:tcW w:w="8220" w:type="dxa"/>
            <w:vAlign w:val="bottom"/>
            <w:shd w:val="clear" w:color="auto" w:fill="C0FFFF"/>
          </w:tcPr>
          <w:p>
            <w:pPr>
              <w:ind w:left="60"/>
              <w:spacing w:after="0"/>
              <w:rPr>
                <w:sz w:val="20"/>
                <w:szCs w:val="20"/>
                <w:color w:val="auto"/>
              </w:rPr>
            </w:pPr>
            <w:r>
              <w:rPr>
                <w:rFonts w:ascii="Arial" w:cs="Arial" w:eastAsia="Arial" w:hAnsi="Arial"/>
                <w:sz w:val="18"/>
                <w:szCs w:val="18"/>
                <w:color w:val="auto"/>
              </w:rPr>
              <w:t>Financial Statements (Unaudited)</w:t>
            </w: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Arial" w:cs="Arial" w:eastAsia="Arial" w:hAnsi="Arial"/>
                <w:sz w:val="18"/>
                <w:szCs w:val="18"/>
                <w:color w:val="auto"/>
              </w:rPr>
              <w:t>Balance Sheets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220" w:type="dxa"/>
            <w:vAlign w:val="bottom"/>
            <w:shd w:val="clear" w:color="auto" w:fill="C0FFFF"/>
          </w:tcPr>
          <w:p>
            <w:pPr>
              <w:ind w:left="220"/>
              <w:spacing w:after="0"/>
              <w:rPr>
                <w:sz w:val="20"/>
                <w:szCs w:val="20"/>
                <w:color w:val="auto"/>
              </w:rPr>
            </w:pPr>
            <w:r>
              <w:rPr>
                <w:rFonts w:ascii="Arial" w:cs="Arial" w:eastAsia="Arial" w:hAnsi="Arial"/>
                <w:sz w:val="18"/>
                <w:szCs w:val="18"/>
                <w:color w:val="auto"/>
              </w:rPr>
              <w:t>Statements of Operations</w:t>
            </w:r>
          </w:p>
        </w:tc>
        <w:tc>
          <w:tcPr>
            <w:tcW w:w="2340" w:type="dxa"/>
            <w:vAlign w:val="bottom"/>
            <w:shd w:val="clear" w:color="auto" w:fill="C0FFFF"/>
          </w:tcPr>
          <w:p>
            <w:pPr>
              <w:jc w:val="center"/>
              <w:ind w:left="13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Arial" w:cs="Arial" w:eastAsia="Arial" w:hAnsi="Arial"/>
                <w:sz w:val="18"/>
                <w:szCs w:val="18"/>
                <w:color w:val="auto"/>
              </w:rPr>
              <w:t>Statements of Comprehensive Loss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220" w:type="dxa"/>
            <w:vAlign w:val="bottom"/>
            <w:shd w:val="clear" w:color="auto" w:fill="C0FFFF"/>
          </w:tcPr>
          <w:p>
            <w:pPr>
              <w:ind w:left="220"/>
              <w:spacing w:after="0"/>
              <w:rPr>
                <w:sz w:val="20"/>
                <w:szCs w:val="20"/>
                <w:color w:val="auto"/>
              </w:rPr>
            </w:pPr>
            <w:r>
              <w:rPr>
                <w:rFonts w:ascii="Arial" w:cs="Arial" w:eastAsia="Arial" w:hAnsi="Arial"/>
                <w:sz w:val="18"/>
                <w:szCs w:val="18"/>
                <w:color w:val="auto"/>
              </w:rPr>
              <w:t>Statements of Cash Flows</w:t>
            </w:r>
          </w:p>
        </w:tc>
        <w:tc>
          <w:tcPr>
            <w:tcW w:w="2340" w:type="dxa"/>
            <w:vAlign w:val="bottom"/>
            <w:shd w:val="clear" w:color="auto" w:fill="C0FFFF"/>
          </w:tcPr>
          <w:p>
            <w:pPr>
              <w:jc w:val="center"/>
              <w:ind w:left="13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Arial" w:cs="Arial" w:eastAsia="Arial" w:hAnsi="Arial"/>
                <w:sz w:val="18"/>
                <w:szCs w:val="18"/>
                <w:color w:val="auto"/>
              </w:rPr>
              <w:t>Notes to Financial Statements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94"/>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220" w:type="dxa"/>
            <w:vAlign w:val="bottom"/>
            <w:shd w:val="clear" w:color="auto" w:fill="C0FFFF"/>
          </w:tcPr>
          <w:p>
            <w:pPr>
              <w:spacing w:after="0"/>
              <w:rPr>
                <w:sz w:val="18"/>
                <w:szCs w:val="18"/>
                <w:color w:val="auto"/>
              </w:rPr>
            </w:pP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2.</w:t>
            </w:r>
          </w:p>
        </w:tc>
        <w:tc>
          <w:tcPr>
            <w:tcW w:w="822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220" w:type="dxa"/>
            <w:vAlign w:val="bottom"/>
            <w:shd w:val="clear" w:color="auto" w:fill="C0FFFF"/>
          </w:tcPr>
          <w:p>
            <w:pPr>
              <w:spacing w:after="0"/>
              <w:rPr>
                <w:sz w:val="18"/>
                <w:szCs w:val="18"/>
                <w:color w:val="auto"/>
              </w:rPr>
            </w:pP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3.</w:t>
            </w:r>
          </w:p>
        </w:tc>
        <w:tc>
          <w:tcPr>
            <w:tcW w:w="822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220" w:type="dxa"/>
            <w:vAlign w:val="bottom"/>
            <w:shd w:val="clear" w:color="auto" w:fill="C0FFFF"/>
          </w:tcPr>
          <w:p>
            <w:pPr>
              <w:spacing w:after="0"/>
              <w:rPr>
                <w:sz w:val="18"/>
                <w:szCs w:val="18"/>
                <w:color w:val="auto"/>
              </w:rPr>
            </w:pP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4.</w:t>
            </w:r>
          </w:p>
        </w:tc>
        <w:tc>
          <w:tcPr>
            <w:tcW w:w="822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60" w:type="dxa"/>
            <w:vAlign w:val="bottom"/>
            <w:gridSpan w:val="2"/>
            <w:shd w:val="clear" w:color="auto" w:fill="C0FFFF"/>
          </w:tcPr>
          <w:p>
            <w:pPr>
              <w:spacing w:after="0"/>
              <w:rPr>
                <w:sz w:val="18"/>
                <w:szCs w:val="18"/>
                <w:color w:val="auto"/>
              </w:rPr>
            </w:pP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220" w:type="dxa"/>
            <w:vAlign w:val="bottom"/>
            <w:shd w:val="clear" w:color="auto" w:fill="C0FFFF"/>
          </w:tcPr>
          <w:p>
            <w:pPr>
              <w:spacing w:after="0"/>
              <w:rPr>
                <w:sz w:val="18"/>
                <w:szCs w:val="18"/>
                <w:color w:val="auto"/>
              </w:rPr>
            </w:pP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1.</w:t>
            </w:r>
          </w:p>
        </w:tc>
        <w:tc>
          <w:tcPr>
            <w:tcW w:w="822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8"/>
              </w:rPr>
              <w:t>Item 1A.</w:t>
            </w:r>
          </w:p>
        </w:tc>
        <w:tc>
          <w:tcPr>
            <w:tcW w:w="8220" w:type="dxa"/>
            <w:vAlign w:val="bottom"/>
            <w:shd w:val="clear" w:color="auto" w:fill="C0FFFF"/>
          </w:tcPr>
          <w:p>
            <w:pPr>
              <w:ind w:left="60"/>
              <w:spacing w:after="0"/>
              <w:rPr>
                <w:sz w:val="20"/>
                <w:szCs w:val="20"/>
                <w:color w:val="auto"/>
              </w:rPr>
            </w:pPr>
            <w:r>
              <w:rPr>
                <w:rFonts w:ascii="Arial" w:cs="Arial" w:eastAsia="Arial" w:hAnsi="Arial"/>
                <w:sz w:val="18"/>
                <w:szCs w:val="18"/>
                <w:color w:val="auto"/>
              </w:rPr>
              <w:t>Risk Factors</w:t>
            </w:r>
          </w:p>
        </w:tc>
        <w:tc>
          <w:tcPr>
            <w:tcW w:w="2340" w:type="dxa"/>
            <w:vAlign w:val="bottom"/>
            <w:shd w:val="clear" w:color="auto" w:fill="C0FFFF"/>
          </w:tcPr>
          <w:p>
            <w:pPr>
              <w:jc w:val="center"/>
              <w:ind w:left="131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2.</w:t>
            </w:r>
          </w:p>
        </w:tc>
        <w:tc>
          <w:tcPr>
            <w:tcW w:w="8220" w:type="dxa"/>
            <w:vAlign w:val="bottom"/>
          </w:tcPr>
          <w:p>
            <w:pPr>
              <w:ind w:left="60"/>
              <w:spacing w:after="0"/>
              <w:rPr>
                <w:sz w:val="20"/>
                <w:szCs w:val="20"/>
                <w:color w:val="auto"/>
              </w:rPr>
            </w:pPr>
            <w:r>
              <w:rPr>
                <w:rFonts w:ascii="Arial" w:cs="Arial" w:eastAsia="Arial" w:hAnsi="Arial"/>
                <w:sz w:val="18"/>
                <w:szCs w:val="18"/>
                <w:color w:val="auto"/>
              </w:rPr>
              <w:t>Unregistered Sales of Equity Securities and Use of Proceeds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3.</w:t>
            </w:r>
          </w:p>
        </w:tc>
        <w:tc>
          <w:tcPr>
            <w:tcW w:w="8220" w:type="dxa"/>
            <w:vAlign w:val="bottom"/>
            <w:shd w:val="clear" w:color="auto" w:fill="C0FFFF"/>
          </w:tcPr>
          <w:p>
            <w:pPr>
              <w:ind w:left="60"/>
              <w:spacing w:after="0"/>
              <w:rPr>
                <w:sz w:val="20"/>
                <w:szCs w:val="20"/>
                <w:color w:val="auto"/>
              </w:rPr>
            </w:pPr>
            <w:r>
              <w:rPr>
                <w:rFonts w:ascii="Arial" w:cs="Arial" w:eastAsia="Arial" w:hAnsi="Arial"/>
                <w:sz w:val="18"/>
                <w:szCs w:val="18"/>
                <w:color w:val="auto"/>
              </w:rPr>
              <w:t>Defaults Upon Senior Securities</w:t>
            </w:r>
          </w:p>
        </w:tc>
        <w:tc>
          <w:tcPr>
            <w:tcW w:w="2340" w:type="dxa"/>
            <w:vAlign w:val="bottom"/>
            <w:shd w:val="clear" w:color="auto" w:fill="C0FFFF"/>
          </w:tcPr>
          <w:p>
            <w:pPr>
              <w:jc w:val="center"/>
              <w:ind w:left="131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4.</w:t>
            </w:r>
          </w:p>
        </w:tc>
        <w:tc>
          <w:tcPr>
            <w:tcW w:w="8220" w:type="dxa"/>
            <w:vAlign w:val="bottom"/>
          </w:tcPr>
          <w:p>
            <w:pPr>
              <w:ind w:left="60"/>
              <w:spacing w:after="0"/>
              <w:rPr>
                <w:sz w:val="20"/>
                <w:szCs w:val="20"/>
                <w:color w:val="auto"/>
              </w:rPr>
            </w:pPr>
            <w:r>
              <w:rPr>
                <w:rFonts w:ascii="Arial" w:cs="Arial" w:eastAsia="Arial" w:hAnsi="Arial"/>
                <w:sz w:val="18"/>
                <w:szCs w:val="18"/>
                <w:color w:val="auto"/>
              </w:rPr>
              <w:t>Mine Safety Disclosures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5.</w:t>
            </w:r>
          </w:p>
        </w:tc>
        <w:tc>
          <w:tcPr>
            <w:tcW w:w="8220" w:type="dxa"/>
            <w:vAlign w:val="bottom"/>
            <w:shd w:val="clear" w:color="auto" w:fill="C0FFFF"/>
          </w:tcPr>
          <w:p>
            <w:pPr>
              <w:ind w:left="60"/>
              <w:spacing w:after="0"/>
              <w:rPr>
                <w:sz w:val="20"/>
                <w:szCs w:val="20"/>
                <w:color w:val="auto"/>
              </w:rPr>
            </w:pPr>
            <w:r>
              <w:rPr>
                <w:rFonts w:ascii="Arial" w:cs="Arial" w:eastAsia="Arial" w:hAnsi="Arial"/>
                <w:sz w:val="18"/>
                <w:szCs w:val="18"/>
                <w:color w:val="auto"/>
              </w:rPr>
              <w:t>Other Information</w:t>
            </w:r>
          </w:p>
        </w:tc>
        <w:tc>
          <w:tcPr>
            <w:tcW w:w="2340" w:type="dxa"/>
            <w:vAlign w:val="bottom"/>
            <w:shd w:val="clear" w:color="auto" w:fill="C0FFFF"/>
          </w:tcPr>
          <w:p>
            <w:pPr>
              <w:jc w:val="center"/>
              <w:ind w:left="131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6.</w:t>
            </w:r>
          </w:p>
        </w:tc>
        <w:tc>
          <w:tcPr>
            <w:tcW w:w="8220" w:type="dxa"/>
            <w:vAlign w:val="bottom"/>
          </w:tcPr>
          <w:p>
            <w:pPr>
              <w:ind w:left="60"/>
              <w:spacing w:after="0"/>
              <w:rPr>
                <w:sz w:val="20"/>
                <w:szCs w:val="20"/>
                <w:color w:val="auto"/>
              </w:rPr>
            </w:pPr>
            <w:r>
              <w:rPr>
                <w:rFonts w:ascii="Arial" w:cs="Arial" w:eastAsia="Arial" w:hAnsi="Arial"/>
                <w:sz w:val="18"/>
                <w:szCs w:val="18"/>
                <w:color w:val="auto"/>
              </w:rPr>
              <w:t>Exhibits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60" w:type="dxa"/>
            <w:vAlign w:val="bottom"/>
            <w:gridSpan w:val="2"/>
            <w:shd w:val="clear" w:color="auto" w:fill="C0FFFF"/>
          </w:tcPr>
          <w:p>
            <w:pPr>
              <w:spacing w:after="0"/>
              <w:rPr>
                <w:sz w:val="18"/>
                <w:szCs w:val="18"/>
                <w:color w:val="auto"/>
              </w:rPr>
            </w:pPr>
          </w:p>
        </w:tc>
        <w:tc>
          <w:tcPr>
            <w:tcW w:w="23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2340" w:type="dxa"/>
            <w:vAlign w:val="bottom"/>
          </w:tcPr>
          <w:p>
            <w:pPr>
              <w:jc w:val="center"/>
              <w:ind w:left="131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20" w:type="dxa"/>
            <w:vAlign w:val="bottom"/>
          </w:tcPr>
          <w:p>
            <w:pPr>
              <w:jc w:val="center"/>
              <w:ind w:left="1390"/>
              <w:spacing w:after="0"/>
              <w:rPr>
                <w:sz w:val="20"/>
                <w:szCs w:val="20"/>
                <w:color w:val="auto"/>
              </w:rPr>
            </w:pPr>
            <w:r>
              <w:rPr>
                <w:rFonts w:ascii="Arial" w:cs="Arial" w:eastAsia="Arial" w:hAnsi="Arial"/>
                <w:sz w:val="18"/>
                <w:szCs w:val="18"/>
                <w:color w:val="auto"/>
              </w:rPr>
              <w:t>i</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22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within the bounds of our knowledge of our industry, business and operations, we can not guarantee that actual results will not differ materially from our expectations. 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 contained in this document are trademarks, registered trademarks or service marks of Celsion Corporation in the United States (U.S.) and certain other countries. This document also contains references to trademarks and service marks of other companies that are the property of their respective owners.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tab/>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 2013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4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3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20,366,679</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14,991,488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Investment securities – available for sale, at fair value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25,202,875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8,037,620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Accrued interest receivable on investment securities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283,082</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Advances and deposits for investigator grants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131,706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430,451</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307,699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46,414,793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23,648,984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4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3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w w:val="92"/>
              </w:rPr>
              <w:t xml:space="preserve">Property and equipment </w:t>
            </w:r>
            <w:r>
              <w:rPr>
                <w:rFonts w:ascii="Arial" w:cs="Arial" w:eastAsia="Arial" w:hAnsi="Arial"/>
                <w:sz w:val="18"/>
                <w:szCs w:val="18"/>
                <w:color w:val="auto"/>
                <w:w w:val="92"/>
              </w:rPr>
              <w:t>(at cost, less accumulated depreciation of $999,961 and $924,961, respectively)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1,039,621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1,114,621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4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3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Deposits, deferred fees and other assets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477,293</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567,188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Patent licensing fees,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other assets</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503,543</w:t>
            </w:r>
          </w:p>
        </w:tc>
        <w:tc>
          <w:tcPr>
            <w:tcW w:w="8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595,313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47,957,957</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25,358,918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4,180,805</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2,339,768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1,097,445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1,254,979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Notes payable - current portion</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1,883,752</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1,410,455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Deferred revenue - current portion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7,662,002</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5,005,202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Common stock warrant liability</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3,635</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4,283,932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Notes payable – non-current portion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3,173,389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3,661,147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Deferred revenue - non-current portion</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4,375,000</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442,950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446,779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15,656,976</w:t>
            </w:r>
          </w:p>
        </w:tc>
        <w:tc>
          <w:tcPr>
            <w:tcW w:w="8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13,397,060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 shares authorized and 20,000 and 5,000 shares issued at March</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w w:val="99"/>
              </w:rPr>
              <w:t>31, 2013 and December 31, 2012 and 5,037 and -0- shares outstanding at March 31, 2013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December 31, 2012,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0FFFF"/>
          </w:tcPr>
          <w:p>
            <w:pPr>
              <w:ind w:left="320"/>
              <w:spacing w:after="0" w:line="201" w:lineRule="exact"/>
              <w:rPr>
                <w:sz w:val="20"/>
                <w:szCs w:val="20"/>
                <w:color w:val="auto"/>
              </w:rPr>
            </w:pPr>
            <w:r>
              <w:rPr>
                <w:rFonts w:ascii="Arial" w:cs="Arial" w:eastAsia="Arial" w:hAnsi="Arial"/>
                <w:sz w:val="18"/>
                <w:szCs w:val="18"/>
                <w:color w:val="auto"/>
                <w:w w:val="93"/>
              </w:rPr>
              <w:t>Common stock, $0.01 par value; 75,000,000 shares authorized and 51,497,856 and 37,967,708 shares</w:t>
            </w:r>
          </w:p>
        </w:tc>
        <w:tc>
          <w:tcPr>
            <w:tcW w:w="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40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13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color w:val="auto"/>
                <w:w w:val="89"/>
              </w:rPr>
              <w:t>issued at March 31, 2013 and December 31, 2012 and 50,835,477 and 37,302,785 shares outstanding at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color w:val="auto"/>
              </w:rPr>
              <w:t>March 31, 2013 and December 31, 2012, respectively</w:t>
            </w:r>
          </w:p>
        </w:tc>
        <w:tc>
          <w:tcPr>
            <w:tcW w:w="8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514,979</w:t>
            </w:r>
          </w:p>
        </w:tc>
        <w:tc>
          <w:tcPr>
            <w:tcW w:w="80" w:type="dxa"/>
            <w:vAlign w:val="bottom"/>
            <w:shd w:val="clear" w:color="auto" w:fill="C0FFFF"/>
          </w:tcPr>
          <w:p>
            <w:pPr>
              <w:spacing w:after="0"/>
              <w:rPr>
                <w:sz w:val="20"/>
                <w:szCs w:val="20"/>
                <w:color w:val="auto"/>
              </w:rPr>
            </w:pPr>
          </w:p>
        </w:tc>
        <w:tc>
          <w:tcPr>
            <w:tcW w:w="140" w:type="dxa"/>
            <w:vAlign w:val="bottom"/>
            <w:shd w:val="clear" w:color="auto" w:fill="C0FFFF"/>
          </w:tcPr>
          <w:p>
            <w:pPr>
              <w:spacing w:after="0"/>
              <w:rPr>
                <w:sz w:val="20"/>
                <w:szCs w:val="20"/>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190,743,338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165,276,069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(158,556)</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(156,118,622)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(150,876,770)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34,981,189</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14,652,369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20"/>
              <w:spacing w:after="0" w:line="201" w:lineRule="exact"/>
              <w:rPr>
                <w:sz w:val="20"/>
                <w:szCs w:val="20"/>
                <w:color w:val="auto"/>
              </w:rPr>
            </w:pPr>
            <w:r>
              <w:rPr>
                <w:rFonts w:ascii="Arial" w:cs="Arial" w:eastAsia="Arial" w:hAnsi="Arial"/>
                <w:sz w:val="18"/>
                <w:szCs w:val="18"/>
                <w:color w:val="auto"/>
                <w:w w:val="99"/>
              </w:rPr>
              <w:t>Treasury stock, at cost (662,379 and 664,921 shares at March 31, 2013 and December 31, 2012,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(2,680,208)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(2,690,511)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32,300,981</w:t>
            </w:r>
          </w:p>
        </w:tc>
        <w:tc>
          <w:tcPr>
            <w:tcW w:w="8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11,961,858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47,957,957</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25,358,918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020" w:type="dxa"/>
            <w:vAlign w:val="bottom"/>
            <w:tcBorders>
              <w:top w:val="single" w:sz="8" w:color="C0FFFF"/>
            </w:tcBorders>
          </w:tcPr>
          <w:p>
            <w:pPr>
              <w:jc w:val="center"/>
              <w:ind w:left="3290"/>
              <w:spacing w:after="0"/>
              <w:rPr>
                <w:sz w:val="20"/>
                <w:szCs w:val="20"/>
                <w:color w:val="auto"/>
              </w:rPr>
            </w:pPr>
            <w:r>
              <w:rPr>
                <w:rFonts w:ascii="Arial" w:cs="Arial" w:eastAsia="Arial" w:hAnsi="Arial"/>
                <w:sz w:val="18"/>
                <w:szCs w:val="18"/>
                <w:b w:val="1"/>
                <w:bCs w:val="1"/>
                <w:color w:val="auto"/>
                <w:w w:val="87"/>
              </w:rPr>
              <w:t>See accompanying notes to the financial statements</w:t>
            </w:r>
            <w:r>
              <w:rPr>
                <w:rFonts w:ascii="Arial" w:cs="Arial" w:eastAsia="Arial" w:hAnsi="Arial"/>
                <w:sz w:val="18"/>
                <w:szCs w:val="18"/>
                <w:color w:val="auto"/>
                <w:w w:val="87"/>
              </w:rPr>
              <w:t>.</w:t>
            </w:r>
          </w:p>
        </w:tc>
        <w:tc>
          <w:tcPr>
            <w:tcW w:w="8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8040" w:type="dxa"/>
            <w:vAlign w:val="bottom"/>
            <w:gridSpan w:val="2"/>
          </w:tcPr>
          <w:p>
            <w:pPr>
              <w:jc w:val="right"/>
              <w:ind w:right="21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Licensing revenue</w:t>
            </w:r>
          </w:p>
        </w:tc>
        <w:tc>
          <w:tcPr>
            <w:tcW w:w="5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125,000</w:t>
            </w:r>
          </w:p>
        </w:tc>
        <w:tc>
          <w:tcPr>
            <w:tcW w:w="46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3,203,177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4,693,007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1,688,729</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1,570,466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shd w:val="clear" w:color="auto" w:fill="C0FFFF"/>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4,891,906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6,263,473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(4,766,906)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(6,263,473)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Gain from valuation of common stock warrant liability</w:t>
            </w:r>
          </w:p>
        </w:tc>
        <w:tc>
          <w:tcPr>
            <w:tcW w:w="2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4,280,297</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Investment income,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16,563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(180,928)</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shd w:val="clear" w:color="auto" w:fill="C0FFFF"/>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320"/>
              <w:spacing w:after="0"/>
              <w:rPr>
                <w:sz w:val="20"/>
                <w:szCs w:val="20"/>
                <w:color w:val="auto"/>
              </w:rPr>
            </w:pPr>
            <w:r>
              <w:rPr>
                <w:rFonts w:ascii="Arial" w:cs="Arial" w:eastAsia="Arial" w:hAnsi="Arial"/>
                <w:sz w:val="18"/>
                <w:szCs w:val="18"/>
                <w:b w:val="1"/>
                <w:bCs w:val="1"/>
                <w:color w:val="auto"/>
              </w:rPr>
              <w:t>Total other income, net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4,115,932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(650,974)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(6,186,241)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Non-cash deemed dividends from beneficial conversion feature on convertible preferred stock</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(4,601,410)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C0FFFF"/>
            </w:tcBorders>
            <w:shd w:val="clear" w:color="auto" w:fill="C0FFFF"/>
          </w:tcPr>
          <w:p>
            <w:pPr>
              <w:spacing w:after="0"/>
              <w:rPr>
                <w:sz w:val="19"/>
                <w:szCs w:val="19"/>
                <w:color w:val="auto"/>
              </w:rPr>
            </w:pPr>
          </w:p>
        </w:tc>
        <w:tc>
          <w:tcPr>
            <w:tcW w:w="320" w:type="dxa"/>
            <w:vAlign w:val="bottom"/>
            <w:tcBorders>
              <w:bottom w:val="single" w:sz="8" w:color="auto"/>
            </w:tcBorders>
            <w:shd w:val="clear" w:color="auto" w:fill="C0FFFF"/>
          </w:tcPr>
          <w:p>
            <w:pPr>
              <w:spacing w:after="0"/>
              <w:rPr>
                <w:sz w:val="19"/>
                <w:szCs w:val="19"/>
                <w:color w:val="auto"/>
              </w:rPr>
            </w:pPr>
          </w:p>
        </w:tc>
        <w:tc>
          <w:tcPr>
            <w:tcW w:w="1180" w:type="dxa"/>
            <w:vAlign w:val="bottom"/>
            <w:tcBorders>
              <w:bottom w:val="single" w:sz="8" w:color="auto"/>
            </w:tcBorders>
            <w:shd w:val="clear" w:color="auto" w:fill="C0FFFF"/>
          </w:tcPr>
          <w:p>
            <w:pPr>
              <w:spacing w:after="0"/>
              <w:rPr>
                <w:sz w:val="19"/>
                <w:szCs w:val="19"/>
                <w:color w:val="auto"/>
              </w:rPr>
            </w:pP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380" w:type="dxa"/>
            <w:vAlign w:val="bottom"/>
            <w:tcBorders>
              <w:bottom w:val="single" w:sz="8" w:color="auto"/>
            </w:tcBorders>
            <w:shd w:val="clear" w:color="auto" w:fill="C0FFFF"/>
          </w:tcPr>
          <w:p>
            <w:pPr>
              <w:spacing w:after="0"/>
              <w:rPr>
                <w:sz w:val="19"/>
                <w:szCs w:val="19"/>
                <w:color w:val="auto"/>
              </w:rPr>
            </w:pPr>
          </w:p>
        </w:tc>
        <w:tc>
          <w:tcPr>
            <w:tcW w:w="1100" w:type="dxa"/>
            <w:vAlign w:val="bottom"/>
            <w:tcBorders>
              <w:bottom w:val="single" w:sz="8" w:color="auto"/>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(5,252,384)</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(6,186,241)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shareholders per common share – basic and diluted</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basic and diluted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42,996,004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33,197,196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vMerge w:val="restart"/>
          </w:tcPr>
          <w:p>
            <w:pPr>
              <w:jc w:val="center"/>
              <w:ind w:left="3410"/>
              <w:spacing w:after="0"/>
              <w:rPr>
                <w:sz w:val="20"/>
                <w:szCs w:val="20"/>
                <w:color w:val="auto"/>
              </w:rPr>
            </w:pPr>
            <w:r>
              <w:rPr>
                <w:rFonts w:ascii="Arial" w:cs="Arial" w:eastAsia="Arial" w:hAnsi="Arial"/>
                <w:sz w:val="18"/>
                <w:szCs w:val="18"/>
                <w:b w:val="1"/>
                <w:bCs w:val="1"/>
                <w:color w:val="auto"/>
                <w:w w:val="87"/>
              </w:rPr>
              <w:t>See accompanying notes to the financial statements.</w:t>
            </w: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7920" w:type="dxa"/>
            <w:vAlign w:val="bottom"/>
            <w:gridSpan w:val="2"/>
          </w:tcPr>
          <w:p>
            <w:pPr>
              <w:jc w:val="right"/>
              <w:ind w:right="207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Other comprehensive loss</w:t>
            </w: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Changes in:</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Realized loss on investment securities recognized in investment income, net</w:t>
            </w:r>
          </w:p>
        </w:tc>
        <w:tc>
          <w:tcPr>
            <w:tcW w:w="32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53,740</w:t>
            </w:r>
          </w:p>
        </w:tc>
        <w:tc>
          <w:tcPr>
            <w:tcW w:w="200" w:type="dxa"/>
            <w:vAlign w:val="bottom"/>
            <w:shd w:val="clear" w:color="auto" w:fill="C0FFFF"/>
          </w:tcPr>
          <w:p>
            <w:pPr>
              <w:spacing w:after="0"/>
              <w:rPr>
                <w:sz w:val="18"/>
                <w:szCs w:val="18"/>
                <w:color w:val="auto"/>
              </w:rPr>
            </w:pPr>
          </w:p>
        </w:tc>
        <w:tc>
          <w:tcPr>
            <w:tcW w:w="3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128,560</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Unrealized loss on investment securities</w:t>
            </w:r>
          </w:p>
        </w:tc>
        <w:tc>
          <w:tcPr>
            <w:tcW w:w="3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(85,689 )</w:t>
            </w:r>
          </w:p>
        </w:tc>
        <w:tc>
          <w:tcPr>
            <w:tcW w:w="3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(129,776 )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Other comprehensive loss</w:t>
            </w: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(31,949 )</w:t>
            </w:r>
          </w:p>
        </w:tc>
        <w:tc>
          <w:tcPr>
            <w:tcW w:w="38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(1,216 )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(650,974 )</w:t>
            </w:r>
          </w:p>
        </w:tc>
        <w:tc>
          <w:tcPr>
            <w:tcW w:w="38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(6,186,241 )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(682,923 )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(6,187,457 )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(650,974 )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(6,186,241 )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spacing w:after="0"/>
              <w:rPr>
                <w:sz w:val="20"/>
                <w:szCs w:val="20"/>
                <w:color w:val="auto"/>
              </w:rPr>
            </w:pPr>
            <w:r>
              <w:rPr>
                <w:rFonts w:ascii="Arial" w:cs="Arial" w:eastAsia="Arial" w:hAnsi="Arial"/>
                <w:sz w:val="18"/>
                <w:szCs w:val="18"/>
                <w:color w:val="auto"/>
              </w:rPr>
              <w:t>Non-cash items included in net income (loss):</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76,875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Change in fair value of common stock warrant liability</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(4,280,297 )</w:t>
            </w:r>
          </w:p>
        </w:tc>
        <w:tc>
          <w:tcPr>
            <w:tcW w:w="3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(77,600 )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4,875,000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Stock-based compensation</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263,192</w:t>
            </w:r>
          </w:p>
        </w:tc>
        <w:tc>
          <w:tcPr>
            <w:tcW w:w="2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305,127</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Treasury shares issued for services and 401(k) matching contribution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20,835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Change in deferred rent liability</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(3,829 )</w:t>
            </w:r>
          </w:p>
        </w:tc>
        <w:tc>
          <w:tcPr>
            <w:tcW w:w="36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65,467</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changes in: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Accrued interest on short term investments and other current assets</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(194,100 )</w:t>
            </w:r>
          </w:p>
        </w:tc>
        <w:tc>
          <w:tcPr>
            <w:tcW w:w="3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(216,934 )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1,841,037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(301,358 )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Accrued liabilities</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(157,534 )</w:t>
            </w:r>
          </w:p>
        </w:tc>
        <w:tc>
          <w:tcPr>
            <w:tcW w:w="36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579,323</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0FFFF"/>
          </w:tcPr>
          <w:p>
            <w:pPr>
              <w:spacing w:after="0"/>
              <w:rPr>
                <w:sz w:val="2"/>
                <w:szCs w:val="2"/>
                <w:color w:val="auto"/>
              </w:rPr>
            </w:pPr>
          </w:p>
        </w:tc>
        <w:tc>
          <w:tcPr>
            <w:tcW w:w="14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1,790,205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(5,727,877 )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6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investment securities</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(20,245,204 )</w:t>
            </w:r>
          </w:p>
        </w:tc>
        <w:tc>
          <w:tcPr>
            <w:tcW w:w="3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(10,309,461 )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3,048,000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5,237,504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(177,600 )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0FFFF"/>
          </w:tcPr>
          <w:p>
            <w:pPr>
              <w:spacing w:after="0"/>
              <w:rPr>
                <w:sz w:val="2"/>
                <w:szCs w:val="2"/>
                <w:color w:val="auto"/>
              </w:rPr>
            </w:pPr>
          </w:p>
        </w:tc>
        <w:tc>
          <w:tcPr>
            <w:tcW w:w="14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(17,197,204 )</w:t>
            </w:r>
          </w:p>
        </w:tc>
        <w:tc>
          <w:tcPr>
            <w:tcW w:w="3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(5,249,557 )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6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Proceeds from sale of Preferred Stock, net of issuance costs</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13,648,663</w:t>
            </w:r>
          </w:p>
        </w:tc>
        <w:tc>
          <w:tcPr>
            <w:tcW w:w="2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6,711,173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261,944</w:t>
            </w:r>
          </w:p>
        </w:tc>
        <w:tc>
          <w:tcPr>
            <w:tcW w:w="2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exercise of options to purchase common stock</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174,871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Principal payments on notes payable</w:t>
            </w: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(14,461 )</w:t>
            </w:r>
          </w:p>
        </w:tc>
        <w:tc>
          <w:tcPr>
            <w:tcW w:w="3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(46,341 )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0FFFF"/>
          </w:tcPr>
          <w:p>
            <w:pPr>
              <w:spacing w:after="0"/>
              <w:rPr>
                <w:sz w:val="2"/>
                <w:szCs w:val="2"/>
                <w:color w:val="auto"/>
              </w:rPr>
            </w:pPr>
          </w:p>
        </w:tc>
        <w:tc>
          <w:tcPr>
            <w:tcW w:w="14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20,782,190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(46,341 )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6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5,375,191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(11,023,775)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80" w:type="dxa"/>
            <w:vAlign w:val="bottom"/>
            <w:tcBorders>
              <w:bottom w:val="single" w:sz="8" w:color="C0FFFF"/>
            </w:tcBorders>
            <w:shd w:val="clear" w:color="auto" w:fill="C0FFFF"/>
          </w:tcPr>
          <w:p>
            <w:pPr>
              <w:spacing w:after="0"/>
              <w:rPr>
                <w:sz w:val="19"/>
                <w:szCs w:val="19"/>
                <w:color w:val="auto"/>
              </w:rPr>
            </w:pPr>
          </w:p>
        </w:tc>
        <w:tc>
          <w:tcPr>
            <w:tcW w:w="340" w:type="dxa"/>
            <w:vAlign w:val="bottom"/>
            <w:tcBorders>
              <w:bottom w:val="single" w:sz="8" w:color="auto"/>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14,991,488</w:t>
            </w:r>
          </w:p>
        </w:tc>
        <w:tc>
          <w:tcPr>
            <w:tcW w:w="200" w:type="dxa"/>
            <w:vAlign w:val="bottom"/>
            <w:tcBorders>
              <w:bottom w:val="single" w:sz="8" w:color="C0FFFF"/>
            </w:tcBorders>
            <w:shd w:val="clear" w:color="auto" w:fill="C0FFFF"/>
          </w:tcPr>
          <w:p>
            <w:pPr>
              <w:spacing w:after="0"/>
              <w:rPr>
                <w:sz w:val="19"/>
                <w:szCs w:val="19"/>
                <w:color w:val="auto"/>
              </w:rPr>
            </w:pPr>
          </w:p>
        </w:tc>
        <w:tc>
          <w:tcPr>
            <w:tcW w:w="360" w:type="dxa"/>
            <w:vAlign w:val="bottom"/>
            <w:tcBorders>
              <w:bottom w:val="single" w:sz="8" w:color="auto"/>
            </w:tcBorders>
            <w:shd w:val="clear" w:color="auto" w:fill="C0FFFF"/>
          </w:tcPr>
          <w:p>
            <w:pPr>
              <w:spacing w:after="0"/>
              <w:rPr>
                <w:sz w:val="19"/>
                <w:szCs w:val="19"/>
                <w:color w:val="auto"/>
              </w:rPr>
            </w:pP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20,145,854</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20,366,679</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9,122,079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Interest paid</w:t>
            </w:r>
          </w:p>
        </w:tc>
        <w:tc>
          <w:tcPr>
            <w:tcW w:w="1480" w:type="dxa"/>
            <w:vAlign w:val="bottom"/>
            <w:tcBorders>
              <w:bottom w:val="single" w:sz="8" w:color="C0FFFF"/>
            </w:tcBorders>
            <w:shd w:val="clear" w:color="auto" w:fill="C0FFFF"/>
          </w:tcPr>
          <w:p>
            <w:pPr>
              <w:spacing w:after="0"/>
              <w:rPr>
                <w:sz w:val="22"/>
                <w:szCs w:val="22"/>
                <w:color w:val="auto"/>
              </w:rPr>
            </w:pPr>
          </w:p>
        </w:tc>
        <w:tc>
          <w:tcPr>
            <w:tcW w:w="34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180,928</w:t>
            </w:r>
          </w:p>
        </w:tc>
        <w:tc>
          <w:tcPr>
            <w:tcW w:w="200" w:type="dxa"/>
            <w:vAlign w:val="bottom"/>
            <w:tcBorders>
              <w:bottom w:val="single" w:sz="8" w:color="C0FFFF"/>
            </w:tcBorders>
            <w:shd w:val="clear" w:color="auto" w:fill="C0FFFF"/>
          </w:tcPr>
          <w:p>
            <w:pPr>
              <w:spacing w:after="0"/>
              <w:rPr>
                <w:sz w:val="22"/>
                <w:szCs w:val="22"/>
                <w:color w:val="auto"/>
              </w:rPr>
            </w:pPr>
          </w:p>
        </w:tc>
        <w:tc>
          <w:tcPr>
            <w:tcW w:w="360" w:type="dxa"/>
            <w:vAlign w:val="bottom"/>
            <w:tcBorders>
              <w:bottom w:val="single" w:sz="8" w:color="auto"/>
            </w:tcBorders>
            <w:shd w:val="clear" w:color="auto" w:fill="C0FF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5,701</w:t>
            </w: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ind w:left="460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2013 AND 2012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Celsion Corporation, referred to herein as “Celsion”, “We”, or “the Company,” a Delaware corporation based in Lawrenceville, New Jersey, is an oncology drug development company focused on improving treatment for those suffering with difficult-to-treat forms of cancer. We are working to develop and commercialize more efficient, effective, targeted chemotherapeutic oncology drugs based on our proprietary heat-activated liposomal technology. Our lead product ThermoDox®, is being tested in human clinical trials for the treatment of primary liver cancer, recurrent chest wall breast cancer and colorectal liver metastases.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financial statements of Celsion have been prepared in accordance with generally accepted accounting principles (GAAP) in the United States for interim financial information and with the instructions to Form 10-Q and Article 10 of Regulation S-X. Certain information and footnote disclosures normally included in financial statements prepared in accordance with GAAP have been condensed or omitted pursuant to such rules and regulations.</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financial statements. Operating results for the three month period ended March 31, 2013 is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2012 filed on March 18, 2013 and our Amendment No. 1 to the Annual Report on Form 10-K/A filed on April 30, 2013 with the Securities and Exchange Commission.</w:t>
      </w: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then those arising in the ordinary course of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prior period financial statements have been reclassified to conform to the current period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2011, the FASB amended its guidance on the presentation of comprehensive income in financial statements to improve the comparability, consistency and transparency of financial reporting and to increase the prominence of items that are recorded in other comprehensive income. This new accounting guidance requires entities to report components of comprehensive income in either (1) a continuous statement of comprehensive income or (2) two separate but consecutive statements. The provisions of this new guidance are effective for fiscal years, and interim periods within those years, beginning after December 15, 2011. In February 2013, the FASB issued </w:t>
      </w:r>
      <w:r>
        <w:rPr>
          <w:rFonts w:ascii="Arial" w:cs="Arial" w:eastAsia="Arial" w:hAnsi="Arial"/>
          <w:sz w:val="17"/>
          <w:szCs w:val="17"/>
          <w:i w:val="1"/>
          <w:iCs w:val="1"/>
          <w:color w:val="auto"/>
        </w:rPr>
        <w:t>Accounting Standards Update (ASU) No. 2013-02, Comprehensive Income (Topic 220): Reporting of</w:t>
      </w:r>
      <w:r>
        <w:rPr>
          <w:rFonts w:ascii="Arial" w:cs="Arial" w:eastAsia="Arial" w:hAnsi="Arial"/>
          <w:sz w:val="17"/>
          <w:szCs w:val="17"/>
          <w:color w:val="auto"/>
        </w:rPr>
        <w:t xml:space="preserve"> </w:t>
      </w:r>
      <w:r>
        <w:rPr>
          <w:rFonts w:ascii="Arial" w:cs="Arial" w:eastAsia="Arial" w:hAnsi="Arial"/>
          <w:sz w:val="17"/>
          <w:szCs w:val="17"/>
          <w:i w:val="1"/>
          <w:iCs w:val="1"/>
          <w:color w:val="auto"/>
        </w:rPr>
        <w:t>Amounts Reclassified out of Accumulated Other Comprehensive Income</w:t>
      </w:r>
      <w:r>
        <w:rPr>
          <w:rFonts w:ascii="Arial" w:cs="Arial" w:eastAsia="Arial" w:hAnsi="Arial"/>
          <w:sz w:val="17"/>
          <w:szCs w:val="17"/>
          <w:color w:val="auto"/>
        </w:rPr>
        <w:t>, a new standard to improve the reporting of reclassifications out of accumulated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income. The new standard requires the disclosure of significant amounts reclassified from each component of accumulated other comprehensive income and the income statement line items affected by the reclassification. The standard is effective prospectively for interim and annual periods beginning after December 15, 2012. The adoption of this guidance did not have a material effect on the financial statements on January 1, 2013, the date adopted.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calculated based upon the net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March 31, 2013 and 2012, diluted loss per common share was the same as basic loss per common share as all options and warrants that were convertible into shares of the Company’s common stock were excluded from the calculation of diluted earnings per share as their effect would have been anti-dilutive. The total number of shares of common stock issuable upon conversion of preferred stock and exercise of warrants and equity awards for the three month period ended March 31, 2013 and 2012 were 21,086,379 and 14,975,681,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Securities - Available For Sale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securities available for sale of $25,202,875 and $8,037,620 as March 31, 2013 and December 31, 2012, respectively, consist of commercial paper and corporate debt securities. They are valued at fair value, with unrealized gains and losses reported as a separate component of stockholders’ equity in Accumulated Other Comprehensive Loss.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bond maturities of the Company’s investment securities is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2012</w:t>
            </w: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Corporate bond maturities</w:t>
            </w: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Within 3 months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3,108,805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3,003,280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ind w:left="260"/>
              <w:spacing w:after="0"/>
              <w:rPr>
                <w:sz w:val="20"/>
                <w:szCs w:val="20"/>
                <w:color w:val="auto"/>
              </w:rPr>
            </w:pPr>
            <w:r>
              <w:rPr>
                <w:rFonts w:ascii="Arial" w:cs="Arial" w:eastAsia="Arial" w:hAnsi="Arial"/>
                <w:sz w:val="18"/>
                <w:szCs w:val="18"/>
                <w:color w:val="auto"/>
                <w:w w:val="89"/>
              </w:rPr>
              <w:t>3,053,740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3,002,350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0FFFF"/>
            </w:tcBorders>
            <w:shd w:val="clear" w:color="auto" w:fill="C0FFFF"/>
          </w:tcPr>
          <w:p>
            <w:pPr>
              <w:ind w:left="140"/>
              <w:spacing w:after="0"/>
              <w:rPr>
                <w:sz w:val="20"/>
                <w:szCs w:val="20"/>
                <w:color w:val="auto"/>
              </w:rPr>
            </w:pPr>
            <w:r>
              <w:rPr>
                <w:rFonts w:ascii="Arial" w:cs="Arial" w:eastAsia="Arial" w:hAnsi="Arial"/>
                <w:sz w:val="18"/>
                <w:szCs w:val="18"/>
                <w:color w:val="auto"/>
              </w:rPr>
              <w:t>Between 3-12 months</w:t>
            </w:r>
          </w:p>
        </w:tc>
        <w:tc>
          <w:tcPr>
            <w:tcW w:w="24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22,252,626</w:t>
            </w:r>
          </w:p>
        </w:tc>
        <w:tc>
          <w:tcPr>
            <w:tcW w:w="2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22,199,595</w:t>
            </w:r>
          </w:p>
        </w:tc>
        <w:tc>
          <w:tcPr>
            <w:tcW w:w="1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ind w:left="260"/>
              <w:spacing w:after="0"/>
              <w:rPr>
                <w:sz w:val="20"/>
                <w:szCs w:val="20"/>
                <w:color w:val="auto"/>
              </w:rPr>
            </w:pPr>
            <w:r>
              <w:rPr>
                <w:rFonts w:ascii="Arial" w:cs="Arial" w:eastAsia="Arial" w:hAnsi="Arial"/>
                <w:sz w:val="18"/>
                <w:szCs w:val="18"/>
                <w:color w:val="auto"/>
                <w:w w:val="89"/>
              </w:rPr>
              <w:t>5,110,487</w:t>
            </w:r>
          </w:p>
        </w:tc>
        <w:tc>
          <w:tcPr>
            <w:tcW w:w="20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5,035,270</w:t>
            </w:r>
          </w:p>
        </w:tc>
        <w:tc>
          <w:tcPr>
            <w:tcW w:w="10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25,361,431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25,202,875</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ind w:left="260"/>
              <w:spacing w:after="0"/>
              <w:rPr>
                <w:sz w:val="20"/>
                <w:szCs w:val="20"/>
                <w:color w:val="auto"/>
              </w:rPr>
            </w:pPr>
            <w:r>
              <w:rPr>
                <w:rFonts w:ascii="Arial" w:cs="Arial" w:eastAsia="Arial" w:hAnsi="Arial"/>
                <w:sz w:val="18"/>
                <w:szCs w:val="18"/>
                <w:color w:val="auto"/>
                <w:w w:val="89"/>
              </w:rPr>
              <w:t>8,164,227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8,037,620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March 31, 2013 and December 31, 2012. The Company has reviewed individual securities to determine whether a decline in fair value below the amortizable cost basis is other then temporary.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6"/>
          </w:tcPr>
          <w:p>
            <w:pPr>
              <w:jc w:val="right"/>
              <w:ind w:right="1240"/>
              <w:spacing w:after="0"/>
              <w:rPr>
                <w:sz w:val="20"/>
                <w:szCs w:val="20"/>
                <w:color w:val="auto"/>
              </w:rPr>
            </w:pPr>
            <w:r>
              <w:rPr>
                <w:rFonts w:ascii="Arial" w:cs="Arial" w:eastAsia="Arial" w:hAnsi="Arial"/>
                <w:sz w:val="18"/>
                <w:szCs w:val="18"/>
                <w:b w:val="1"/>
                <w:bCs w:val="1"/>
                <w:color w:val="auto"/>
              </w:rPr>
              <w:t>March 31, 2013</w:t>
            </w:r>
          </w:p>
        </w:tc>
        <w:tc>
          <w:tcPr>
            <w:tcW w:w="25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2"/>
              </w:rPr>
              <w:t>Unrealized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2"/>
              </w:rPr>
              <w:t>Holding</w:t>
            </w:r>
          </w:p>
        </w:tc>
        <w:tc>
          <w:tcPr>
            <w:tcW w:w="1000" w:type="dxa"/>
            <w:vAlign w:val="bottom"/>
          </w:tcPr>
          <w:p>
            <w:pPr>
              <w:jc w:val="center"/>
              <w:ind w:right="21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Holding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 of Securities</w:t>
            </w:r>
          </w:p>
        </w:tc>
        <w:tc>
          <w:tcPr>
            <w:tcW w:w="16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0"/>
              </w:rPr>
              <w:t>Losses</w:t>
            </w:r>
          </w:p>
        </w:tc>
        <w:tc>
          <w:tcPr>
            <w:tcW w:w="10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50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Available for Sale</w:t>
            </w: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5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Bonds – corporate issuances (all unrealized holding losses are less than</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12 months at date of measurement)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25,202,875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(158,556 )  $</w:t>
            </w:r>
          </w:p>
        </w:tc>
        <w:tc>
          <w:tcPr>
            <w:tcW w:w="1000" w:type="dxa"/>
            <w:vAlign w:val="bottom"/>
          </w:tcPr>
          <w:p>
            <w:pPr>
              <w:jc w:val="right"/>
              <w:spacing w:after="0"/>
              <w:rPr>
                <w:sz w:val="20"/>
                <w:szCs w:val="20"/>
                <w:color w:val="auto"/>
              </w:rPr>
            </w:pPr>
            <w:r>
              <w:rPr>
                <w:rFonts w:ascii="Arial" w:cs="Arial" w:eastAsia="Arial" w:hAnsi="Arial"/>
                <w:sz w:val="18"/>
                <w:szCs w:val="18"/>
                <w:color w:val="auto"/>
              </w:rPr>
              <w:t>8,037,620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(126,607 )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 w:name="page10"/>
    <w:bookmarkEnd w:id="9"/>
    <w:p>
      <w:pPr>
        <w:ind w:right="580"/>
        <w:spacing w:after="0" w:line="277" w:lineRule="auto"/>
        <w:rPr>
          <w:sz w:val="20"/>
          <w:szCs w:val="20"/>
          <w:color w:val="auto"/>
        </w:rPr>
      </w:pPr>
      <w:r>
        <w:rPr>
          <w:rFonts w:ascii="Arial" w:cs="Arial" w:eastAsia="Arial" w:hAnsi="Arial"/>
          <w:sz w:val="18"/>
          <w:szCs w:val="18"/>
          <w:color w:val="auto"/>
        </w:rPr>
        <w:t>Investment income which includes interest and dividends and gross realized gains and losses on sales of available for sale securities, is summarized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8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0FFFF"/>
          </w:tcPr>
          <w:p>
            <w:pPr>
              <w:spacing w:after="0"/>
              <w:rPr>
                <w:sz w:val="20"/>
                <w:szCs w:val="20"/>
                <w:color w:val="auto"/>
              </w:rPr>
            </w:pPr>
            <w:r>
              <w:rPr>
                <w:rFonts w:ascii="Arial" w:cs="Arial" w:eastAsia="Arial" w:hAnsi="Arial"/>
                <w:sz w:val="18"/>
                <w:szCs w:val="18"/>
                <w:color w:val="auto"/>
              </w:rPr>
              <w:t>Interest and dividend income</w:t>
            </w:r>
          </w:p>
        </w:tc>
        <w:tc>
          <w:tcPr>
            <w:tcW w:w="2800" w:type="dxa"/>
            <w:vAlign w:val="bottom"/>
            <w:gridSpan w:val="2"/>
            <w:shd w:val="clear" w:color="auto" w:fill="C0FF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70,303</w:t>
            </w:r>
          </w:p>
        </w:tc>
        <w:tc>
          <w:tcPr>
            <w:tcW w:w="160" w:type="dxa"/>
            <w:vAlign w:val="bottom"/>
            <w:tcBorders>
              <w:right w:val="single" w:sz="8" w:color="C0FFFF"/>
            </w:tcBorders>
            <w:shd w:val="clear" w:color="auto" w:fill="C0FFFF"/>
          </w:tcPr>
          <w:p>
            <w:pPr>
              <w:spacing w:after="0"/>
              <w:rPr>
                <w:sz w:val="18"/>
                <w:szCs w:val="18"/>
                <w:color w:val="auto"/>
              </w:rPr>
            </w:pPr>
          </w:p>
        </w:tc>
        <w:tc>
          <w:tcPr>
            <w:tcW w:w="400" w:type="dxa"/>
            <w:vAlign w:val="bottom"/>
            <w:shd w:val="clear" w:color="auto" w:fill="C0FFFF"/>
          </w:tcPr>
          <w:p>
            <w:pPr>
              <w:jc w:val="right"/>
              <w:ind w:right="2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133,893</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Realized losses</w:t>
            </w: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(53,740)</w:t>
            </w:r>
          </w:p>
        </w:tc>
        <w:tc>
          <w:tcPr>
            <w:tcW w:w="4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(128,560)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0FFFF"/>
          </w:tcPr>
          <w:p>
            <w:pPr>
              <w:spacing w:after="0"/>
              <w:rPr>
                <w:sz w:val="20"/>
                <w:szCs w:val="20"/>
                <w:color w:val="auto"/>
              </w:rPr>
            </w:pPr>
          </w:p>
        </w:tc>
        <w:tc>
          <w:tcPr>
            <w:tcW w:w="1820" w:type="dxa"/>
            <w:vAlign w:val="bottom"/>
            <w:shd w:val="clear" w:color="auto" w:fill="C0FFFF"/>
          </w:tcPr>
          <w:p>
            <w:pPr>
              <w:spacing w:after="0"/>
              <w:rPr>
                <w:sz w:val="20"/>
                <w:szCs w:val="20"/>
                <w:color w:val="auto"/>
              </w:rPr>
            </w:pPr>
          </w:p>
        </w:tc>
        <w:tc>
          <w:tcPr>
            <w:tcW w:w="980" w:type="dxa"/>
            <w:vAlign w:val="bottom"/>
            <w:shd w:val="clear" w:color="auto" w:fill="C0FF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16,563</w:t>
            </w:r>
          </w:p>
        </w:tc>
        <w:tc>
          <w:tcPr>
            <w:tcW w:w="160" w:type="dxa"/>
            <w:vAlign w:val="bottom"/>
            <w:tcBorders>
              <w:right w:val="single" w:sz="8" w:color="C0FFFF"/>
            </w:tcBorders>
            <w:shd w:val="clear" w:color="auto" w:fill="C0FFFF"/>
          </w:tcPr>
          <w:p>
            <w:pPr>
              <w:spacing w:after="0"/>
              <w:rPr>
                <w:sz w:val="20"/>
                <w:szCs w:val="20"/>
                <w:color w:val="auto"/>
              </w:rPr>
            </w:pPr>
          </w:p>
        </w:tc>
        <w:tc>
          <w:tcPr>
            <w:tcW w:w="400" w:type="dxa"/>
            <w:vAlign w:val="bottom"/>
            <w:shd w:val="clear" w:color="auto" w:fill="C0FFFF"/>
          </w:tcPr>
          <w:p>
            <w:pPr>
              <w:jc w:val="right"/>
              <w:ind w:right="2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5,333</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0FFFF"/>
            </w:tcBorders>
            <w:shd w:val="clear" w:color="auto" w:fill="C0FFFF"/>
          </w:tcPr>
          <w:p>
            <w:pPr>
              <w:spacing w:after="0" w:line="20" w:lineRule="exact"/>
              <w:rPr>
                <w:sz w:val="1"/>
                <w:szCs w:val="1"/>
                <w:color w:val="auto"/>
              </w:rPr>
            </w:pPr>
          </w:p>
        </w:tc>
        <w:tc>
          <w:tcPr>
            <w:tcW w:w="182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(formerly SFAS No. 157)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720" w:right="4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720" w:right="2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720" w:right="2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common stock warrant liability has been valued using the Black-Scholes option pricing model, the inputs of which are more fully described in Note 11 to the financial statements.</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presents information about assets and liabilities recorded at fair value on a recurring basis as of March 31, 2013 and December 31, 2012 on the Company’s Balance Sheet: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Quoted Prices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In Active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7"/>
              </w:rPr>
              <w:t>Markets For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Total Fair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Identical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3"/>
              </w:rPr>
              <w:t>Value on the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5"/>
              </w:rPr>
              <w:t>Observable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Sheet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0FFFF"/>
          </w:tcPr>
          <w:p>
            <w:pPr>
              <w:spacing w:after="0"/>
              <w:rPr>
                <w:sz w:val="18"/>
                <w:szCs w:val="18"/>
                <w:color w:val="auto"/>
              </w:rPr>
            </w:pPr>
          </w:p>
        </w:tc>
        <w:tc>
          <w:tcPr>
            <w:tcW w:w="108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04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As of March 31, 2013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FFFF"/>
          </w:tcPr>
          <w:p>
            <w:pPr>
              <w:ind w:left="140"/>
              <w:spacing w:after="0"/>
              <w:rPr>
                <w:sz w:val="20"/>
                <w:szCs w:val="20"/>
                <w:color w:val="auto"/>
              </w:rPr>
            </w:pPr>
            <w:r>
              <w:rPr>
                <w:rFonts w:ascii="Arial" w:cs="Arial" w:eastAsia="Arial" w:hAnsi="Arial"/>
                <w:sz w:val="18"/>
                <w:szCs w:val="18"/>
                <w:color w:val="auto"/>
              </w:rPr>
              <w:t>Short-term investments available for sale</w:t>
            </w: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Bonds – corporate issuances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25,202,875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25,202,875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As of December 31, 2012</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FFFF"/>
          </w:tcPr>
          <w:p>
            <w:pPr>
              <w:ind w:left="140"/>
              <w:spacing w:after="0"/>
              <w:rPr>
                <w:sz w:val="20"/>
                <w:szCs w:val="20"/>
                <w:color w:val="auto"/>
              </w:rPr>
            </w:pPr>
            <w:r>
              <w:rPr>
                <w:rFonts w:ascii="Arial" w:cs="Arial" w:eastAsia="Arial" w:hAnsi="Arial"/>
                <w:sz w:val="18"/>
                <w:szCs w:val="18"/>
                <w:color w:val="auto"/>
              </w:rPr>
              <w:t>Short-term investments available for sale</w:t>
            </w: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Bonds – corporate issuances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8,037,620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8,037,620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FFFF"/>
          </w:tcPr>
          <w:p>
            <w:pPr>
              <w:spacing w:after="0"/>
              <w:rPr>
                <w:sz w:val="20"/>
                <w:szCs w:val="20"/>
                <w:color w:val="auto"/>
              </w:rPr>
            </w:pPr>
            <w:r>
              <w:rPr>
                <w:rFonts w:ascii="Arial" w:cs="Arial" w:eastAsia="Arial" w:hAnsi="Arial"/>
                <w:sz w:val="18"/>
                <w:szCs w:val="18"/>
                <w:color w:val="auto"/>
              </w:rPr>
              <w:t>As of March 31, 2013</w:t>
            </w: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Common stock warrant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As of December 31, 2012</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FFFF"/>
          </w:tcPr>
          <w:p>
            <w:pPr>
              <w:ind w:left="140"/>
              <w:spacing w:after="0"/>
              <w:rPr>
                <w:sz w:val="20"/>
                <w:szCs w:val="20"/>
                <w:color w:val="auto"/>
              </w:rPr>
            </w:pPr>
            <w:r>
              <w:rPr>
                <w:rFonts w:ascii="Arial" w:cs="Arial" w:eastAsia="Arial" w:hAnsi="Arial"/>
                <w:sz w:val="18"/>
                <w:szCs w:val="18"/>
                <w:color w:val="auto"/>
              </w:rPr>
              <w:t>Common stock warrant liability</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4,283,932</w:t>
            </w:r>
          </w:p>
        </w:tc>
        <w:tc>
          <w:tcPr>
            <w:tcW w:w="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4,283,932</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transfers of assets or liabilities between Level 1 and Level 2 and no transfers in or out of Level 3 during the three month period ended March 31, 2013.</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Note 7.  Other Accrued Liabilities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7020" w:type="dxa"/>
            <w:vAlign w:val="bottom"/>
            <w:gridSpan w:val="2"/>
          </w:tcPr>
          <w:p>
            <w:pPr>
              <w:spacing w:after="0"/>
              <w:rPr>
                <w:sz w:val="20"/>
                <w:szCs w:val="20"/>
                <w:color w:val="auto"/>
              </w:rPr>
            </w:pPr>
            <w:r>
              <w:rPr>
                <w:rFonts w:ascii="Arial" w:cs="Arial" w:eastAsia="Arial" w:hAnsi="Arial"/>
                <w:sz w:val="18"/>
                <w:szCs w:val="18"/>
                <w:color w:val="auto"/>
              </w:rPr>
              <w:t>Accrued liabilities at March 31, 2013 and December 31, 2012 include the following:</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5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December 31, 2012</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440" w:type="dxa"/>
            <w:vAlign w:val="bottom"/>
            <w:shd w:val="clear" w:color="auto" w:fill="C0FFFF"/>
          </w:tcPr>
          <w:p>
            <w:pPr>
              <w:spacing w:after="0"/>
              <w:rPr>
                <w:sz w:val="20"/>
                <w:szCs w:val="20"/>
                <w:color w:val="auto"/>
              </w:rPr>
            </w:pPr>
            <w:r>
              <w:rPr>
                <w:rFonts w:ascii="Arial" w:cs="Arial" w:eastAsia="Arial" w:hAnsi="Arial"/>
                <w:sz w:val="18"/>
                <w:szCs w:val="18"/>
                <w:color w:val="auto"/>
                <w:w w:val="95"/>
              </w:rPr>
              <w:t>Amounts due to Contract Research Organizations and other contractual agreements</w:t>
            </w:r>
          </w:p>
        </w:tc>
        <w:tc>
          <w:tcPr>
            <w:tcW w:w="6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801,696</w:t>
            </w:r>
          </w:p>
        </w:tc>
        <w:tc>
          <w:tcPr>
            <w:tcW w:w="620" w:type="dxa"/>
            <w:vAlign w:val="bottom"/>
            <w:gridSpan w:val="2"/>
            <w:shd w:val="clear" w:color="auto" w:fill="C0FFFF"/>
          </w:tcPr>
          <w:p>
            <w:pPr>
              <w:ind w:lef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827,989</w:t>
            </w:r>
          </w:p>
        </w:tc>
        <w:tc>
          <w:tcPr>
            <w:tcW w:w="100" w:type="dxa"/>
            <w:vAlign w:val="bottom"/>
            <w:shd w:val="clear" w:color="auto" w:fill="C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163,063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338,365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440" w:type="dxa"/>
            <w:vAlign w:val="bottom"/>
            <w:shd w:val="clear" w:color="auto" w:fill="C0FFFF"/>
          </w:tcPr>
          <w:p>
            <w:pPr>
              <w:spacing w:after="0"/>
              <w:rPr>
                <w:sz w:val="20"/>
                <w:szCs w:val="20"/>
                <w:color w:val="auto"/>
              </w:rPr>
            </w:pPr>
            <w:r>
              <w:rPr>
                <w:rFonts w:ascii="Arial" w:cs="Arial" w:eastAsia="Arial" w:hAnsi="Arial"/>
                <w:sz w:val="18"/>
                <w:szCs w:val="18"/>
                <w:color w:val="auto"/>
              </w:rPr>
              <w:t>Accrued professional fees</w:t>
            </w:r>
          </w:p>
        </w:tc>
        <w:tc>
          <w:tcPr>
            <w:tcW w:w="4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78,900</w:t>
            </w:r>
          </w:p>
        </w:tc>
        <w:tc>
          <w:tcPr>
            <w:tcW w:w="18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37,400</w:t>
            </w:r>
          </w:p>
        </w:tc>
        <w:tc>
          <w:tcPr>
            <w:tcW w:w="100" w:type="dxa"/>
            <w:vAlign w:val="bottom"/>
            <w:shd w:val="clear" w:color="auto" w:fill="C0FF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53,786</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51,225</w:t>
            </w:r>
          </w:p>
        </w:tc>
        <w:tc>
          <w:tcPr>
            <w:tcW w:w="10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6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1,097,445</w:t>
            </w:r>
          </w:p>
        </w:tc>
        <w:tc>
          <w:tcPr>
            <w:tcW w:w="620" w:type="dxa"/>
            <w:vAlign w:val="bottom"/>
            <w:gridSpan w:val="2"/>
            <w:shd w:val="clear" w:color="auto" w:fill="C0FFFF"/>
          </w:tcPr>
          <w:p>
            <w:pPr>
              <w:ind w:lef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1,254,979</w:t>
            </w:r>
          </w:p>
        </w:tc>
        <w:tc>
          <w:tcPr>
            <w:tcW w:w="100" w:type="dxa"/>
            <w:vAlign w:val="bottom"/>
            <w:shd w:val="clear" w:color="auto" w:fill="C0FFFF"/>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440" w:type="dxa"/>
            <w:vAlign w:val="bottom"/>
            <w:tcBorders>
              <w:top w:val="single" w:sz="8" w:color="C0FFFF"/>
            </w:tcBorders>
            <w:shd w:val="clear" w:color="auto" w:fill="C0FFFF"/>
          </w:tcPr>
          <w:p>
            <w:pPr>
              <w:spacing w:after="0" w:line="20" w:lineRule="exact"/>
              <w:rPr>
                <w:sz w:val="1"/>
                <w:szCs w:val="1"/>
                <w:color w:val="auto"/>
              </w:rPr>
            </w:pPr>
          </w:p>
        </w:tc>
        <w:tc>
          <w:tcPr>
            <w:tcW w:w="4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 Payable</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2012, the Company entered into a Loan and Security Agreement (the “Credit Agreement”) with Oxford Finance LLC (“Oxford”) and Horizon Technology Finance Corporation (“Horizon”). The Credit Agreement provides for a secured term loan of up to $10 million, with 50% of any loans to be funded by Oxford and 50% to be funded by Horizon. The aggregate loan amount may be advanced in two tranches of $5 million each. The first tranche (the “Term A Loan”) was made available to the Company on June 27, 2012 and the second tranche (the “Term B Loan”)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 therefore the second tranche was not drawn down.</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A Loan is scheduled to mature on October 15, 2015. The obligations under the Credit Agreement are secured by substantially all assets of the Company other than its intellectual property and certain other agreed-upon exclusions.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A Loan bears interest at a fixed rate of 11.75%. However, for the period extending from inceptions through May 1, 2013 for the Term A Loan, the Company is required to make interest payments only. The Company was also obligated to pay other customary facility fees for a credit facility of this size and type.</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contains customary covenants, including covenants that limit or restrict the Company’s ability to incur liens, incur indebtedness, make certain restricted payments, merge or consolidate and make dispositions of assets. Upon the occurrence of an event of default under the Credit Agreement, the lenders may cease making loans, terminate the Credit Agreement, declare all amounts outstanding to be immediately due and payable and foreclose on or liquidate the Company’s assets that comprise the lenders’ collateral. The Credit Agreement specifies a number of events of default (some of which are subject to applicable grace or cure periods), including, among other things, non-payment defaults, covenant defaults, a material adverse change in the Company’s business, cross-defaults to other materials indebtedness, bankruptcy and insolvency defaults and material judgment defaults. The Company is currently in compliance with all loan covenants.</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fee in connection with the Credit Agreement, the Company issued warrants to Horizon and Oxford (the “Warrants”) to purchase the number of shares of the Company’s common stock equal to 3% of each loan amount divided by the exercise price, which was calculated as the average NASDAQ closing price of the Company’s common stock for the three days prior to the funding of the loan amount ($2.92 per share for the Term A Loan). This resulted in 51,370 warrant shares issued in connection with the Term A Loan. The Warrants issued in connection with the Term A Loan are immediately exercisable for cash or by net exercise and will expire seven years after their issuance, which is June 27, 2019.</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valued the Warrants using the Black-Scholes option pricing model and recorded $73,654 as deferred financing fees. In calculating the value of the warrants, the Company assumed a volatility rate of 74.3%, risk free interest rate of 1.10%, an expected life of 3.5 years, a stock price of $2.80 (closing price on date of the Warrant) and no expected forfeitures nor dividends.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Credit Agreement, the Company incurred cash and other expenses of $291,369 which were recorded as deferred financing fees. These deferred financing fees are being amortized as interest expense over the life of the loan. For the first quarter of 2013, $31,560 in deferred financing fees was amortized as interest expense. Also, the Company paid $146,875 in interest expense on the Credit Agreement during this same period.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7600" w:type="dxa"/>
            <w:vAlign w:val="bottom"/>
            <w:gridSpan w:val="2"/>
          </w:tcPr>
          <w:p>
            <w:pPr>
              <w:jc w:val="right"/>
              <w:ind w:right="1530"/>
              <w:spacing w:after="0"/>
              <w:rPr>
                <w:sz w:val="20"/>
                <w:szCs w:val="20"/>
                <w:color w:val="auto"/>
              </w:rPr>
            </w:pPr>
            <w:r>
              <w:rPr>
                <w:rFonts w:ascii="Arial" w:cs="Arial" w:eastAsia="Arial" w:hAnsi="Arial"/>
                <w:sz w:val="18"/>
                <w:szCs w:val="18"/>
                <w:color w:val="auto"/>
                <w:w w:val="91"/>
              </w:rPr>
              <w:t>Following is a schedule of future principle payments due on the Credit Agreement:</w:t>
            </w: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Credit</w:t>
            </w:r>
          </w:p>
        </w:tc>
      </w:tr>
      <w:tr>
        <w:trPr>
          <w:trHeight w:val="241"/>
        </w:trPr>
        <w:tc>
          <w:tcPr>
            <w:tcW w:w="5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Agreement</w:t>
            </w:r>
          </w:p>
        </w:tc>
      </w:tr>
      <w:tr>
        <w:trPr>
          <w:trHeight w:val="216"/>
        </w:trPr>
        <w:tc>
          <w:tcPr>
            <w:tcW w:w="580" w:type="dxa"/>
            <w:vAlign w:val="bottom"/>
          </w:tcPr>
          <w:p>
            <w:pPr>
              <w:spacing w:after="0"/>
              <w:rPr>
                <w:sz w:val="18"/>
                <w:szCs w:val="18"/>
                <w:color w:val="auto"/>
              </w:rPr>
            </w:pPr>
          </w:p>
        </w:tc>
        <w:tc>
          <w:tcPr>
            <w:tcW w:w="7020" w:type="dxa"/>
            <w:vAlign w:val="bottom"/>
            <w:shd w:val="clear" w:color="auto" w:fill="C0FFFF"/>
          </w:tcPr>
          <w:p>
            <w:pPr>
              <w:jc w:val="right"/>
              <w:ind w:right="4730"/>
              <w:spacing w:after="0"/>
              <w:rPr>
                <w:sz w:val="20"/>
                <w:szCs w:val="20"/>
                <w:color w:val="auto"/>
              </w:rPr>
            </w:pPr>
            <w:r>
              <w:rPr>
                <w:rFonts w:ascii="Arial" w:cs="Arial" w:eastAsia="Arial" w:hAnsi="Arial"/>
                <w:sz w:val="18"/>
                <w:szCs w:val="18"/>
                <w:color w:val="auto"/>
                <w:w w:val="90"/>
              </w:rPr>
              <w:t>For the year ending March 31:</w:t>
            </w:r>
          </w:p>
        </w:tc>
        <w:tc>
          <w:tcPr>
            <w:tcW w:w="160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3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020" w:type="dxa"/>
            <w:vAlign w:val="bottom"/>
          </w:tcPr>
          <w:p>
            <w:pPr>
              <w:jc w:val="right"/>
              <w:ind w:right="6250"/>
              <w:spacing w:after="0"/>
              <w:rPr>
                <w:sz w:val="20"/>
                <w:szCs w:val="20"/>
                <w:color w:val="auto"/>
              </w:rPr>
            </w:pPr>
            <w:r>
              <w:rPr>
                <w:rFonts w:ascii="Arial" w:cs="Arial" w:eastAsia="Arial" w:hAnsi="Arial"/>
                <w:sz w:val="18"/>
                <w:szCs w:val="18"/>
                <w:color w:val="auto"/>
              </w:rPr>
              <w:t>2014</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1,826,612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020" w:type="dxa"/>
            <w:vAlign w:val="bottom"/>
            <w:shd w:val="clear" w:color="auto" w:fill="C0FFFF"/>
          </w:tcPr>
          <w:p>
            <w:pPr>
              <w:jc w:val="right"/>
              <w:ind w:right="6250"/>
              <w:spacing w:after="0"/>
              <w:rPr>
                <w:sz w:val="20"/>
                <w:szCs w:val="20"/>
                <w:color w:val="auto"/>
              </w:rPr>
            </w:pPr>
            <w:r>
              <w:rPr>
                <w:rFonts w:ascii="Arial" w:cs="Arial" w:eastAsia="Arial" w:hAnsi="Arial"/>
                <w:sz w:val="18"/>
                <w:szCs w:val="18"/>
                <w:color w:val="auto"/>
              </w:rPr>
              <w:t>2015</w:t>
            </w:r>
          </w:p>
        </w:tc>
        <w:tc>
          <w:tcPr>
            <w:tcW w:w="16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2,053,182</w:t>
            </w:r>
          </w:p>
        </w:tc>
        <w:tc>
          <w:tcPr>
            <w:tcW w:w="100" w:type="dxa"/>
            <w:vAlign w:val="bottom"/>
            <w:shd w:val="clear" w:color="auto" w:fill="C0FF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7020" w:type="dxa"/>
            <w:vAlign w:val="bottom"/>
          </w:tcPr>
          <w:p>
            <w:pPr>
              <w:jc w:val="right"/>
              <w:ind w:right="6250"/>
              <w:spacing w:after="0"/>
              <w:rPr>
                <w:sz w:val="20"/>
                <w:szCs w:val="20"/>
                <w:color w:val="auto"/>
              </w:rPr>
            </w:pPr>
            <w:r>
              <w:rPr>
                <w:rFonts w:ascii="Arial" w:cs="Arial" w:eastAsia="Arial" w:hAnsi="Arial"/>
                <w:sz w:val="18"/>
                <w:szCs w:val="18"/>
                <w:color w:val="auto"/>
              </w:rPr>
              <w:t>2016</w:t>
            </w:r>
          </w:p>
        </w:tc>
        <w:tc>
          <w:tcPr>
            <w:tcW w:w="1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1,120,206</w:t>
            </w:r>
          </w:p>
        </w:tc>
        <w:tc>
          <w:tcPr>
            <w:tcW w:w="10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7020" w:type="dxa"/>
            <w:vAlign w:val="bottom"/>
            <w:shd w:val="clear" w:color="auto" w:fill="C0FFFF"/>
          </w:tcPr>
          <w:p>
            <w:pPr>
              <w:spacing w:after="0"/>
              <w:rPr>
                <w:sz w:val="20"/>
                <w:szCs w:val="20"/>
                <w:color w:val="auto"/>
              </w:rPr>
            </w:pPr>
          </w:p>
        </w:tc>
        <w:tc>
          <w:tcPr>
            <w:tcW w:w="18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0FFFF"/>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7020" w:type="dxa"/>
            <w:vAlign w:val="bottom"/>
            <w:tcBorders>
              <w:top w:val="single" w:sz="8" w:color="C0FFFF"/>
            </w:tcBorders>
            <w:shd w:val="clear" w:color="auto" w:fill="C0FFFF"/>
          </w:tcPr>
          <w:p>
            <w:pPr>
              <w:spacing w:after="0" w:line="20" w:lineRule="exact"/>
              <w:rPr>
                <w:sz w:val="1"/>
                <w:szCs w:val="1"/>
                <w:color w:val="auto"/>
              </w:rPr>
            </w:pPr>
          </w:p>
        </w:tc>
        <w:tc>
          <w:tcPr>
            <w:tcW w:w="16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2011, the Company financed $144,448 of lab equipment through a capital lease. This lease obligation has thirty monthly payments of $5,651 through February 2014. During the first quarter of 2013, the Company made principal and interest payments totaling $16,954. The outstanding lease obligation is $57,141 as of March 31, 2013.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2013, we received approximately $0.4 million of gross proceeds from the exercise of warrants and stock options to purchase approximately 120,516 shares of the Company’s common stock.</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has sold and issued an aggregate of 5,381,670 shares of common stock under the ATM Agreement, receiving approximately $6.8 million in net proceeds.</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$25.0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preferred stock offering discussed below, the Company agreed to not sell any ATM Shares for a period of one year from February 26, 2013.</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Preferred Stock Offering). The closing of the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12,072,438 shares of common stock, and the warrants are exercisable to purchase an aggregate of up to 6,036,219 shares of common stock. Each warrant has an exercise price of $1.18 per share, equal to the closing bid price of common stock on February 21, 2013. The warrants are immediately exercisable and expire five years after its issuance. As of March 31, 2013, the Company issued an aggregate of 8,018,112 shares of common stock upon conversion of 9,963 shares of the Series A 0% convertible preferred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Upon issuance, we estimated the fair value of the warrants issued in the Preferred Stock Offering to be approximately $5.4 million using the Black-Scholes pricing model. Also, upon issuance, we recognized approximately $4.6 million as a one time, non-cash deemed dividend related to the beneficial conversion feature connected to the preferred stock in the Preferred Stock Offering.</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Assumptions used in the valuation of the warrants issued in the Preferred Stock Offering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3544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4445" cy="17145"/>
                    </a:xfrm>
                    <a:prstGeom prst="rect">
                      <a:avLst/>
                    </a:prstGeom>
                    <a:noFill/>
                  </pic:spPr>
                </pic:pic>
              </a:graphicData>
            </a:graphic>
          </wp:anchor>
        </w:drawing>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Risk-free interest rate</w:t>
            </w:r>
          </w:p>
        </w:tc>
        <w:tc>
          <w:tcPr>
            <w:tcW w:w="4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0.78</w:t>
            </w:r>
          </w:p>
        </w:tc>
        <w:tc>
          <w:tcPr>
            <w:tcW w:w="3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Expected volatility</w:t>
            </w:r>
          </w:p>
        </w:tc>
        <w:tc>
          <w:tcPr>
            <w:tcW w:w="4220" w:type="dxa"/>
            <w:vAlign w:val="bottom"/>
          </w:tcPr>
          <w:p>
            <w:pPr>
              <w:jc w:val="right"/>
              <w:spacing w:after="0"/>
              <w:rPr>
                <w:sz w:val="20"/>
                <w:szCs w:val="20"/>
                <w:color w:val="auto"/>
              </w:rPr>
            </w:pPr>
            <w:r>
              <w:rPr>
                <w:rFonts w:ascii="Arial" w:cs="Arial" w:eastAsia="Arial" w:hAnsi="Arial"/>
                <w:sz w:val="18"/>
                <w:szCs w:val="18"/>
                <w:color w:val="auto"/>
              </w:rPr>
              <w:t>102.23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Expected life (in years)</w:t>
            </w:r>
          </w:p>
        </w:tc>
        <w:tc>
          <w:tcPr>
            <w:tcW w:w="4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0FF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Expected forfeiture rate</w:t>
            </w:r>
          </w:p>
        </w:tc>
        <w:tc>
          <w:tcPr>
            <w:tcW w:w="42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Expected dividend yield</w:t>
            </w:r>
          </w:p>
        </w:tc>
        <w:tc>
          <w:tcPr>
            <w:tcW w:w="4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 Plans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2007, the Company adopted the Celsion Corporation 2007 Stock Incentive Plan (the “2007 Plan”) under which 1,000,000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and June 7, 2012, the stockholders approved amendments to the Plan. The only material difference between the original Plan and the amended Plan was the number of shares of common stock available for issuance under the amended Plan which was increased by 1,000,000 to a total of 2,000,000 shares in 2010 and by 2,250,000 to a total of 4,250,000 shares in 2012.</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666,667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38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0.85%</w:t>
            </w:r>
          </w:p>
        </w:tc>
        <w:tc>
          <w:tcPr>
            <w:tcW w:w="17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83.41%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80.8-81.3%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Expected life (in years)</w:t>
            </w: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6.00 – 6.30</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17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0FFFF"/>
          </w:tcPr>
          <w:p>
            <w:pPr>
              <w:spacing w:after="0"/>
              <w:rPr>
                <w:sz w:val="18"/>
                <w:szCs w:val="18"/>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2013 and 2012 grants was generated using the simplified method.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summary of the Company’s stock option and restricted stock awards for the three month period ended March 31, 2013 is as follows: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Stock Options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9"/>
              </w:rPr>
              <w:t>Restricted Stock Awards</w:t>
            </w:r>
          </w:p>
        </w:tc>
        <w:tc>
          <w:tcPr>
            <w:tcW w:w="2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Non-vested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Restricted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Grant Date</w:t>
            </w: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jc w:val="right"/>
              <w:ind w:right="1630"/>
              <w:spacing w:after="0"/>
              <w:rPr>
                <w:sz w:val="20"/>
                <w:szCs w:val="20"/>
                <w:color w:val="auto"/>
              </w:rPr>
            </w:pPr>
            <w:r>
              <w:rPr>
                <w:rFonts w:ascii="Arial" w:cs="Arial" w:eastAsia="Arial" w:hAnsi="Arial"/>
                <w:sz w:val="18"/>
                <w:szCs w:val="18"/>
                <w:b w:val="1"/>
                <w:bCs w:val="1"/>
                <w:color w:val="auto"/>
              </w:rPr>
              <w:t>Equity Awards</w:t>
            </w:r>
          </w:p>
        </w:tc>
        <w:tc>
          <w:tcPr>
            <w:tcW w:w="12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0FFFF"/>
          </w:tcPr>
          <w:p>
            <w:pPr>
              <w:spacing w:after="0"/>
              <w:rPr>
                <w:sz w:val="20"/>
                <w:szCs w:val="20"/>
                <w:color w:val="auto"/>
              </w:rPr>
            </w:pPr>
            <w:r>
              <w:rPr>
                <w:rFonts w:ascii="Arial" w:cs="Arial" w:eastAsia="Arial" w:hAnsi="Arial"/>
                <w:sz w:val="18"/>
                <w:szCs w:val="18"/>
                <w:color w:val="auto"/>
              </w:rPr>
              <w:t>Equity awards outstanding at December 31, 2012</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3,264,880</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19,337</w:t>
            </w:r>
          </w:p>
        </w:tc>
        <w:tc>
          <w:tcPr>
            <w:tcW w:w="3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0FF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0FFFF"/>
          </w:tcPr>
          <w:p>
            <w:pPr>
              <w:spacing w:after="0"/>
              <w:rPr>
                <w:sz w:val="20"/>
                <w:szCs w:val="20"/>
                <w:color w:val="auto"/>
              </w:rPr>
            </w:pPr>
            <w:r>
              <w:rPr>
                <w:rFonts w:ascii="Arial" w:cs="Arial" w:eastAsia="Arial" w:hAnsi="Arial"/>
                <w:sz w:val="18"/>
                <w:szCs w:val="18"/>
                <w:color w:val="auto"/>
              </w:rPr>
              <w:t>Equity awards exercised</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(49,266)</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shd w:val="clear" w:color="auto" w:fill="C0FFFF"/>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(3,333)</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9"/>
                <w:szCs w:val="19"/>
                <w:color w:val="auto"/>
              </w:rPr>
            </w:pPr>
          </w:p>
        </w:tc>
        <w:tc>
          <w:tcPr>
            <w:tcW w:w="110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tcBorders>
              <w:bottom w:val="single" w:sz="8" w:color="C0FFFF"/>
            </w:tcBorders>
            <w:shd w:val="clear" w:color="auto" w:fill="C0FFFF"/>
          </w:tcPr>
          <w:p>
            <w:pPr>
              <w:spacing w:after="0" w:line="196" w:lineRule="exact"/>
              <w:rPr>
                <w:sz w:val="20"/>
                <w:szCs w:val="20"/>
                <w:color w:val="auto"/>
              </w:rPr>
            </w:pPr>
            <w:r>
              <w:rPr>
                <w:rFonts w:ascii="Arial" w:cs="Arial" w:eastAsia="Arial" w:hAnsi="Arial"/>
                <w:sz w:val="18"/>
                <w:szCs w:val="18"/>
                <w:color w:val="auto"/>
              </w:rPr>
              <w:t>Equity awards outstanding at March 31, 2013</w:t>
            </w:r>
          </w:p>
        </w:tc>
        <w:tc>
          <w:tcPr>
            <w:tcW w:w="12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bottom w:val="single" w:sz="8" w:color="auto"/>
            </w:tcBorders>
            <w:shd w:val="clear" w:color="auto" w:fill="C0FFFF"/>
          </w:tcPr>
          <w:p>
            <w:pPr>
              <w:spacing w:after="0"/>
              <w:rPr>
                <w:sz w:val="22"/>
                <w:szCs w:val="22"/>
                <w:color w:val="auto"/>
              </w:rPr>
            </w:pPr>
          </w:p>
        </w:tc>
        <w:tc>
          <w:tcPr>
            <w:tcW w:w="980" w:type="dxa"/>
            <w:vAlign w:val="bottom"/>
            <w:tcBorders>
              <w:bottom w:val="single" w:sz="8" w:color="auto"/>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3,227,281</w:t>
            </w:r>
          </w:p>
        </w:tc>
        <w:tc>
          <w:tcPr>
            <w:tcW w:w="160" w:type="dxa"/>
            <w:vAlign w:val="bottom"/>
            <w:tcBorders>
              <w:bottom w:val="single" w:sz="8" w:color="C0FFFF"/>
            </w:tcBorders>
            <w:shd w:val="clear" w:color="auto" w:fill="C0FFFF"/>
          </w:tcPr>
          <w:p>
            <w:pPr>
              <w:spacing w:after="0"/>
              <w:rPr>
                <w:sz w:val="22"/>
                <w:szCs w:val="22"/>
                <w:color w:val="auto"/>
              </w:rPr>
            </w:pPr>
          </w:p>
        </w:tc>
        <w:tc>
          <w:tcPr>
            <w:tcW w:w="220" w:type="dxa"/>
            <w:vAlign w:val="bottom"/>
            <w:tcBorders>
              <w:bottom w:val="single" w:sz="8" w:color="C0FFFF"/>
            </w:tcBorders>
            <w:gridSpan w:val="2"/>
            <w:shd w:val="clear" w:color="auto" w:fill="C0FF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0FFFF"/>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3.25</w:t>
            </w:r>
          </w:p>
        </w:tc>
        <w:tc>
          <w:tcPr>
            <w:tcW w:w="20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auto"/>
            </w:tcBorders>
            <w:shd w:val="clear" w:color="auto" w:fill="C0FFFF"/>
          </w:tcPr>
          <w:p>
            <w:pPr>
              <w:spacing w:after="0"/>
              <w:rPr>
                <w:sz w:val="22"/>
                <w:szCs w:val="22"/>
                <w:color w:val="auto"/>
              </w:rPr>
            </w:pPr>
          </w:p>
        </w:tc>
        <w:tc>
          <w:tcPr>
            <w:tcW w:w="1020" w:type="dxa"/>
            <w:vAlign w:val="bottom"/>
            <w:tcBorders>
              <w:bottom w:val="single" w:sz="8" w:color="auto"/>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19,337</w:t>
            </w:r>
          </w:p>
        </w:tc>
        <w:tc>
          <w:tcPr>
            <w:tcW w:w="300" w:type="dxa"/>
            <w:vAlign w:val="bottom"/>
            <w:tcBorders>
              <w:bottom w:val="single" w:sz="8" w:color="C0FFFF"/>
            </w:tcBorders>
            <w:gridSpan w:val="2"/>
            <w:shd w:val="clear" w:color="auto" w:fill="C0FF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0FFFF"/>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3.2</w:t>
            </w:r>
          </w:p>
        </w:tc>
        <w:tc>
          <w:tcPr>
            <w:tcW w:w="1320" w:type="dxa"/>
            <w:vAlign w:val="bottom"/>
            <w:tcBorders>
              <w:bottom w:val="single" w:sz="8" w:color="C0FFFF"/>
            </w:tcBorders>
            <w:gridSpan w:val="2"/>
            <w:shd w:val="clear" w:color="auto" w:fill="C0FFFF"/>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6"/>
              </w:rPr>
              <w:t>Aggregate intrinsic value of outstanding awards March 31,</w:t>
            </w:r>
          </w:p>
        </w:tc>
        <w:tc>
          <w:tcPr>
            <w:tcW w:w="12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0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80" w:type="dxa"/>
            <w:vAlign w:val="bottom"/>
            <w:shd w:val="clear" w:color="auto" w:fill="C0FFFF"/>
          </w:tcPr>
          <w:p>
            <w:pPr>
              <w:jc w:val="right"/>
              <w:ind w:right="3890"/>
              <w:spacing w:after="0"/>
              <w:rPr>
                <w:sz w:val="20"/>
                <w:szCs w:val="20"/>
                <w:color w:val="auto"/>
              </w:rPr>
            </w:pPr>
            <w:r>
              <w:rPr>
                <w:rFonts w:ascii="Arial" w:cs="Arial" w:eastAsia="Arial" w:hAnsi="Arial"/>
                <w:sz w:val="18"/>
                <w:szCs w:val="18"/>
                <w:color w:val="auto"/>
              </w:rPr>
              <w:t>2013</w:t>
            </w:r>
          </w:p>
        </w:tc>
        <w:tc>
          <w:tcPr>
            <w:tcW w:w="2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3"/>
                <w:szCs w:val="23"/>
                <w:color w:val="auto"/>
              </w:rPr>
            </w:pPr>
          </w:p>
        </w:tc>
        <w:tc>
          <w:tcPr>
            <w:tcW w:w="120" w:type="dxa"/>
            <w:vAlign w:val="bottom"/>
            <w:shd w:val="clear" w:color="auto" w:fill="C0FFFF"/>
          </w:tcPr>
          <w:p>
            <w:pPr>
              <w:spacing w:after="0"/>
              <w:rPr>
                <w:sz w:val="23"/>
                <w:szCs w:val="23"/>
                <w:color w:val="auto"/>
              </w:rPr>
            </w:pPr>
          </w:p>
        </w:tc>
        <w:tc>
          <w:tcPr>
            <w:tcW w:w="1000" w:type="dxa"/>
            <w:vAlign w:val="bottom"/>
            <w:shd w:val="clear" w:color="auto" w:fill="C0FFFF"/>
          </w:tcPr>
          <w:p>
            <w:pPr>
              <w:spacing w:after="0"/>
              <w:rPr>
                <w:sz w:val="23"/>
                <w:szCs w:val="23"/>
                <w:color w:val="auto"/>
              </w:rPr>
            </w:pPr>
          </w:p>
        </w:tc>
        <w:tc>
          <w:tcPr>
            <w:tcW w:w="3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61,813</w:t>
            </w:r>
          </w:p>
        </w:tc>
        <w:tc>
          <w:tcPr>
            <w:tcW w:w="220" w:type="dxa"/>
            <w:vAlign w:val="bottom"/>
            <w:shd w:val="clear" w:color="auto" w:fill="C0FFFF"/>
          </w:tcPr>
          <w:p>
            <w:pPr>
              <w:spacing w:after="0"/>
              <w:rPr>
                <w:sz w:val="23"/>
                <w:szCs w:val="23"/>
                <w:color w:val="auto"/>
              </w:rPr>
            </w:pPr>
          </w:p>
        </w:tc>
        <w:tc>
          <w:tcPr>
            <w:tcW w:w="80" w:type="dxa"/>
            <w:vAlign w:val="bottom"/>
            <w:shd w:val="clear" w:color="auto" w:fill="C0FFFF"/>
          </w:tcPr>
          <w:p>
            <w:pPr>
              <w:spacing w:after="0"/>
              <w:rPr>
                <w:sz w:val="23"/>
                <w:szCs w:val="23"/>
                <w:color w:val="auto"/>
              </w:rPr>
            </w:pPr>
          </w:p>
        </w:tc>
        <w:tc>
          <w:tcPr>
            <w:tcW w:w="1020" w:type="dxa"/>
            <w:vAlign w:val="bottom"/>
            <w:shd w:val="clear" w:color="auto" w:fill="C0FFFF"/>
          </w:tcPr>
          <w:p>
            <w:pPr>
              <w:spacing w:after="0"/>
              <w:rPr>
                <w:sz w:val="23"/>
                <w:szCs w:val="23"/>
                <w:color w:val="auto"/>
              </w:rPr>
            </w:pPr>
          </w:p>
        </w:tc>
        <w:tc>
          <w:tcPr>
            <w:tcW w:w="220" w:type="dxa"/>
            <w:vAlign w:val="bottom"/>
            <w:shd w:val="clear" w:color="auto" w:fill="C0FFFF"/>
          </w:tcPr>
          <w:p>
            <w:pPr>
              <w:spacing w:after="0"/>
              <w:rPr>
                <w:sz w:val="23"/>
                <w:szCs w:val="23"/>
                <w:color w:val="auto"/>
              </w:rPr>
            </w:pPr>
          </w:p>
        </w:tc>
        <w:tc>
          <w:tcPr>
            <w:tcW w:w="1100" w:type="dxa"/>
            <w:vAlign w:val="bottom"/>
            <w:shd w:val="clear" w:color="auto" w:fill="C0FFFF"/>
          </w:tcPr>
          <w:p>
            <w:pPr>
              <w:spacing w:after="0"/>
              <w:rPr>
                <w:sz w:val="23"/>
                <w:szCs w:val="23"/>
                <w:color w:val="auto"/>
              </w:rPr>
            </w:pPr>
          </w:p>
        </w:tc>
        <w:tc>
          <w:tcPr>
            <w:tcW w:w="120" w:type="dxa"/>
            <w:vAlign w:val="bottom"/>
            <w:shd w:val="clear" w:color="auto" w:fill="C0FF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2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tcBorders>
              <w:bottom w:val="single" w:sz="8" w:color="C0FFFF"/>
            </w:tcBorders>
            <w:shd w:val="clear" w:color="auto" w:fill="C0FFFF"/>
          </w:tcPr>
          <w:p>
            <w:pPr>
              <w:spacing w:after="0" w:line="196" w:lineRule="exact"/>
              <w:rPr>
                <w:sz w:val="20"/>
                <w:szCs w:val="20"/>
                <w:color w:val="auto"/>
              </w:rPr>
            </w:pPr>
            <w:r>
              <w:rPr>
                <w:rFonts w:ascii="Arial" w:cs="Arial" w:eastAsia="Arial" w:hAnsi="Arial"/>
                <w:sz w:val="18"/>
                <w:szCs w:val="18"/>
                <w:color w:val="auto"/>
              </w:rPr>
              <w:t>Equity awards exercisable at March 31, 2013</w:t>
            </w:r>
          </w:p>
        </w:tc>
        <w:tc>
          <w:tcPr>
            <w:tcW w:w="12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bottom w:val="single" w:sz="8" w:color="auto"/>
            </w:tcBorders>
            <w:shd w:val="clear" w:color="auto" w:fill="C0FFFF"/>
          </w:tcPr>
          <w:p>
            <w:pPr>
              <w:spacing w:after="0"/>
              <w:rPr>
                <w:sz w:val="22"/>
                <w:szCs w:val="22"/>
                <w:color w:val="auto"/>
              </w:rPr>
            </w:pPr>
          </w:p>
        </w:tc>
        <w:tc>
          <w:tcPr>
            <w:tcW w:w="980" w:type="dxa"/>
            <w:vAlign w:val="bottom"/>
            <w:tcBorders>
              <w:bottom w:val="single" w:sz="8" w:color="auto"/>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2,306,490</w:t>
            </w:r>
          </w:p>
        </w:tc>
        <w:tc>
          <w:tcPr>
            <w:tcW w:w="160" w:type="dxa"/>
            <w:vAlign w:val="bottom"/>
            <w:tcBorders>
              <w:bottom w:val="single" w:sz="8" w:color="C0FFFF"/>
            </w:tcBorders>
            <w:shd w:val="clear" w:color="auto" w:fill="C0FFFF"/>
          </w:tcPr>
          <w:p>
            <w:pPr>
              <w:spacing w:after="0"/>
              <w:rPr>
                <w:sz w:val="22"/>
                <w:szCs w:val="22"/>
                <w:color w:val="auto"/>
              </w:rPr>
            </w:pPr>
          </w:p>
        </w:tc>
        <w:tc>
          <w:tcPr>
            <w:tcW w:w="220" w:type="dxa"/>
            <w:vAlign w:val="bottom"/>
            <w:tcBorders>
              <w:bottom w:val="single" w:sz="8" w:color="C0FFFF"/>
            </w:tcBorders>
            <w:gridSpan w:val="2"/>
            <w:shd w:val="clear" w:color="auto" w:fill="C0FF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0FFFF"/>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3.52</w:t>
            </w:r>
          </w:p>
        </w:tc>
        <w:tc>
          <w:tcPr>
            <w:tcW w:w="20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C0FFFF"/>
            </w:tcBorders>
            <w:shd w:val="clear" w:color="auto" w:fill="C0FFFF"/>
          </w:tcPr>
          <w:p>
            <w:pPr>
              <w:spacing w:after="0"/>
              <w:rPr>
                <w:sz w:val="22"/>
                <w:szCs w:val="22"/>
                <w:color w:val="auto"/>
              </w:rPr>
            </w:pPr>
          </w:p>
        </w:tc>
        <w:tc>
          <w:tcPr>
            <w:tcW w:w="220" w:type="dxa"/>
            <w:vAlign w:val="bottom"/>
            <w:tcBorders>
              <w:bottom w:val="single" w:sz="8" w:color="C0FFFF"/>
            </w:tcBorders>
            <w:shd w:val="clear" w:color="auto" w:fill="C0FFFF"/>
          </w:tcPr>
          <w:p>
            <w:pPr>
              <w:spacing w:after="0"/>
              <w:rPr>
                <w:sz w:val="22"/>
                <w:szCs w:val="22"/>
                <w:color w:val="auto"/>
              </w:rPr>
            </w:pPr>
          </w:p>
        </w:tc>
        <w:tc>
          <w:tcPr>
            <w:tcW w:w="80" w:type="dxa"/>
            <w:vAlign w:val="bottom"/>
            <w:tcBorders>
              <w:bottom w:val="single" w:sz="8" w:color="C0FFFF"/>
            </w:tcBorders>
            <w:shd w:val="clear" w:color="auto" w:fill="C0FFFF"/>
          </w:tcPr>
          <w:p>
            <w:pPr>
              <w:spacing w:after="0"/>
              <w:rPr>
                <w:sz w:val="22"/>
                <w:szCs w:val="22"/>
                <w:color w:val="auto"/>
              </w:rPr>
            </w:pPr>
          </w:p>
        </w:tc>
        <w:tc>
          <w:tcPr>
            <w:tcW w:w="1020" w:type="dxa"/>
            <w:vAlign w:val="bottom"/>
            <w:tcBorders>
              <w:bottom w:val="single" w:sz="8" w:color="C0FFFF"/>
            </w:tcBorders>
            <w:shd w:val="clear" w:color="auto" w:fill="C0FFFF"/>
          </w:tcPr>
          <w:p>
            <w:pPr>
              <w:spacing w:after="0"/>
              <w:rPr>
                <w:sz w:val="22"/>
                <w:szCs w:val="22"/>
                <w:color w:val="auto"/>
              </w:rPr>
            </w:pPr>
          </w:p>
        </w:tc>
        <w:tc>
          <w:tcPr>
            <w:tcW w:w="1320" w:type="dxa"/>
            <w:vAlign w:val="bottom"/>
            <w:tcBorders>
              <w:bottom w:val="single" w:sz="8" w:color="C0FFFF"/>
            </w:tcBorders>
            <w:gridSpan w:val="2"/>
            <w:shd w:val="clear" w:color="auto" w:fill="C0FFFF"/>
          </w:tcPr>
          <w:p>
            <w:pPr>
              <w:jc w:val="right"/>
              <w:spacing w:after="0" w:line="196" w:lineRule="exact"/>
              <w:rPr>
                <w:sz w:val="20"/>
                <w:szCs w:val="20"/>
                <w:color w:val="auto"/>
              </w:rPr>
            </w:pPr>
            <w:r>
              <w:rPr>
                <w:rFonts w:ascii="Arial" w:cs="Arial" w:eastAsia="Arial" w:hAnsi="Arial"/>
                <w:sz w:val="18"/>
                <w:szCs w:val="18"/>
                <w:color w:val="auto"/>
              </w:rPr>
              <w:t>5.7</w:t>
            </w:r>
          </w:p>
        </w:tc>
        <w:tc>
          <w:tcPr>
            <w:tcW w:w="12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2"/>
              </w:rPr>
              <w:t>Aggregate intrinsic value of awards exercisable at March 31,</w:t>
            </w:r>
          </w:p>
        </w:tc>
        <w:tc>
          <w:tcPr>
            <w:tcW w:w="12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0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480" w:type="dxa"/>
            <w:vAlign w:val="bottom"/>
            <w:shd w:val="clear" w:color="auto" w:fill="C0FFFF"/>
          </w:tcPr>
          <w:p>
            <w:pPr>
              <w:jc w:val="right"/>
              <w:ind w:right="3890"/>
              <w:spacing w:after="0"/>
              <w:rPr>
                <w:sz w:val="20"/>
                <w:szCs w:val="20"/>
                <w:color w:val="auto"/>
              </w:rPr>
            </w:pPr>
            <w:r>
              <w:rPr>
                <w:rFonts w:ascii="Arial" w:cs="Arial" w:eastAsia="Arial" w:hAnsi="Arial"/>
                <w:sz w:val="18"/>
                <w:szCs w:val="18"/>
                <w:color w:val="auto"/>
              </w:rPr>
              <w:t>2013</w:t>
            </w:r>
          </w:p>
        </w:tc>
        <w:tc>
          <w:tcPr>
            <w:tcW w:w="2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1000" w:type="dxa"/>
            <w:vAlign w:val="bottom"/>
            <w:shd w:val="clear" w:color="auto" w:fill="C0FFFF"/>
          </w:tcPr>
          <w:p>
            <w:pPr>
              <w:spacing w:after="0"/>
              <w:rPr>
                <w:sz w:val="21"/>
                <w:szCs w:val="21"/>
                <w:color w:val="auto"/>
              </w:rPr>
            </w:pPr>
          </w:p>
        </w:tc>
        <w:tc>
          <w:tcPr>
            <w:tcW w:w="200" w:type="dxa"/>
            <w:vAlign w:val="bottom"/>
            <w:shd w:val="clear" w:color="auto" w:fill="C0FFFF"/>
          </w:tcPr>
          <w:p>
            <w:pPr>
              <w:spacing w:after="0"/>
              <w:rPr>
                <w:sz w:val="21"/>
                <w:szCs w:val="21"/>
                <w:color w:val="auto"/>
              </w:rPr>
            </w:pPr>
          </w:p>
        </w:tc>
        <w:tc>
          <w:tcPr>
            <w:tcW w:w="100" w:type="dxa"/>
            <w:vAlign w:val="bottom"/>
            <w:shd w:val="clear" w:color="auto" w:fill="C0FFFF"/>
          </w:tcPr>
          <w:p>
            <w:pPr>
              <w:spacing w:after="0"/>
              <w:rPr>
                <w:sz w:val="21"/>
                <w:szCs w:val="21"/>
                <w:color w:val="auto"/>
              </w:rPr>
            </w:pPr>
          </w:p>
        </w:tc>
        <w:tc>
          <w:tcPr>
            <w:tcW w:w="1020" w:type="dxa"/>
            <w:vAlign w:val="bottom"/>
            <w:shd w:val="clear" w:color="auto" w:fill="C0FFFF"/>
          </w:tcPr>
          <w:p>
            <w:pPr>
              <w:spacing w:after="0"/>
              <w:rPr>
                <w:sz w:val="21"/>
                <w:szCs w:val="21"/>
                <w:color w:val="auto"/>
              </w:rPr>
            </w:pPr>
          </w:p>
        </w:tc>
        <w:tc>
          <w:tcPr>
            <w:tcW w:w="220" w:type="dxa"/>
            <w:vAlign w:val="bottom"/>
            <w:shd w:val="clear" w:color="auto" w:fill="C0FFFF"/>
          </w:tcPr>
          <w:p>
            <w:pPr>
              <w:spacing w:after="0"/>
              <w:rPr>
                <w:sz w:val="21"/>
                <w:szCs w:val="21"/>
                <w:color w:val="auto"/>
              </w:rPr>
            </w:pPr>
          </w:p>
        </w:tc>
        <w:tc>
          <w:tcPr>
            <w:tcW w:w="80" w:type="dxa"/>
            <w:vAlign w:val="bottom"/>
            <w:shd w:val="clear" w:color="auto" w:fill="C0FFFF"/>
          </w:tcPr>
          <w:p>
            <w:pPr>
              <w:spacing w:after="0"/>
              <w:rPr>
                <w:sz w:val="21"/>
                <w:szCs w:val="21"/>
                <w:color w:val="auto"/>
              </w:rPr>
            </w:pPr>
          </w:p>
        </w:tc>
        <w:tc>
          <w:tcPr>
            <w:tcW w:w="1020" w:type="dxa"/>
            <w:vAlign w:val="bottom"/>
            <w:shd w:val="clear" w:color="auto" w:fill="C0FFFF"/>
          </w:tcPr>
          <w:p>
            <w:pPr>
              <w:spacing w:after="0"/>
              <w:rPr>
                <w:sz w:val="21"/>
                <w:szCs w:val="21"/>
                <w:color w:val="auto"/>
              </w:rPr>
            </w:pPr>
          </w:p>
        </w:tc>
        <w:tc>
          <w:tcPr>
            <w:tcW w:w="220" w:type="dxa"/>
            <w:vAlign w:val="bottom"/>
            <w:shd w:val="clear" w:color="auto" w:fill="C0FFFF"/>
          </w:tcPr>
          <w:p>
            <w:pPr>
              <w:spacing w:after="0"/>
              <w:rPr>
                <w:sz w:val="21"/>
                <w:szCs w:val="21"/>
                <w:color w:val="auto"/>
              </w:rPr>
            </w:pPr>
          </w:p>
        </w:tc>
        <w:tc>
          <w:tcPr>
            <w:tcW w:w="110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0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compensation cost related to employee stock options and restricted stock awards amounted to $263,192 and $305,127 for the three months ended March 31, 2013 and 2012, respectively. No compensation cost related to share-based payments arrangements was capitalized as part of the cost of any asset as of March 31, 2013 and 2012.</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2013, there was $1.3 million of total unrecognized compensation cost related to non-vested share-based compensation arrangements. That cost is expected to be recognized over a weighted-average period of 1.8 years. The weighted average grant-date fair value was $0.87 and $1.46 per share for the options granted during the three months ended March 31, 2013 and 2012, respectively. The weighted average grant-date fair value was $2.09 for the restricted stock awards granted during the three months ended March 31, 2012. No restricted stock awards were granted during the first three months of 2013.</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2013, the Company received gross proceeds of approximately $0.2 million from the exercise of options to purchase 49,266 shares of common stock. Collectively, for all the stock option plans as of March 31, 2013, there were a total of 5,388,922 shares reserved, which were comprised of 3,246,615 equity awards granted and 2,142,307 equity awards available for future issuance.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Note 11. Warrants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360" w:type="dxa"/>
            <w:vAlign w:val="bottom"/>
            <w:gridSpan w:val="3"/>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360" w:type="dxa"/>
            <w:vAlign w:val="bottom"/>
            <w:gridSpan w:val="3"/>
          </w:tcPr>
          <w:p>
            <w:pPr>
              <w:spacing w:after="0"/>
              <w:rPr>
                <w:sz w:val="20"/>
                <w:szCs w:val="20"/>
                <w:color w:val="auto"/>
              </w:rPr>
            </w:pPr>
            <w:r>
              <w:rPr>
                <w:rFonts w:ascii="Arial" w:cs="Arial" w:eastAsia="Arial" w:hAnsi="Arial"/>
                <w:sz w:val="18"/>
                <w:szCs w:val="18"/>
                <w:color w:val="auto"/>
              </w:rPr>
              <w:t>Following is a summary of all warrant activity for the first three months of 2013: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Warrants Issued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Warrants outstanding at December 31, 2012</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7,863,653</w:t>
            </w:r>
          </w:p>
        </w:tc>
        <w:tc>
          <w:tcPr>
            <w:tcW w:w="14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67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w w:val="93"/>
              </w:rPr>
              <w:t>Warrants granted in connection with the Preferred Stock Offering as more fully described in</w:t>
            </w:r>
          </w:p>
        </w:tc>
        <w:tc>
          <w:tcPr>
            <w:tcW w:w="1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13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7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Note 9</w:t>
            </w:r>
          </w:p>
        </w:tc>
        <w:tc>
          <w:tcPr>
            <w:tcW w:w="12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6,036,219</w:t>
            </w:r>
          </w:p>
        </w:tc>
        <w:tc>
          <w:tcPr>
            <w:tcW w:w="140" w:type="dxa"/>
            <w:vAlign w:val="bottom"/>
            <w:shd w:val="clear" w:color="auto" w:fill="C0FFFF"/>
          </w:tcPr>
          <w:p>
            <w:pPr>
              <w:spacing w:after="0"/>
              <w:rPr>
                <w:sz w:val="20"/>
                <w:szCs w:val="20"/>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67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Warrants exercised for common stock</w:t>
            </w:r>
          </w:p>
        </w:tc>
        <w:tc>
          <w:tcPr>
            <w:tcW w:w="12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(71,250)</w:t>
            </w:r>
          </w:p>
        </w:tc>
        <w:tc>
          <w:tcPr>
            <w:tcW w:w="8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240" w:type="dxa"/>
            <w:vAlign w:val="bottom"/>
            <w:tcBorders>
              <w:top w:val="single" w:sz="8" w:color="C0FFFF"/>
            </w:tcBorders>
          </w:tcPr>
          <w:p>
            <w:pPr>
              <w:spacing w:after="0"/>
              <w:rPr>
                <w:sz w:val="18"/>
                <w:szCs w:val="18"/>
                <w:color w:val="auto"/>
              </w:rPr>
            </w:pPr>
          </w:p>
        </w:tc>
        <w:tc>
          <w:tcPr>
            <w:tcW w:w="55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38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0" w:type="dxa"/>
            <w:vAlign w:val="bottom"/>
            <w:vMerge w:val="continue"/>
          </w:tcPr>
          <w:p>
            <w:pPr>
              <w:spacing w:after="0"/>
              <w:rPr>
                <w:sz w:val="22"/>
                <w:szCs w:val="22"/>
                <w:color w:val="auto"/>
              </w:rPr>
            </w:pPr>
          </w:p>
        </w:tc>
        <w:tc>
          <w:tcPr>
            <w:tcW w:w="6780" w:type="dxa"/>
            <w:vAlign w:val="bottom"/>
            <w:tcBorders>
              <w:bottom w:val="single" w:sz="8" w:color="C0FFFF"/>
            </w:tcBorders>
            <w:gridSpan w:val="2"/>
            <w:shd w:val="clear" w:color="auto" w:fill="C0FFFF"/>
          </w:tcPr>
          <w:p>
            <w:pPr>
              <w:spacing w:after="0" w:line="196" w:lineRule="exact"/>
              <w:rPr>
                <w:sz w:val="20"/>
                <w:szCs w:val="20"/>
                <w:color w:val="auto"/>
              </w:rPr>
            </w:pPr>
            <w:r>
              <w:rPr>
                <w:rFonts w:ascii="Arial" w:cs="Arial" w:eastAsia="Arial" w:hAnsi="Arial"/>
                <w:sz w:val="18"/>
                <w:szCs w:val="18"/>
                <w:color w:val="auto"/>
              </w:rPr>
              <w:t>Warrants outstanding at March 31, 2013</w:t>
            </w:r>
          </w:p>
        </w:tc>
        <w:tc>
          <w:tcPr>
            <w:tcW w:w="12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auto"/>
            </w:tcBorders>
            <w:shd w:val="clear" w:color="auto" w:fill="C0FFFF"/>
          </w:tcPr>
          <w:p>
            <w:pPr>
              <w:spacing w:after="0"/>
              <w:rPr>
                <w:sz w:val="22"/>
                <w:szCs w:val="22"/>
                <w:color w:val="auto"/>
              </w:rPr>
            </w:pPr>
          </w:p>
        </w:tc>
        <w:tc>
          <w:tcPr>
            <w:tcW w:w="1440" w:type="dxa"/>
            <w:vAlign w:val="bottom"/>
            <w:tcBorders>
              <w:bottom w:val="single" w:sz="8" w:color="auto"/>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13,828,622</w:t>
            </w:r>
          </w:p>
        </w:tc>
        <w:tc>
          <w:tcPr>
            <w:tcW w:w="140" w:type="dxa"/>
            <w:vAlign w:val="bottom"/>
            <w:tcBorders>
              <w:bottom w:val="single" w:sz="8" w:color="C0FFFF"/>
            </w:tcBorders>
            <w:shd w:val="clear" w:color="auto" w:fill="C0FFFF"/>
          </w:tcPr>
          <w:p>
            <w:pPr>
              <w:spacing w:after="0"/>
              <w:rPr>
                <w:sz w:val="22"/>
                <w:szCs w:val="22"/>
                <w:color w:val="auto"/>
              </w:rPr>
            </w:pPr>
          </w:p>
        </w:tc>
        <w:tc>
          <w:tcPr>
            <w:tcW w:w="220" w:type="dxa"/>
            <w:vAlign w:val="bottom"/>
            <w:tcBorders>
              <w:bottom w:val="single" w:sz="8" w:color="C0FFFF"/>
            </w:tcBorders>
            <w:gridSpan w:val="2"/>
            <w:shd w:val="clear" w:color="auto" w:fill="C0FF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C0FFFF"/>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2.42</w:t>
            </w: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0" w:type="dxa"/>
            <w:vAlign w:val="bottom"/>
            <w:vMerge w:val="continue"/>
          </w:tcPr>
          <w:p>
            <w:pPr>
              <w:spacing w:after="0"/>
              <w:rPr>
                <w:sz w:val="22"/>
                <w:szCs w:val="22"/>
                <w:color w:val="auto"/>
              </w:rPr>
            </w:pPr>
          </w:p>
        </w:tc>
        <w:tc>
          <w:tcPr>
            <w:tcW w:w="67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Aggregate intrinsic value of outstanding warrants at March 31, 2013</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2"/>
                <w:szCs w:val="22"/>
                <w:color w:val="auto"/>
              </w:rPr>
            </w:pPr>
          </w:p>
        </w:tc>
        <w:tc>
          <w:tcPr>
            <w:tcW w:w="140" w:type="dxa"/>
            <w:vAlign w:val="bottom"/>
            <w:shd w:val="clear" w:color="auto" w:fill="C0FFFF"/>
          </w:tcPr>
          <w:p>
            <w:pPr>
              <w:spacing w:after="0"/>
              <w:rPr>
                <w:sz w:val="22"/>
                <w:szCs w:val="22"/>
                <w:color w:val="auto"/>
              </w:rPr>
            </w:pPr>
          </w:p>
        </w:tc>
        <w:tc>
          <w:tcPr>
            <w:tcW w:w="1380" w:type="dxa"/>
            <w:vAlign w:val="bottom"/>
            <w:shd w:val="clear" w:color="auto" w:fill="C0FFFF"/>
          </w:tcPr>
          <w:p>
            <w:pPr>
              <w:spacing w:after="0"/>
              <w:rPr>
                <w:sz w:val="22"/>
                <w:szCs w:val="22"/>
                <w:color w:val="auto"/>
              </w:rPr>
            </w:pPr>
          </w:p>
        </w:tc>
        <w:tc>
          <w:tcPr>
            <w:tcW w:w="100" w:type="dxa"/>
            <w:vAlign w:val="bottom"/>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1240" w:type="dxa"/>
            <w:vAlign w:val="bottom"/>
            <w:tcBorders>
              <w:top w:val="single" w:sz="8" w:color="C0FFFF"/>
            </w:tcBorders>
          </w:tcPr>
          <w:p>
            <w:pPr>
              <w:spacing w:after="0"/>
              <w:rPr>
                <w:sz w:val="18"/>
                <w:szCs w:val="18"/>
                <w:color w:val="auto"/>
              </w:rPr>
            </w:pPr>
          </w:p>
        </w:tc>
        <w:tc>
          <w:tcPr>
            <w:tcW w:w="55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38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0" w:type="dxa"/>
            <w:vAlign w:val="bottom"/>
            <w:vMerge w:val="continue"/>
          </w:tcPr>
          <w:p>
            <w:pPr>
              <w:spacing w:after="0"/>
              <w:rPr>
                <w:sz w:val="22"/>
                <w:szCs w:val="22"/>
                <w:color w:val="auto"/>
              </w:rPr>
            </w:pPr>
          </w:p>
        </w:tc>
        <w:tc>
          <w:tcPr>
            <w:tcW w:w="6780" w:type="dxa"/>
            <w:vAlign w:val="bottom"/>
            <w:tcBorders>
              <w:bottom w:val="single" w:sz="8" w:color="C0FFFF"/>
            </w:tcBorders>
            <w:gridSpan w:val="2"/>
            <w:shd w:val="clear" w:color="auto" w:fill="C0FFFF"/>
          </w:tcPr>
          <w:p>
            <w:pPr>
              <w:spacing w:after="0"/>
              <w:rPr>
                <w:sz w:val="20"/>
                <w:szCs w:val="20"/>
                <w:color w:val="auto"/>
              </w:rPr>
            </w:pPr>
            <w:r>
              <w:rPr>
                <w:rFonts w:ascii="Arial" w:cs="Arial" w:eastAsia="Arial" w:hAnsi="Arial"/>
                <w:sz w:val="18"/>
                <w:szCs w:val="18"/>
                <w:color w:val="auto"/>
              </w:rPr>
              <w:t>Weighted average remaining contractual terms (years)</w:t>
            </w:r>
          </w:p>
        </w:tc>
        <w:tc>
          <w:tcPr>
            <w:tcW w:w="12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auto"/>
            </w:tcBorders>
            <w:shd w:val="clear" w:color="auto" w:fill="C0FFFF"/>
          </w:tcPr>
          <w:p>
            <w:pPr>
              <w:spacing w:after="0"/>
              <w:rPr>
                <w:sz w:val="22"/>
                <w:szCs w:val="22"/>
                <w:color w:val="auto"/>
              </w:rPr>
            </w:pPr>
          </w:p>
        </w:tc>
        <w:tc>
          <w:tcPr>
            <w:tcW w:w="1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0FFFF"/>
            </w:tcBorders>
            <w:shd w:val="clear" w:color="auto" w:fill="C0FFFF"/>
          </w:tcPr>
          <w:p>
            <w:pPr>
              <w:spacing w:after="0"/>
              <w:rPr>
                <w:sz w:val="22"/>
                <w:szCs w:val="22"/>
                <w:color w:val="auto"/>
              </w:rPr>
            </w:pPr>
          </w:p>
        </w:tc>
        <w:tc>
          <w:tcPr>
            <w:tcW w:w="8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bottom w:val="single" w:sz="8" w:color="C0FFFF"/>
            </w:tcBorders>
            <w:shd w:val="clear" w:color="auto" w:fill="C0FFFF"/>
          </w:tcPr>
          <w:p>
            <w:pPr>
              <w:spacing w:after="0"/>
              <w:rPr>
                <w:sz w:val="22"/>
                <w:szCs w:val="22"/>
                <w:color w:val="auto"/>
              </w:rPr>
            </w:pPr>
          </w:p>
        </w:tc>
        <w:tc>
          <w:tcPr>
            <w:tcW w:w="138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quarter of 2013, the Company received gross proceeds of approximately $0.2 million from the exercise of warrants to purchase 71,250 shares of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Warrant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2,018,153 shares of its common stock and warrants to purchase 1,009,076 shares of common stock. The warrants have an exercise price of $5.24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Arial" w:cs="Arial" w:eastAsia="Arial" w:hAnsi="Arial"/>
          <w:sz w:val="17"/>
          <w:szCs w:val="17"/>
          <w:i w:val="1"/>
          <w:iCs w:val="1"/>
          <w:color w:val="auto"/>
        </w:rPr>
        <w:t xml:space="preserve">Derivative Instruments and Hedging - Contracts in Entity’s Own Equity, </w:t>
      </w:r>
      <w:r>
        <w:rPr>
          <w:rFonts w:ascii="Arial" w:cs="Arial" w:eastAsia="Arial" w:hAnsi="Arial"/>
          <w:sz w:val="17"/>
          <w:szCs w:val="17"/>
          <w:color w:val="auto"/>
        </w:rPr>
        <w:t>the warrants are recorded as a liability and then marked to market each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at March 31, 2013 and December 31, 2012 was $3,635 and $4,283,932, respectively, calculated using the Black-Scholes option-pricing model with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March 31, 2013</w:t>
            </w:r>
          </w:p>
        </w:tc>
        <w:tc>
          <w:tcPr>
            <w:tcW w:w="24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400" w:type="dxa"/>
            <w:vAlign w:val="bottom"/>
            <w:shd w:val="clear" w:color="auto" w:fill="C0FF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shd w:val="clear" w:color="auto" w:fill="C0FFFF"/>
          </w:tcPr>
          <w:p>
            <w:pPr>
              <w:spacing w:after="0"/>
              <w:rPr>
                <w:sz w:val="18"/>
                <w:szCs w:val="18"/>
                <w:color w:val="auto"/>
              </w:rPr>
            </w:pPr>
          </w:p>
        </w:tc>
        <w:tc>
          <w:tcPr>
            <w:tcW w:w="1500" w:type="dxa"/>
            <w:vAlign w:val="bottom"/>
            <w:tcBorders>
              <w:right w:val="single" w:sz="8" w:color="C0FFFF"/>
            </w:tcBorders>
            <w:shd w:val="clear" w:color="auto" w:fill="C0FFFF"/>
          </w:tcPr>
          <w:p>
            <w:pPr>
              <w:jc w:val="right"/>
              <w:ind w:right="3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4"/>
              </w:rPr>
              <w:t>%</w:t>
            </w:r>
          </w:p>
        </w:tc>
        <w:tc>
          <w:tcPr>
            <w:tcW w:w="16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Expected volatility</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65.8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0" w:type="dxa"/>
            <w:vAlign w:val="bottom"/>
            <w:shd w:val="clear" w:color="auto" w:fill="C0FFFF"/>
          </w:tcPr>
          <w:p>
            <w:pPr>
              <w:spacing w:after="0"/>
              <w:rPr>
                <w:sz w:val="20"/>
                <w:szCs w:val="20"/>
                <w:color w:val="auto"/>
              </w:rPr>
            </w:pPr>
            <w:r>
              <w:rPr>
                <w:rFonts w:ascii="Arial" w:cs="Arial" w:eastAsia="Arial" w:hAnsi="Arial"/>
                <w:sz w:val="18"/>
                <w:szCs w:val="18"/>
                <w:color w:val="auto"/>
              </w:rPr>
              <w:t>Expected life (in years)</w:t>
            </w:r>
          </w:p>
        </w:tc>
        <w:tc>
          <w:tcPr>
            <w:tcW w:w="4760" w:type="dxa"/>
            <w:vAlign w:val="bottom"/>
            <w:tcBorders>
              <w:right w:val="single" w:sz="8" w:color="C0FFFF"/>
            </w:tcBorders>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0FFFF"/>
          </w:tcPr>
          <w:p>
            <w:pPr>
              <w:spacing w:after="0"/>
              <w:rPr>
                <w:sz w:val="18"/>
                <w:szCs w:val="18"/>
                <w:color w:val="auto"/>
              </w:rPr>
            </w:pPr>
          </w:p>
        </w:tc>
        <w:tc>
          <w:tcPr>
            <w:tcW w:w="16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0" w:type="dxa"/>
            <w:vAlign w:val="bottom"/>
            <w:shd w:val="clear" w:color="auto" w:fill="C0FF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tcBorders>
              <w:right w:val="single" w:sz="8" w:color="C0FFFF"/>
            </w:tcBorders>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4"/>
              </w:rPr>
              <w:t>%</w:t>
            </w:r>
          </w:p>
        </w:tc>
        <w:tc>
          <w:tcPr>
            <w:tcW w:w="16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60" w:type="dxa"/>
            <w:vAlign w:val="bottom"/>
          </w:tcPr>
          <w:p>
            <w:pPr>
              <w:jc w:val="right"/>
              <w:ind w:right="1350"/>
              <w:spacing w:after="0"/>
              <w:rPr>
                <w:sz w:val="20"/>
                <w:szCs w:val="20"/>
                <w:color w:val="auto"/>
              </w:rPr>
            </w:pPr>
            <w:r>
              <w:rPr>
                <w:rFonts w:ascii="Arial" w:cs="Arial" w:eastAsia="Arial" w:hAnsi="Arial"/>
                <w:sz w:val="18"/>
                <w:szCs w:val="18"/>
                <w:color w:val="auto"/>
              </w:rPr>
              <w:t>13</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As a result of this change in the warrant liability, the Company recorded a non-cash benefit of $4.3 million in the three months ended March 31, 2013. The following is a summary of the changes in the common stock warrant liability for the three months ended March 31, 2013:</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00" w:type="dxa"/>
            <w:vAlign w:val="bottom"/>
            <w:shd w:val="clear" w:color="auto" w:fill="C0FFFF"/>
          </w:tcPr>
          <w:p>
            <w:pPr>
              <w:spacing w:after="0"/>
              <w:rPr>
                <w:sz w:val="20"/>
                <w:szCs w:val="20"/>
                <w:color w:val="auto"/>
              </w:rPr>
            </w:pPr>
            <w:r>
              <w:rPr>
                <w:rFonts w:ascii="Arial" w:cs="Arial" w:eastAsia="Arial" w:hAnsi="Arial"/>
                <w:sz w:val="18"/>
                <w:szCs w:val="18"/>
                <w:color w:val="auto"/>
              </w:rPr>
              <w:t>Beginning balance as of January 1, 2013</w:t>
            </w:r>
          </w:p>
        </w:tc>
        <w:tc>
          <w:tcPr>
            <w:tcW w:w="440" w:type="dxa"/>
            <w:vAlign w:val="bottom"/>
            <w:shd w:val="clear" w:color="auto" w:fill="C0FF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4,283,932</w:t>
            </w:r>
          </w:p>
        </w:tc>
        <w:tc>
          <w:tcPr>
            <w:tcW w:w="12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Issuances</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shd w:val="clear" w:color="auto" w:fill="C0FFFF"/>
          </w:tcPr>
          <w:p>
            <w:pPr>
              <w:spacing w:after="0"/>
              <w:rPr>
                <w:sz w:val="20"/>
                <w:szCs w:val="20"/>
                <w:color w:val="auto"/>
              </w:rPr>
            </w:pPr>
            <w:r>
              <w:rPr>
                <w:rFonts w:ascii="Arial" w:cs="Arial" w:eastAsia="Arial" w:hAnsi="Arial"/>
                <w:sz w:val="18"/>
                <w:szCs w:val="18"/>
                <w:color w:val="auto"/>
              </w:rPr>
              <w:t>Gain from the adjustment for the change in fair value included in net income</w:t>
            </w:r>
          </w:p>
        </w:tc>
        <w:tc>
          <w:tcPr>
            <w:tcW w:w="44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(4,280,297 )</w:t>
            </w:r>
          </w:p>
        </w:tc>
      </w:tr>
      <w:tr>
        <w:trPr>
          <w:trHeight w:val="216"/>
        </w:trPr>
        <w:tc>
          <w:tcPr>
            <w:tcW w:w="20" w:type="dxa"/>
            <w:vAlign w:val="bottom"/>
          </w:tcPr>
          <w:p>
            <w:pPr>
              <w:spacing w:after="0"/>
              <w:rPr>
                <w:sz w:val="18"/>
                <w:szCs w:val="18"/>
                <w:color w:val="auto"/>
              </w:rPr>
            </w:pPr>
          </w:p>
        </w:tc>
        <w:tc>
          <w:tcPr>
            <w:tcW w:w="910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Ending balance as of March 31, 2013</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Borders>
              <w:top w:val="single" w:sz="8" w:color="C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 and Commitments</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rent free, with the first monthly rent payment of approximately $23,000 due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Technology Development and Licensing Agreements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18, 2013, we entered into a technology development contract with Zhejiang Hisun Pharmaceutical Co. Ltd. (Hisun), pursuant to which Hisun paid us a non-refundable research and development fee of $5 million to support our development of ThermoDox® in mainland China, Hong Kong and Macau.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2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7, 2012 the Company announced the signing of a long term commercial supply agreement with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(SFDA). As of March 31, 2013, the Company has incurred approximately $326,000 in costs to be reimbursed to Hisun.</w:t>
      </w:r>
    </w:p>
    <w:p>
      <w:pPr>
        <w:spacing w:after="0" w:line="2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5, 2008, we entered into a development, product supply and commercialization agreement with Yakult Honsha Co. (the Yakult Agreement) under which Yakult was granted the exclusive right to commercialize and market ThermoDox® for the Japanese market. We were paid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 digit escalating royalties on the sale of ThermoDox® in Japan, when and if any such sales occur and we also will be the exclusive supplier of ThermoDox® to Yakult. Concurrent with a convertible preferred stock equity financing in January 2011, we amended the Yakult Agreement to provide for up to $4.0 million in accelerated partial payments to us on a drug approval milestone. The terms of the Yakult Agreement provided for the payment to us of $2.0 million upon the closing of the preferred equity financing. The second $2.0 million was conditioned upon the resumption of enrollment of Japanese patients in the Japan cohort of the HEAT study, which has not been resumed. In consideration of the $2.0 million accelerated milestone payment from Yakult, we have agreed to reduce future drug approval milestone payments by approximately twenty percent (20%). All other milestone payments are unaffected.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2012 filed on March 18, 2013 and our Amendment No. 1 to the Annual Report on Form 10-K/A filed on April 30, 2013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treatment;clinical trial analysis and future plans relating thereto;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Celsion is an oncology drug development company focused on the development of treatments for those suffering with difficult to treat forms of cancer. We are working to develop and commercialize more efficient, effective, targeted chemotherapeutic oncology drugs based on our proprietary heat-activated liposomal technology. The promise of this drug technology is to maximize efficacy while minimizing side-effects common to cancer treatments.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lead product ThermoDox® is being evaluated in a Phase III clinical trial for primary liver cancer (the HEAT study), a Phase II clinical trial for colorectal liver metastasis (CRLM) and a Phase II clinical trial for recurrent chest wall breast cancer. ThermoDox® is a liposomal encapsulation of doxorubicin, an approved and frequently used oncology drug for the treatment of a wide range of cancers. Localized heat at mild hyperthermia temperatures (greater than 39.5 degrees Celsius) releases the encapsulated doxorubicin from the liposome enabling high concentrations of doxorubicin to be deposited preferentially in and around the targeted tumor.</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31, 2013, we announced that ThermoDox® in combination with radio frequency ablation did not meet the primary endpoint of the HEAT study in patients with hepatocellular carcinoma, also known as primary liver cancer. Specifically, we determined, after conferring with the HEAT study independent Data Monitoring Committee, that the HEAT study did not meet the goal of demonstrating persuasive evidence of clinical effectiveness that could form the basis for regulatory approval in the population chosen for the HEAT study. In the trial, ThermoDox® was well-tolerated with no unexpected serious adverse events. We will continue to follow the patients enrolled in the HEAT study to the secondary endpoint, overall survival. We are also conducting additional analyses of the data from the HEAT study to assess the future strategic value of ThermoDox®.</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announcement of the Phase III HEAT study results, the Company has conducted a comprehensive analysis of the clinical data with key principal investigators, data experts and liver cancer experts. Emerging data from the HEAT Study post hoc analysis demonstrates that ThermoDox® markedly improves progression free survival (PFS) and overall survival (OS) in patients who had optimal RFA. The post hoc analysis indicates that if patients’ lesions undergo RFA for 45 minutes or more, they clearly benefitted from ThermoDox®. These findings apply to HCC lesions from both size cohorts of the HEAT Study (3-5 cm and 5-7 cm) and represent a sizable subgroup of patients. This data is subject to further verification and review by the HEAT Study Steering Committee.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both"/>
        <w:spacing w:after="0" w:line="238" w:lineRule="auto"/>
        <w:rPr>
          <w:sz w:val="20"/>
          <w:szCs w:val="20"/>
          <w:color w:val="auto"/>
        </w:rPr>
      </w:pPr>
      <w:r>
        <w:rPr>
          <w:rFonts w:ascii="Arial" w:cs="Arial" w:eastAsia="Arial" w:hAnsi="Arial"/>
          <w:sz w:val="17"/>
          <w:szCs w:val="17"/>
          <w:color w:val="auto"/>
        </w:rPr>
        <w:t>As part of this analysis, we are also assessing our product pipeline and research and development priorities. In April 2013, we announced the deferral of expenses associated with the Company’s Phase II study of ThermoDox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combination with RFA for the treatment of colorectal liver metastases (The ABLATE Study) until such time as the Company finalizes its plans for the continuation of its development program with ThermoDox® in HCC.</w:t>
      </w:r>
    </w:p>
    <w:p>
      <w:pPr>
        <w:spacing w:after="0" w:line="2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April 2013, the Company engaged Cantor Fitzgerald &amp; Co. to conduct a comprehensive review of merger and acquisition opportunities with the goal of identifying novel products with high potential, or companies, for Celsion to acquire. Strategic alternatives the Company may pursue could include, but are not limited to, continuing its current operating plan, partnering or other collaboration agreements, acquisition of another company’s business or assets, or a merger or other strategic transaction. There can be no assurance that the exploration of strategic alternatives will result in any agreements or transactions, or that, if completed, any agreements or transactions will be successful or on attractive terms.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As demonstrated by the HEAT Study results,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financial condition and market value.</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5, 2008, we entered into a development, product supply and commercialization agreement with Yakult Honsha Co. (the Yakult Agreement) under which Yakult was granted the exclusive right to commercialize and market ThermoDox® for the Japanese market. We were paid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 digit escalating royalties on the sale of ThermoDox® in Japan, when and if any such sales occur and we also will be the exclusive supplier of ThermoDox® to Yakult. Concurrent with a convertible preferred stock equity financing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forty percent (40%). All other milestone payments are unaffected.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6, 2012, we entered into a long 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 batches of ThermoDox®. As of March 31, 2013, the Company has incurred approximately 326,000 in costs to be reimbursed to Hisun. On January 18, 2013, we entered into a technology development contract with Hisun, pursuant to which Hisun paid us a non-refundable research and development fee of $5.0 million to support our development of ThermoDox® and we will provide research data and other technical support in relation to a regulatory filing by Hisun in China mainland China, Hong Kong and Macau for approval of ThermoDox®.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and clinical trials, or if we are in a position to pursue manufacturing or commercialization activities, it is clear we will need significant additional capital to develop our product candidates through clinical development, manufacturing, and commercialization.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2013 and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2013, our net loss was $0.7 million compared to a net loss of $6.1 million for the same period of 2012. As of March 31, 2013, we had $45.9 million in cash and short-term investments (including accrued interest from short term investments).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center"/>
              <w:ind w:left="50"/>
              <w:spacing w:after="0" w:line="198" w:lineRule="exact"/>
              <w:rPr>
                <w:sz w:val="20"/>
                <w:szCs w:val="20"/>
                <w:color w:val="auto"/>
              </w:rPr>
            </w:pPr>
            <w:r>
              <w:rPr>
                <w:rFonts w:ascii="Arial" w:cs="Arial" w:eastAsia="Arial" w:hAnsi="Arial"/>
                <w:sz w:val="18"/>
                <w:szCs w:val="18"/>
                <w:b w:val="1"/>
                <w:bCs w:val="1"/>
                <w:color w:val="auto"/>
                <w:w w:val="90"/>
              </w:rPr>
              <w:t>Change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1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rPr>
              <w:t>($ amounts in 000’s)</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6"/>
              </w:rPr>
              <w:t>Increase (Decrease)</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b w:val="1"/>
                <w:bCs w:val="1"/>
                <w:color w:val="auto"/>
              </w:rPr>
              <w:t>Licensing Revenue:</w:t>
            </w:r>
          </w:p>
        </w:tc>
        <w:tc>
          <w:tcPr>
            <w:tcW w:w="780" w:type="dxa"/>
            <w:vAlign w:val="bottom"/>
            <w:shd w:val="clear" w:color="auto" w:fill="C0FFFF"/>
          </w:tcPr>
          <w:p>
            <w:pPr>
              <w:jc w:val="right"/>
              <w:ind w:right="65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0FFFF"/>
          </w:tcPr>
          <w:p>
            <w:pPr>
              <w:spacing w:after="0"/>
              <w:rPr>
                <w:sz w:val="19"/>
                <w:szCs w:val="19"/>
                <w:color w:val="auto"/>
              </w:rPr>
            </w:pPr>
          </w:p>
        </w:tc>
        <w:tc>
          <w:tcPr>
            <w:tcW w:w="820" w:type="dxa"/>
            <w:vAlign w:val="bottom"/>
            <w:gridSpan w:val="2"/>
            <w:shd w:val="clear" w:color="auto" w:fill="C0FF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0FFFF"/>
          </w:tcPr>
          <w:p>
            <w:pPr>
              <w:spacing w:after="0"/>
              <w:rPr>
                <w:sz w:val="19"/>
                <w:szCs w:val="19"/>
                <w:color w:val="auto"/>
              </w:rPr>
            </w:pPr>
          </w:p>
        </w:tc>
        <w:tc>
          <w:tcPr>
            <w:tcW w:w="520" w:type="dxa"/>
            <w:vAlign w:val="bottom"/>
            <w:shd w:val="clear" w:color="auto" w:fill="C0FFFF"/>
          </w:tcPr>
          <w:p>
            <w:pPr>
              <w:spacing w:after="0"/>
              <w:rPr>
                <w:sz w:val="19"/>
                <w:szCs w:val="19"/>
                <w:color w:val="auto"/>
              </w:rPr>
            </w:pPr>
          </w:p>
        </w:tc>
        <w:tc>
          <w:tcPr>
            <w:tcW w:w="9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0FF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b w:val="1"/>
                <w:bCs w:val="1"/>
                <w:color w:val="auto"/>
              </w:rPr>
              <w:t>Operating Expenses:</w:t>
            </w:r>
          </w:p>
        </w:tc>
        <w:tc>
          <w:tcPr>
            <w:tcW w:w="78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74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Clinical Research</w:t>
            </w:r>
          </w:p>
        </w:tc>
        <w:tc>
          <w:tcPr>
            <w:tcW w:w="780" w:type="dxa"/>
            <w:vAlign w:val="bottom"/>
          </w:tcPr>
          <w:p>
            <w:pPr>
              <w:jc w:val="right"/>
              <w:ind w:right="65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2,033</w:t>
            </w:r>
          </w:p>
        </w:tc>
        <w:tc>
          <w:tcPr>
            <w:tcW w:w="120" w:type="dxa"/>
            <w:vAlign w:val="bottom"/>
          </w:tcPr>
          <w:p>
            <w:pPr>
              <w:spacing w:after="0"/>
              <w:rPr>
                <w:sz w:val="18"/>
                <w:szCs w:val="18"/>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3,509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(1,476 )</w:t>
            </w: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right w:val="single" w:sz="8" w:color="C0FFFF"/>
            </w:tcBorders>
            <w:shd w:val="clear" w:color="auto" w:fill="C0FFFF"/>
          </w:tcPr>
          <w:p>
            <w:pPr>
              <w:ind w:left="140"/>
              <w:spacing w:after="0"/>
              <w:rPr>
                <w:sz w:val="20"/>
                <w:szCs w:val="20"/>
                <w:color w:val="auto"/>
              </w:rPr>
            </w:pPr>
            <w:r>
              <w:rPr>
                <w:rFonts w:ascii="Arial" w:cs="Arial" w:eastAsia="Arial" w:hAnsi="Arial"/>
                <w:sz w:val="18"/>
                <w:szCs w:val="18"/>
                <w:color w:val="auto"/>
              </w:rPr>
              <w:t>Chemistry, Manufacturing and Controls</w:t>
            </w:r>
          </w:p>
        </w:tc>
        <w:tc>
          <w:tcPr>
            <w:tcW w:w="78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8"/>
              </w:rPr>
              <w:t>1,170</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74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7"/>
              </w:rPr>
              <w:t>1,184</w:t>
            </w:r>
          </w:p>
        </w:tc>
        <w:tc>
          <w:tcPr>
            <w:tcW w:w="18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(14 )</w:t>
            </w:r>
          </w:p>
        </w:tc>
        <w:tc>
          <w:tcPr>
            <w:tcW w:w="520" w:type="dxa"/>
            <w:vAlign w:val="bottom"/>
            <w:shd w:val="clear" w:color="auto" w:fill="C0FFFF"/>
          </w:tcPr>
          <w:p>
            <w:pPr>
              <w:spacing w:after="0"/>
              <w:rPr>
                <w:sz w:val="18"/>
                <w:szCs w:val="18"/>
                <w:color w:val="auto"/>
              </w:rPr>
            </w:pPr>
          </w:p>
        </w:tc>
        <w:tc>
          <w:tcPr>
            <w:tcW w:w="9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Borders>
              <w:right w:val="single" w:sz="8" w:color="C0FFFF"/>
            </w:tcBorders>
            <w:shd w:val="clear" w:color="auto" w:fill="C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C0FFFF"/>
            </w:tcBorders>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700" w:type="dxa"/>
            <w:vAlign w:val="bottom"/>
            <w:shd w:val="clear" w:color="auto" w:fill="C0FFFF"/>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4,963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(1,490 )</w:t>
            </w: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0FFFF"/>
              <w:right w:val="single" w:sz="8" w:color="C0FFFF"/>
            </w:tcBorders>
            <w:shd w:val="clear" w:color="auto" w:fill="C0FFFF"/>
          </w:tcPr>
          <w:p>
            <w:pPr>
              <w:ind w:left="14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shd w:val="clear" w:color="auto" w:fill="C0FFFF"/>
          </w:tcPr>
          <w:p>
            <w:pPr>
              <w:spacing w:after="0"/>
              <w:rPr>
                <w:sz w:val="19"/>
                <w:szCs w:val="19"/>
                <w:color w:val="auto"/>
              </w:rPr>
            </w:pPr>
          </w:p>
        </w:tc>
        <w:tc>
          <w:tcPr>
            <w:tcW w:w="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88"/>
              </w:rPr>
              <w:t>1,689</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740" w:type="dxa"/>
            <w:vAlign w:val="bottom"/>
            <w:tcBorders>
              <w:bottom w:val="single" w:sz="8" w:color="auto"/>
            </w:tcBorders>
            <w:shd w:val="clear" w:color="auto" w:fill="C0FFFF"/>
          </w:tcPr>
          <w:p>
            <w:pPr>
              <w:spacing w:after="0"/>
              <w:rPr>
                <w:sz w:val="19"/>
                <w:szCs w:val="19"/>
                <w:color w:val="auto"/>
              </w:rPr>
            </w:pPr>
          </w:p>
        </w:tc>
        <w:tc>
          <w:tcPr>
            <w:tcW w:w="5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97"/>
              </w:rPr>
              <w:t>1,570</w:t>
            </w:r>
          </w:p>
        </w:tc>
        <w:tc>
          <w:tcPr>
            <w:tcW w:w="180" w:type="dxa"/>
            <w:vAlign w:val="bottom"/>
            <w:tcBorders>
              <w:bottom w:val="single" w:sz="8" w:color="C0FFFF"/>
              <w:right w:val="single" w:sz="8" w:color="C0FFFF"/>
            </w:tcBorders>
            <w:shd w:val="clear" w:color="auto" w:fill="C0FFFF"/>
          </w:tcPr>
          <w:p>
            <w:pPr>
              <w:spacing w:after="0"/>
              <w:rPr>
                <w:sz w:val="19"/>
                <w:szCs w:val="19"/>
                <w:color w:val="auto"/>
              </w:rPr>
            </w:pPr>
          </w:p>
        </w:tc>
        <w:tc>
          <w:tcPr>
            <w:tcW w:w="280" w:type="dxa"/>
            <w:vAlign w:val="bottom"/>
            <w:tcBorders>
              <w:bottom w:val="single" w:sz="8" w:color="auto"/>
            </w:tcBorders>
            <w:shd w:val="clear" w:color="auto" w:fill="C0FFFF"/>
          </w:tcPr>
          <w:p>
            <w:pPr>
              <w:spacing w:after="0"/>
              <w:rPr>
                <w:sz w:val="19"/>
                <w:szCs w:val="19"/>
                <w:color w:val="auto"/>
              </w:rPr>
            </w:pPr>
          </w:p>
        </w:tc>
        <w:tc>
          <w:tcPr>
            <w:tcW w:w="9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0FFFF"/>
            </w:tcBorders>
            <w:shd w:val="clear" w:color="auto" w:fill="C0FFFF"/>
          </w:tcPr>
          <w:p>
            <w:pPr>
              <w:spacing w:after="0"/>
              <w:rPr>
                <w:sz w:val="19"/>
                <w:szCs w:val="19"/>
                <w:color w:val="auto"/>
              </w:rPr>
            </w:pPr>
          </w:p>
        </w:tc>
        <w:tc>
          <w:tcPr>
            <w:tcW w:w="520" w:type="dxa"/>
            <w:vAlign w:val="bottom"/>
            <w:tcBorders>
              <w:bottom w:val="single" w:sz="8" w:color="C0FFFF"/>
            </w:tcBorders>
            <w:shd w:val="clear" w:color="auto" w:fill="C0FFFF"/>
          </w:tcPr>
          <w:p>
            <w:pPr>
              <w:spacing w:after="0"/>
              <w:rPr>
                <w:sz w:val="19"/>
                <w:szCs w:val="19"/>
                <w:color w:val="auto"/>
              </w:rPr>
            </w:pPr>
          </w:p>
        </w:tc>
        <w:tc>
          <w:tcPr>
            <w:tcW w:w="900" w:type="dxa"/>
            <w:vAlign w:val="bottom"/>
            <w:tcBorders>
              <w:bottom w:val="single" w:sz="8" w:color="C0FFFF"/>
            </w:tcBorders>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jc w:val="right"/>
              <w:ind w:right="65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4,892</w:t>
            </w:r>
          </w:p>
        </w:tc>
        <w:tc>
          <w:tcPr>
            <w:tcW w:w="120" w:type="dxa"/>
            <w:vAlign w:val="bottom"/>
          </w:tcPr>
          <w:p>
            <w:pPr>
              <w:spacing w:after="0"/>
              <w:rPr>
                <w:sz w:val="18"/>
                <w:szCs w:val="18"/>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6,263</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(1,371 )</w:t>
            </w: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right w:val="single" w:sz="8" w:color="C0FFFF"/>
            </w:tcBorders>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74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780" w:type="dxa"/>
            <w:vAlign w:val="bottom"/>
          </w:tcPr>
          <w:p>
            <w:pPr>
              <w:jc w:val="right"/>
              <w:ind w:right="65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(657 )</w:t>
            </w: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(6,263 )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89.6 %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2013 and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18, 2013, we entered into a technology development contract with Zhejiang Hisun Pharmaceutical Co. Ltd. (Hisun), pursuant to which Hisun paid us a non-refundable research and development fee of $5 million to support our development of ThermoDox® in mainland China, Hong Kong and Macau.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 We had no licensing revenue in 2012.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expenses decreased by $1.5 million from $4.7 million in the first quarter of 2012 to $3.2 million in the same period of 2013. Costs associated with the HEAT Study decreased to $1.3 million in the first quarter of 2013 compared to $2.5 million in the same period of 2012 primarily due to reduced costs associated with the HEAT Study when the data results were announced on January 31, 2013. Costs associated with our recurrent chest wall breast cancer clinical trial remained relatively unchanged at $0.1 million in the first quarter of 2013 compared to the same period of 2012. Costs associated with our colorectal liver metastases trial were insignificant in the first quarter of 2013 compared to $0.1 million in the same period of 2012. Other R&amp;D costs related to preclinical operations and regulatory operations decreased to $0.2 million in the first quarter of 2013 compared to $0.4 million in the same period of 2012. Costs associated with the production of ThermoDox® remained relatively unchanged at $1.2 million in the first quarter of 2013 compared the same period of 2012.</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2013, the Company has implemented a restructuring program to lower its operating costs to conserve capital to ensure that our costs are adequately aligned with our resources and business strategy. The program included elimination of approximately one-third of Celsion’s workforce and the deferral of incurred expenses associated with the Company’s Phase II study for colorectal liver metastasis (the ablate study).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increased to $1.7 million in the first quarter of 2013 compared to $1.6 million in the same period of 2012. This increase is primarily the result of an increase in professional fees related to business development activities. We expect the G&amp;A costs to decrease throughout the remainder of 2013 compared to 2012 as we continue to reduce our operating costs and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and Income and Interest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warrant liability was incurred as a result of warrants we issued in a public offering in September 2009. This liability is calculated at its fair market value using the Black-Scholes option-pricing model and is adjusted at the end of each quarter. For the first quarter of 2013, we recorded a non-cash benefit of $4.3 million based on the change in the fair value of the warrants from the end of the prior quarter compared to a non-cash benefit $0.1 million in the same period of 2012.</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credit facility entered into with Oxford Financial LLC and Horizon Technology Finance Corporation during the second quarter of 2012, the Company incurred $0.2 million in interest expense in the first quarter of 2013. Interest in the same period of 2012 was insignificant.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agreement with Hisun. The process of developing and commercializing ThermoDox®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revenues, and we had an accumulated deficit of $151 million at March 31, 2013.</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2013, we had total current assets of $46.4 million (including cash, short term investments and related accrued interest on the short term investments of $45.9 million) and current liabilities of $7.7 million, resulting in working capital of $38.7 million. At December 31, 2012, we had total current assets of $23.6 million (including cash and short term investments and related accrued interest on the short term investments of $23.1 million) and current liabilities of $5.0 million, resulting in working capital of $18.6 million.</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$5.0 million to support our development of ThermoDox® in mainland China, Hong Kong and Macau.</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ATM Agreement will terminate upon the earlier of (i) the sale of ATM Shares under the ATM Agreement having an aggregate offering price of $25.0 million and (ii) the termination of the ATM Agreement by Cantor or the Company. The ATM Agreement may be terminated by Cantor or Celsion at any time upon 10 days' notice to the other party, or by Cantor at any time in certain circumstances, including the occurrence of a material adverse change in Celsion. The Company will pay Cantor a commission of 3.0% of the aggregate gross proceeds from each sale of ATM Shares and has agreed to provide Cantor with customary indemnification and contribution rights. The Company reimbursed Cantor for legal fees and disbursements of $50,000 in connection with entering into the ATM Agreement. In connection with the preferred stock offering discussed below, the Company agreed to not sell any ATM Shares for a period of one year from February 26, 2013. From February 1, 2013 through February 25, 2013, the Company has sold and issued an aggregate of 5,381,670 shares under the ATM Agreement, receiving approximately $6.8 million in net proceeds.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agreed to sell, in a registered offering, an aggregate of 15,000.00422 shares of its Series A 0% convertible preferred stock and the warrants to purchase shares of its common stock, for an aggregate purchase price of approximately $15.0 million (the Preferred Stock Offering). The closing of the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12,072,438 shares of common stock, and the warrants are exercisable to purchase an aggregate of up to 6,036,219 shares of common stock. Each warrant has an exercise price of $1.18 per share, equal to the closing bid price of common stock on February 21, 2013. The warrants are immediately exercisable and expire five years after its issuance. As of March 31, 2013, the Company issued an aggregate of 8,018,112 shares of common stock upon conversion of 9,963 shares of the Series A 0% convertible preferred stock.</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issuance, we estimated the fair value of the warrants issued in the Preferred Stock Offering to be approximately $5.4 million using the Black-Scholes pricing model. Also, upon issuance, we recognized approximately $4.6 million as a one time non-cash deemed dividend related to the beneficial conversion feature connected to the preferred stock in the Preferred Stock Offering.</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in operating activities for the first quarter of 2013 was $1.8 million. Our net loss for the first quarter of 2013 included $0.3 million in non-cash stock-based compensation expense and $4.3 million in non-cash benefit based on the change in the common stock warrant liability.</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was $20.8 million during the first quarter of 2013 which consisted of approximately $6.7 million of net proceeds from sale of 5,381,670 million shares of the Company’s common stock in connection with the ATM Agreement, approximately $13.6 million of net proceeds from sale of approximately 15,000 shares of the Company’s Series A 0% convertible preferred stock and the warrants to purchase shares of its common stock in the Preferred Stock Offering and approximately $0.4 million of gross proceeds from the exercise of options and warrants to purchase approximately 0.1 million shares of the Company’s common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6"/>
          <w:szCs w:val="16"/>
          <w:color w:val="auto"/>
        </w:rPr>
        <w:t>We will require additional capital to develop our product candidates through clinical development, manufacturing, and commercialization or to pursue licensing or strategic transactions. We may seek additional capital through further public or private equity offerings, debt financing, additional strategic alliance and licensing arrangements, collaborative arrangements or some combination of these alternatives. If we raise additional funds through the issuance of equity securities, stockholders will likely experience dilution and the equity securities may have rights, preferences, or privileges senior to those of the holders of our common stock. If we raise funds through the issuance of debt securities, those securities would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which we would otherwise seek to develop or commercialize on our own, or to license the rights to our technologies, product candidates, or products on terms that are not favorable to us.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overall status of the economic climate could also result in the terms of any equity offering, debt financing, or alliance, license, or other arrangement being even less favorable to us and our stockholders than if the overall economic climate were stronger. In addition, we may continue to seek government sponsored research collaborations and grants.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 off-balance sheet financing arrangements. There were no material changes during the three months ended March 31, 2013 to our operating leases, which are disclosed in the contractual commitments table in our Annual Report on Form 10-K for the fiscal year ended December 31, 2012 filed on March 18, 2013 and our Amendment No. 1 to the Annual Report on Form 10-K/A filed on April 30, 2013 with the Securities and Exchange Commission.</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 .</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CONTROLS AND PROCEDURES</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2013,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months ended March 31, 2013 that have materially affected, or are reasonably likely to materially affect, our internal controls over financial reporting.</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you should understand that it is not possible to predict or identify all such factors. Consequently, you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2012 filed on March 18, 2013 and our Amendment No. 1 to the Annual Report on Form 10-K/A filed on April 30, 2013 with the Securities and Exchange Commission. In assessing these risks, investors should also refer to the other information contained or incorporated by reference in this Quarterly Report on Form 10-Q and our Annual Report on Annual Report on Form 10-K for the fiscal year ended December 31, 2012 filed on March 18, 2013 and our Amendment No. 1 to the Annual Report on Form 10-K/A filed on April 30, 2013 with the Securities and Exchange Commission including our consolidated financial statements and related notes, and our other filings made from time to time with the Securities and Exchange Commission.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continuing operations and expect to continue such losses for the foreseeable future.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our inception, our expenses have substantially exceeded our revenues, resulting in continuing losses and an accumulated deficit of $156 million at March 31, 2013. Because we presently have no product revenues and we are committed to continuing our product research, development and commercialization programs, we will continue to experience significant operating losses unless and until we complete the development of ThermoDox® and other new products and these products have been clinically tested, approved by the U.S. Food and Drug Administration (FDA) and successfully marketed.</w:t>
      </w:r>
    </w:p>
    <w:p>
      <w:pPr>
        <w:spacing w:after="0" w:line="20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number of drug candidates in research and development ranging from the early discovery research phase through preclinical testing and clinical trials. Preclinical testing and clinical trials are long, expensive and highly uncertain processes and failure can unexpectedly occur at any stage of clinical development. Drug development is very risky. It will take us several years to complete clinical trials.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w:t>
      </w:r>
    </w:p>
    <w:p>
      <w:pPr>
        <w:spacing w:after="0" w:line="2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31, 2013, we announced that our lead product ThermoDox® in combination with radiofrequency ablation failed to meet the primary endpoint of the Phase III clinical trial for primary liver cancer (the HEAT study). We have not completed our final analysis of the data and do not know the extent to which, if any, the failure of ThermoDox® to meet its primary endpoint in the Phase III trial could impact our other ongoing studies of ThermoDox®. ThermoDox® is also being evaluated in a Phase II clinical trial for colorectal liver metastasis, a Phase II clinical trial for recurrent chest wall breast cancer and other preclinical studies. Even with success in preclinical testing and previously completed clinical trials, the risk of clinical failure for any drug candidate remains high prior to regulatory approval. Even if ThermoDox® has positive results in its Phase II clinical trials, there is a substantial risk that it will fail to have sufficiently positive results in Phase III clinical trials with regard to efficacy, safety or other clinical outcomes. One or more of our clinical studies could fail at any time, as evidenced by the failure of ThermoDox® to meet its primary endpoint in the HEAT study. The failure of one or more of our drug candidates or development programs could have a material adverse effect on our business, financial condition and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significant revenue for the foreseeable future.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is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will continue to follow the patients enrolled in the Heat study to the secondary endpoint, overall survival. ThermoDox® is currently also being evaluated in Phase II clinical trials and other preclinical studies. We do not expect to realize any revenues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178"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2013, we had approximately $45.9 million in cash, cash equivalents and short-term investments. We have substantial future capital requirements to continue our research and development activities and advance our drug candidates through various development stages. For example, ThermoDox® is being evaluated in a Phase II clinical trial for colorectal liver metastasis, a Phase II clinical trial for recurrent chest wall breast cancer and other preclinical studies. We will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cannot raise additional capital, we may be required to delay, reduce or eliminate certain aspects of our operations or attempt to obtain funds through unfavorable arrangements with partners or others that may force us to relinquish rights to certain of our technologies, products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5" w:name="page26"/>
    <w:bookmarkEnd w:id="25"/>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2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We have entered into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If we breach any provisions of the license and research agreements, we may our ability to use the subject technology, as well as compensation for our efforts in developing or exploiting the technology. Any such loss of rights and access to technology could have a material adverse effect on our business.</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22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and expect to continue to rely, on third-party clinical research organizations to conduct our clinical trials. Because we do not conduct our own clinical trials, we must rely on the efforts of others and cannot always control or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expensive, we may not receive development milestone payments when expected or at all, and we may not be able to obtain regulatory approval for or successfully commercialize our product candidates.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revenues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22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payers as clinically useful, cost effective and safe. Any or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2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9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products and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significantly on the continued contributions of our executive officers, scientific and technical personnel and consultants, and on our ability to attract additional personnel as we seek to implement our business strategy and develop our products and businesses.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ind w:right="560"/>
        <w:spacing w:after="0" w:line="282" w:lineRule="auto"/>
        <w:rPr>
          <w:sz w:val="20"/>
          <w:szCs w:val="20"/>
          <w:color w:val="auto"/>
        </w:rPr>
      </w:pPr>
      <w:r>
        <w:rPr>
          <w:rFonts w:ascii="Arial" w:cs="Arial" w:eastAsia="Arial" w:hAnsi="Arial"/>
          <w:sz w:val="18"/>
          <w:szCs w:val="18"/>
          <w:b w:val="1"/>
          <w:bCs w:val="1"/>
          <w:color w:val="auto"/>
        </w:rPr>
        <w:t>If we engage in acquisitions, reorganizations or business combinations, we will incur a variety of risks that could adversely affect our business operations or our stockholders.</w:t>
      </w:r>
    </w:p>
    <w:p>
      <w:pPr>
        <w:spacing w:after="0" w:line="22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may consider strategic alternatives intended to further the development of our business, which may include acquiring businesses, technologies or products or entering into a business combination with another company. If we do pursue such a strategy, we could, among other things:</w:t>
      </w:r>
    </w:p>
    <w:p>
      <w:pPr>
        <w:spacing w:after="0" w:line="201" w:lineRule="exact"/>
        <w:rPr>
          <w:sz w:val="20"/>
          <w:szCs w:val="20"/>
          <w:color w:val="auto"/>
        </w:rPr>
      </w:pPr>
    </w:p>
    <w:p>
      <w:pPr>
        <w:ind w:left="1180" w:hanging="389"/>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equity securities that would dilute our current stockholders’ percentage ownership;</w:t>
      </w:r>
    </w:p>
    <w:p>
      <w:pPr>
        <w:spacing w:after="0" w:line="279" w:lineRule="exact"/>
        <w:rPr>
          <w:rFonts w:ascii="Arial" w:cs="Arial" w:eastAsia="Arial" w:hAnsi="Arial"/>
          <w:sz w:val="18"/>
          <w:szCs w:val="18"/>
          <w:color w:val="auto"/>
        </w:rPr>
      </w:pPr>
    </w:p>
    <w:p>
      <w:pPr>
        <w:ind w:left="1180" w:hanging="389"/>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substantial debt that may place strains on our operations;</w:t>
      </w:r>
    </w:p>
    <w:p>
      <w:pPr>
        <w:spacing w:after="0" w:line="279" w:lineRule="exact"/>
        <w:rPr>
          <w:rFonts w:ascii="Arial" w:cs="Arial" w:eastAsia="Arial" w:hAnsi="Arial"/>
          <w:sz w:val="18"/>
          <w:szCs w:val="18"/>
          <w:color w:val="auto"/>
        </w:rPr>
      </w:pPr>
    </w:p>
    <w:p>
      <w:pPr>
        <w:ind w:left="1180" w:right="960" w:hanging="389"/>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in integrating new businesses, personnel intellectual property, technologies and products;</w:t>
      </w:r>
    </w:p>
    <w:p>
      <w:pPr>
        <w:spacing w:after="0" w:line="224" w:lineRule="exact"/>
        <w:rPr>
          <w:rFonts w:ascii="Arial" w:cs="Arial" w:eastAsia="Arial" w:hAnsi="Arial"/>
          <w:sz w:val="18"/>
          <w:szCs w:val="18"/>
          <w:color w:val="auto"/>
        </w:rPr>
      </w:pPr>
    </w:p>
    <w:p>
      <w:pPr>
        <w:ind w:left="1180" w:hanging="389"/>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 substantial actual or contingent liabilities;</w:t>
      </w:r>
    </w:p>
    <w:p>
      <w:pPr>
        <w:spacing w:after="0" w:line="279" w:lineRule="exact"/>
        <w:rPr>
          <w:rFonts w:ascii="Arial" w:cs="Arial" w:eastAsia="Arial" w:hAnsi="Arial"/>
          <w:sz w:val="18"/>
          <w:szCs w:val="18"/>
          <w:color w:val="auto"/>
        </w:rPr>
      </w:pPr>
    </w:p>
    <w:p>
      <w:pPr>
        <w:ind w:left="1180" w:hanging="389"/>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reprioritize our development programs and even cease development and commercialization of our drug candidates;</w:t>
      </w:r>
    </w:p>
    <w:p>
      <w:pPr>
        <w:spacing w:after="0" w:line="279" w:lineRule="exact"/>
        <w:rPr>
          <w:rFonts w:ascii="Arial" w:cs="Arial" w:eastAsia="Arial" w:hAnsi="Arial"/>
          <w:sz w:val="18"/>
          <w:szCs w:val="18"/>
          <w:color w:val="auto"/>
        </w:rPr>
      </w:pPr>
    </w:p>
    <w:p>
      <w:pPr>
        <w:ind w:left="1180" w:hanging="389"/>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suffer the loss of key personnel, or</w:t>
      </w:r>
    </w:p>
    <w:p>
      <w:pPr>
        <w:spacing w:after="0" w:line="279" w:lineRule="exact"/>
        <w:rPr>
          <w:rFonts w:ascii="Arial" w:cs="Arial" w:eastAsia="Arial" w:hAnsi="Arial"/>
          <w:sz w:val="18"/>
          <w:szCs w:val="18"/>
          <w:color w:val="auto"/>
        </w:rPr>
      </w:pPr>
    </w:p>
    <w:p>
      <w:pPr>
        <w:ind w:left="1180" w:right="60" w:hanging="389"/>
        <w:spacing w:after="0" w:line="308"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 with, or otherwise enter into a business combination with, another company in which our stockholders would receive cash or shares of the other company or a combination of both on terms that certain of our stockholders may not deem desirable.</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intend to evaluate and consider different strategic alternatives, we have no agreements or understandings with respect to any acquisition, reorganization or business combination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had a high price of $4.23 and a low price of $1.69 in the 52-week period ended December 31, 2011, a high price of $8.83 and a low price of $1.64 in the 52-week period ended December 31 2012 and a high price of $9.35 and a low price of $0.76 from January 1, 2013 through May 8, 2013. Among the factors that may cause the market price of our common stock to fluctuate are the risks described in this “Risk Factors” section and other factors, including:</w:t>
      </w:r>
    </w:p>
    <w:p>
      <w:pPr>
        <w:spacing w:after="0" w:line="237" w:lineRule="exact"/>
        <w:rPr>
          <w:sz w:val="20"/>
          <w:szCs w:val="20"/>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of significant new products, contracts, acquisitions or strategic alliances by us or our competitors;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279" w:lineRule="exact"/>
        <w:rPr>
          <w:rFonts w:ascii="Arial" w:cs="Arial" w:eastAsia="Arial" w:hAnsi="Arial"/>
          <w:sz w:val="18"/>
          <w:szCs w:val="18"/>
          <w:color w:val="auto"/>
        </w:rPr>
      </w:pPr>
    </w:p>
    <w:p>
      <w:pPr>
        <w:ind w:left="1300" w:hanging="77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8, 2013, we had 51,612,902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20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raise additional capital or pursue strategic transactions, we may in the future offer, issue or sell additional shares of our common stock or other securities convertible into or exchangeable for our common stock. Our stockholders may experience significant dilution as a result of future equity offerings or issuance. Investors purchasing shares or other securities in the future could have rights superior to existing stockholders. As of March 31, 2013, we have a significant number of securities convertible into, or allowing the purchase of, our common stock, including 4,054,326 remaining shares of common stock issuable upon conversion of our Series A 0% convertible preferred stock issued in the registered direct offering closed on February 26, 2013 and 13,818,772 shares of common stock issuable upon exercise of warrants outstanding, 3,213,281 options to purchase shares of our common stock and restricted stock awards outstanding, and 2,306,490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In connection with the Series A 0% convertible preferred stock offering, the Company agreed to not sell any ATM Shares for a period of one year from February 26, 2013.</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Our closing price was below $1.00 for 21 consecutive trading days from April 8, 2013 through May 6, 2013. As of May 8, 2013, the closing bid price of our common stock was $1.01, the total market value of our publicly held shares of our common stock (excluding shares held by our executive officers, directors and 10% or more stockholders) was approximately $51 million and the total market value of our listed securities was approximately $52 million. As of March 31, 2013, we had stockholders’ equity of $32.3 million. However, there is no assurance that we will continue to meet the minimum closing price requirement and other listing requirements.</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2012 and 2011, the Company performed analyses to determine if there were changes in ownership, as defined by Section 382 of the Internal Revenue Code that would limit its ability to utilize certain net operating loss and tax credit carryforwards. The Company determined that it experienced an ownership change, as defined by Section 382, in connection with its registered direct and private placement offerings on July 25, 2011. As a result, the utilization of the Company’s federal tax net operating loss carryforwards generated prior to the ownership change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22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never paid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222" w:lineRule="exact"/>
        <w:rPr>
          <w:sz w:val="20"/>
          <w:szCs w:val="20"/>
          <w:color w:val="auto"/>
        </w:rPr>
      </w:pPr>
    </w:p>
    <w:p>
      <w:pPr>
        <w:sectPr>
          <w:pgSz w:w="11900" w:h="16838" w:orient="portrait"/>
          <w:cols w:equalWidth="0" w:num="2">
            <w:col w:w="540" w:space="380"/>
            <w:col w:w="10460"/>
          </w:cols>
          <w:pgMar w:left="240" w:top="486" w:right="279" w:bottom="144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380"/>
          </w:cols>
          <w:pgMar w:left="240" w:top="486" w:right="2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211" w:lineRule="exact"/>
        <w:rPr>
          <w:sz w:val="20"/>
          <w:szCs w:val="20"/>
          <w:color w:val="auto"/>
        </w:rPr>
      </w:pPr>
    </w:p>
    <w:p>
      <w:pPr>
        <w:sectPr>
          <w:pgSz w:w="11900" w:h="16838" w:orient="portrait"/>
          <w:cols w:equalWidth="0" w:num="2">
            <w:col w:w="540" w:space="380"/>
            <w:col w:w="10460"/>
          </w:cols>
          <w:pgMar w:left="240" w:top="486" w:right="27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380"/>
          </w:cols>
          <w:pgMar w:left="240" w:top="486" w:right="2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222" w:lineRule="exact"/>
        <w:rPr>
          <w:sz w:val="20"/>
          <w:szCs w:val="20"/>
          <w:color w:val="auto"/>
        </w:rPr>
      </w:pPr>
    </w:p>
    <w:p>
      <w:pPr>
        <w:sectPr>
          <w:pgSz w:w="11900" w:h="16838" w:orient="portrait"/>
          <w:cols w:equalWidth="0" w:num="2">
            <w:col w:w="540" w:space="380"/>
            <w:col w:w="10460"/>
          </w:cols>
          <w:pgMar w:left="240" w:top="486" w:right="2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380"/>
          </w:cols>
          <w:pgMar w:left="240" w:top="486" w:right="279"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540" w:space="380"/>
            <w:col w:w="10460"/>
          </w:cols>
          <w:pgMar w:left="240" w:top="486" w:right="2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380"/>
          </w:cols>
          <w:pgMar w:left="240" w:top="486" w:right="279" w:bottom="1440" w:gutter="0" w:footer="0" w:header="0"/>
          <w:type w:val="continuous"/>
        </w:sectPr>
      </w:pP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Designation of Preferences, Rights and Limitations of Series A 0% Convertible Preferred Stock, incorporated herein by reference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Exhibit 3.1 to the Current Report on Form 8-K of the Company, filed on February 26, 2013.</w:t>
      </w:r>
    </w:p>
    <w:p>
      <w:pPr>
        <w:spacing w:after="0" w:line="200" w:lineRule="exact"/>
        <w:rPr>
          <w:sz w:val="20"/>
          <w:szCs w:val="20"/>
          <w:color w:val="auto"/>
        </w:rPr>
      </w:pPr>
    </w:p>
    <w:p>
      <w:pPr>
        <w:sectPr>
          <w:pgSz w:w="11900" w:h="16838" w:orient="portrait"/>
          <w:cols w:equalWidth="0" w:num="2">
            <w:col w:w="540" w:space="380"/>
            <w:col w:w="10460"/>
          </w:cols>
          <w:pgMar w:left="240" w:top="486" w:right="2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Form of Common Stock Purchase Warrant, incorporated herein by reference to Exhibit 4.1 to the Current Report on Form 8-K of the Company, filed on February 26, 2013.</w:t>
      </w:r>
    </w:p>
    <w:p>
      <w:pPr>
        <w:spacing w:after="0" w:line="170" w:lineRule="exact"/>
        <w:rPr>
          <w:sz w:val="20"/>
          <w:szCs w:val="20"/>
          <w:color w:val="auto"/>
        </w:rPr>
      </w:pPr>
    </w:p>
    <w:p>
      <w:pPr>
        <w:sectPr>
          <w:pgSz w:w="11900" w:h="16838" w:orient="portrait"/>
          <w:cols w:equalWidth="0" w:num="2">
            <w:col w:w="240" w:space="680"/>
            <w:col w:w="10460"/>
          </w:cols>
          <w:pgMar w:left="240" w:top="486" w:right="279" w:bottom="1440" w:gutter="0" w:footer="0" w:header="0"/>
          <w:type w:val="continuous"/>
        </w:sect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Technology Development Contract, dated January 18, 2013, by and between Celsion Corporation and Zhejiang Hisun Pharmaceutical Co., Ltd.</w:t>
      </w:r>
    </w:p>
    <w:p>
      <w:pPr>
        <w:spacing w:after="0" w:line="222" w:lineRule="exact"/>
        <w:rPr>
          <w:sz w:val="20"/>
          <w:szCs w:val="20"/>
          <w:color w:val="auto"/>
        </w:rPr>
      </w:pPr>
    </w:p>
    <w:p>
      <w:pPr>
        <w:sectPr>
          <w:pgSz w:w="11900" w:h="16838" w:orient="portrait"/>
          <w:cols w:equalWidth="0" w:num="2">
            <w:col w:w="700" w:space="220"/>
            <w:col w:w="10460"/>
          </w:cols>
          <w:pgMar w:left="240" w:top="486" w:right="279" w:bottom="1440" w:gutter="0" w:footer="0" w:header="0"/>
          <w:type w:val="continuous"/>
        </w:sectPr>
      </w:pPr>
    </w:p>
    <w:p>
      <w:pPr>
        <w:spacing w:after="0" w:line="241" w:lineRule="exact"/>
        <w:rPr>
          <w:sz w:val="20"/>
          <w:szCs w:val="20"/>
          <w:color w:val="auto"/>
        </w:rPr>
      </w:pPr>
    </w:p>
    <w:p>
      <w:pPr>
        <w:ind w:left="920" w:right="260" w:hanging="917"/>
        <w:spacing w:after="0" w:line="342"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Controlled Equity Offering</w:t>
      </w:r>
      <w:r>
        <w:rPr>
          <w:rFonts w:ascii="Arial" w:cs="Arial" w:eastAsia="Arial" w:hAnsi="Arial"/>
          <w:sz w:val="11"/>
          <w:szCs w:val="11"/>
          <w:color w:val="auto"/>
        </w:rPr>
        <w:t>SM</w:t>
      </w:r>
      <w:r>
        <w:rPr>
          <w:rFonts w:ascii="Arial" w:cs="Arial" w:eastAsia="Arial" w:hAnsi="Arial"/>
          <w:sz w:val="16"/>
          <w:szCs w:val="16"/>
          <w:color w:val="auto"/>
        </w:rPr>
        <w:t xml:space="preserve"> Sales Agreement, dated February 1, 2013, by and between Celsion Corporation and Cantor Fitzgerald &amp; Co., incorporated herein by reference to Exhibit 10.1 to the Current Report on Form 8-K of the Company, filed with the SEC on February 1, 2013.</w:t>
      </w:r>
    </w:p>
    <w:p>
      <w:pPr>
        <w:spacing w:after="0" w:line="124" w:lineRule="exact"/>
        <w:rPr>
          <w:sz w:val="20"/>
          <w:szCs w:val="20"/>
          <w:color w:val="auto"/>
        </w:rPr>
      </w:pPr>
    </w:p>
    <w:p>
      <w:pPr>
        <w:jc w:val="center"/>
        <w:ind w:right="280"/>
        <w:spacing w:after="0" w:line="308" w:lineRule="auto"/>
        <w:rPr>
          <w:sz w:val="20"/>
          <w:szCs w:val="20"/>
          <w:color w:val="auto"/>
        </w:rPr>
      </w:pPr>
      <w:r>
        <w:rPr>
          <w:rFonts w:ascii="Arial" w:cs="Arial" w:eastAsia="Arial" w:hAnsi="Arial"/>
          <w:sz w:val="17"/>
          <w:szCs w:val="17"/>
          <w:color w:val="auto"/>
        </w:rPr>
        <w:t>10.4       Securities Purchase Agreement, dated February 22, 2013, by and among Celsion Corporation and the purchasers named therein, incorporated herein by reference to Exhibit 10.1 to the Current Report on Form 8-K of the Company, filed with the SEC on February 26, 2013.</w:t>
      </w:r>
    </w:p>
    <w:p>
      <w:pPr>
        <w:sectPr>
          <w:pgSz w:w="11900" w:h="16838" w:orient="portrait"/>
          <w:cols w:equalWidth="0" w:num="1">
            <w:col w:w="11380"/>
          </w:cols>
          <w:pgMar w:left="240" w:top="486" w:right="279" w:bottom="1440" w:gutter="0" w:footer="0" w:header="0"/>
          <w:type w:val="continuous"/>
        </w:sect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31.1+  Certification of Chief Executive Officer pursuant to Rule 13a-14(a)/15d-14(a), as adopted pursuant to Section 302 of the Sarbanes-Oxley Act of</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31.2+  Certification of Chief Financial Officer pursuant to Rule 13a-14(a)/15d-14(a), as adopted pursuant to Section 302 of the Sarbanes-Oxley Act of</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32.1*  Certification pursuant to 18 U.S.C. Section 1350, as adopted pursuant to Section 906 of the Sarbanes-Oxley Act of 2002.</w:t>
      </w:r>
    </w:p>
    <w:p>
      <w:pPr>
        <w:spacing w:after="0" w:line="225" w:lineRule="exact"/>
        <w:rPr>
          <w:sz w:val="20"/>
          <w:szCs w:val="20"/>
          <w:color w:val="auto"/>
        </w:rPr>
      </w:pPr>
    </w:p>
    <w:p>
      <w:pPr>
        <w:ind w:left="70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jc w:val="both"/>
        <w:ind w:left="920" w:right="40" w:hanging="579"/>
        <w:spacing w:after="0" w:line="259" w:lineRule="auto"/>
        <w:tabs>
          <w:tab w:leader="none" w:pos="900" w:val="left"/>
        </w:tabs>
        <w:rPr>
          <w:sz w:val="20"/>
          <w:szCs w:val="20"/>
          <w:color w:val="auto"/>
        </w:rPr>
      </w:pPr>
      <w:r>
        <w:rPr>
          <w:rFonts w:ascii="Arial" w:cs="Arial" w:eastAsia="Arial" w:hAnsi="Arial"/>
          <w:sz w:val="18"/>
          <w:szCs w:val="18"/>
          <w:color w:val="auto"/>
        </w:rPr>
        <w:t>101**</w:t>
        <w:tab/>
        <w:t>The following materials from the Company’s Quarterly Report on Form 10-Q for the quarter ended March 31, 2013, formatted in XBRL (Extensible Business Reporting Language): (i) the unaudited Balance Sheets, (ii) the unaudited Statements of Operations, (iii) the unaudited Statements of Comprehensive Loss, (iv) the unaudited Statements of Cash Flows, (v) the unaudited Statements of Change in Stockholders' Equity (Deficit), and (vi) Notes to Financial Statements.</w:t>
      </w:r>
    </w:p>
    <w:p>
      <w:pPr>
        <w:spacing w:after="0" w:line="187" w:lineRule="exact"/>
        <w:rPr>
          <w:sz w:val="20"/>
          <w:szCs w:val="20"/>
          <w:color w:val="auto"/>
        </w:rPr>
      </w:pPr>
    </w:p>
    <w:p>
      <w:pPr>
        <w:jc w:val="both"/>
        <w:ind w:left="920" w:hanging="206"/>
        <w:spacing w:after="0" w:line="2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type w:val="continuous"/>
        </w:sectPr>
      </w:pPr>
    </w:p>
    <w:bookmarkStart w:id="34" w:name="page35"/>
    <w:bookmarkEnd w:id="34"/>
    <w:p>
      <w:pPr>
        <w:jc w:val="both"/>
        <w:ind w:left="386" w:right="20" w:hanging="296"/>
        <w:spacing w:after="0" w:line="259" w:lineRule="auto"/>
        <w:tabs>
          <w:tab w:leader="none" w:pos="386"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 101 is being furnished and, in accordance with Rule 406T of Regulation S-T, shall not be deemed to be “filed” for purposes of Section 18 of the Securities Exchange Act of 1934, as amended, or otherwise subject to liability of that section, nor shall such exhibit be deemed to be incorporated by reference in any registration statement or other document filed under the Securities Act of 1933, as amended, or the Securities Exchange Act.</w:t>
      </w:r>
    </w:p>
    <w:p>
      <w:pPr>
        <w:spacing w:after="0" w:line="186" w:lineRule="exact"/>
        <w:rPr>
          <w:rFonts w:ascii="Arial" w:cs="Arial" w:eastAsia="Arial" w:hAnsi="Arial"/>
          <w:sz w:val="18"/>
          <w:szCs w:val="18"/>
          <w:color w:val="auto"/>
        </w:rPr>
      </w:pPr>
    </w:p>
    <w:p>
      <w:pPr>
        <w:ind w:left="386" w:hanging="386"/>
        <w:spacing w:after="0" w:line="308" w:lineRule="auto"/>
        <w:tabs>
          <w:tab w:leader="none" w:pos="386" w:val="left"/>
        </w:tabs>
        <w:numPr>
          <w:ilvl w:val="0"/>
          <w:numId w:val="7"/>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spacing w:after="0" w:line="295"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6"/>
          </w:cols>
          <w:pgMar w:left="774" w:top="517" w:right="25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7560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50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50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Gregory Weaver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27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Technology Development Contract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Project Title: Development Project of Thermodox</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Party A: ZheJiang Hisun Pharmaceutical Co.,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Party B: CELSION CORPORATION (CLSN)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Date: January 18, 2013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Venue: TaiZhou, ZheJiang,China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Valid Term: Jan. 2013 to Jan. 2023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No. TD130101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Technology Development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ZheJiang Hisun Pharmaceutical Co.,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WaiSha Road 46#,Jiaojiang District, TaiZhou City, ZheJiang Province, 318000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Project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CELSION CORPORATION (CLSN)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NJ 08648, 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Tardugno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Project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Whereas:</w:t>
      </w:r>
    </w:p>
    <w:p>
      <w:pPr>
        <w:spacing w:after="0" w:line="23" w:lineRule="exact"/>
        <w:rPr>
          <w:sz w:val="20"/>
          <w:szCs w:val="20"/>
          <w:color w:val="auto"/>
        </w:rPr>
      </w:pPr>
    </w:p>
    <w:p>
      <w:pPr>
        <w:jc w:val="both"/>
        <w:ind w:left="660" w:hanging="490"/>
        <w:spacing w:after="0" w:line="292" w:lineRule="auto"/>
        <w:tabs>
          <w:tab w:leader="none" w:pos="60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Thermodox is the product with the thermosensitive liposomes as the carrier to encapsulate doxorubicin (a kind of the chemotherapeutics with the most extensive application). By combined utilization with the thermo-therapeutic apparatus such as radiofrequency ablation, the Thermodox has the effect of targeted therapy to tumour tissue with the characteristics of highly local concentration and long retention period, which is clinically proven to be able to apparently prolong Progression Free Survivial (PFS) and treat liver cancer without standard therapy. The technology of thermosensitive liposomes is patented and could be developed for the conbination with the other oncology drugs to treat the various kinds of tumors.</w:t>
      </w:r>
    </w:p>
    <w:p>
      <w:pPr>
        <w:spacing w:after="0" w:line="162" w:lineRule="exact"/>
        <w:rPr>
          <w:rFonts w:ascii="Arial" w:cs="Arial" w:eastAsia="Arial" w:hAnsi="Arial"/>
          <w:sz w:val="16"/>
          <w:szCs w:val="16"/>
          <w:color w:val="auto"/>
        </w:rPr>
      </w:pPr>
    </w:p>
    <w:p>
      <w:pPr>
        <w:ind w:left="660" w:hanging="490"/>
        <w:spacing w:after="0" w:line="308" w:lineRule="auto"/>
        <w:tabs>
          <w:tab w:leader="none" w:pos="802"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Party A is the oncological drug manufacturer with the market leadership in China and wishes to engage in the technology development of the Thermodox with the purpose of commercialization, in China mainland, Hong Kong and Macao (the “China Territory”).</w:t>
      </w:r>
    </w:p>
    <w:p>
      <w:pPr>
        <w:spacing w:after="0" w:line="146" w:lineRule="exact"/>
        <w:rPr>
          <w:rFonts w:ascii="Arial" w:cs="Arial" w:eastAsia="Arial" w:hAnsi="Arial"/>
          <w:sz w:val="17"/>
          <w:szCs w:val="17"/>
          <w:color w:val="auto"/>
        </w:rPr>
      </w:pPr>
    </w:p>
    <w:p>
      <w:pPr>
        <w:jc w:val="both"/>
        <w:ind w:left="660" w:right="20" w:hanging="490"/>
        <w:spacing w:after="0" w:line="264" w:lineRule="auto"/>
        <w:tabs>
          <w:tab w:leader="none" w:pos="732"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Party B possesses the intellectual property, including patents in research and development of the thermosensitive liposomes and wishes to conduct the development in cooperation with Party A so as to realize the marketing and commercialization of ThermoDox in the China Territory (including mainland China, Hong Kong and Macau) as early as possible.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Therefore, both Parties, through consultation on the basis of equality, hereby agree to as follows, which shall be abided by both Parties: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Clause 1.</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requirements of the research and development project under this Contract are as follows:</w:t>
      </w:r>
    </w:p>
    <w:p>
      <w:pPr>
        <w:spacing w:after="0" w:line="211"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Party A and Party B shall develop in cooperation, with details as: (1) Party B shall conduct the research and development of the thermosensitive liposome with the purpose of exploitation through advanced technology at the site of Party B and; (2) Party A shall pay the fee for research and development and provide other necessary assistances as provided in this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Scope of Technology Development:</w:t>
      </w:r>
    </w:p>
    <w:p>
      <w:pPr>
        <w:spacing w:after="0" w:line="22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API: manufacturing process and details, data for stability research, detailed specification and analysis program, reference substance, impurities etc.;</w:t>
      </w:r>
    </w:p>
    <w:p>
      <w:pPr>
        <w:spacing w:after="0" w:line="46" w:lineRule="exact"/>
        <w:rPr>
          <w:rFonts w:ascii="Arial" w:cs="Arial" w:eastAsia="Arial" w:hAnsi="Arial"/>
          <w:sz w:val="16"/>
          <w:szCs w:val="16"/>
          <w:color w:val="auto"/>
        </w:rPr>
      </w:pPr>
    </w:p>
    <w:p>
      <w:pPr>
        <w:ind w:left="1140" w:right="20" w:hanging="1132"/>
        <w:spacing w:after="0" w:line="250" w:lineRule="auto"/>
        <w:tabs>
          <w:tab w:leader="none" w:pos="362"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Finished product: manufacturing process and details, data for stability research, detailed specification and analysis program, details and sources of equipments, etc.;</w:t>
      </w: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pharmaceutical research data to be filed for regulatory registration with respect to the Item (1) and (2) set forth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right="9720" w:hanging="172"/>
        <w:spacing w:after="0" w:line="27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standards: [***]</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Clause 2.</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Work scope and responsibility of Party B:</w:t>
      </w:r>
    </w:p>
    <w:p>
      <w:pPr>
        <w:spacing w:after="0" w:line="9" w:lineRule="exact"/>
        <w:rPr>
          <w:sz w:val="20"/>
          <w:szCs w:val="20"/>
          <w:color w:val="auto"/>
        </w:rPr>
      </w:pPr>
    </w:p>
    <w:p>
      <w:pPr>
        <w:ind w:left="180" w:hanging="10"/>
        <w:spacing w:after="0" w:line="261"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Party B shall provide product research and development progress summary to Party A periodically, which shall be confirmed in writing by both parties’ technical personnel.</w:t>
      </w:r>
    </w:p>
    <w:p>
      <w:pPr>
        <w:spacing w:after="0" w:line="183" w:lineRule="exact"/>
        <w:rPr>
          <w:rFonts w:ascii="Arial" w:cs="Arial" w:eastAsia="Arial" w:hAnsi="Arial"/>
          <w:sz w:val="18"/>
          <w:szCs w:val="18"/>
          <w:color w:val="auto"/>
        </w:rPr>
      </w:pPr>
    </w:p>
    <w:p>
      <w:pPr>
        <w:ind w:left="180" w:hanging="10"/>
        <w:spacing w:after="0" w:line="277" w:lineRule="auto"/>
        <w:tabs>
          <w:tab w:leader="none" w:pos="4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Party B shall arrange the personnel with sufficient abilities and qualifications (“developers”) to conduct research and development work under this Contract, and shall provide the cost &amp; expense list.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Work scope and responsibility of Party A:</w:t>
      </w:r>
    </w:p>
    <w:p>
      <w:pPr>
        <w:spacing w:after="0" w:line="9" w:lineRule="exact"/>
        <w:rPr>
          <w:sz w:val="20"/>
          <w:szCs w:val="20"/>
          <w:color w:val="auto"/>
        </w:rPr>
      </w:pPr>
    </w:p>
    <w:p>
      <w:pPr>
        <w:ind w:left="360" w:hanging="190"/>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Party A shall arrange the personnel with sufficient abilities and qualifications to communicate with developers of Party B.</w:t>
      </w:r>
    </w:p>
    <w:p>
      <w:pPr>
        <w:spacing w:after="0" w:line="210" w:lineRule="exact"/>
        <w:rPr>
          <w:rFonts w:ascii="Arial" w:cs="Arial" w:eastAsia="Arial" w:hAnsi="Arial"/>
          <w:sz w:val="18"/>
          <w:szCs w:val="18"/>
          <w:color w:val="auto"/>
        </w:rPr>
      </w:pPr>
    </w:p>
    <w:p>
      <w:pPr>
        <w:ind w:left="360" w:hanging="190"/>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Party A should pay the research and development fee in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Party A shall pay the research and development fee as follows:</w:t>
      </w:r>
    </w:p>
    <w:p>
      <w:pPr>
        <w:spacing w:after="0" w:line="21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cost of the research and development fee: 5,000,000 USD</w:t>
      </w:r>
    </w:p>
    <w:p>
      <w:pPr>
        <w:spacing w:after="0" w:line="225" w:lineRule="exact"/>
        <w:rPr>
          <w:rFonts w:ascii="Arial" w:cs="Arial" w:eastAsia="Arial" w:hAnsi="Arial"/>
          <w:sz w:val="18"/>
          <w:szCs w:val="18"/>
          <w:color w:val="auto"/>
        </w:rPr>
      </w:pPr>
    </w:p>
    <w:p>
      <w:pPr>
        <w:ind w:right="5100" w:firstLine="8"/>
        <w:spacing w:after="0" w:line="258"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research and development fee shall be paid in a lump sum by Party A to Party B. Payment Method and Schedule is as follows:</w:t>
      </w:r>
    </w:p>
    <w:p>
      <w:pPr>
        <w:spacing w:after="0" w:line="1" w:lineRule="exact"/>
        <w:rPr>
          <w:rFonts w:ascii="Arial" w:cs="Arial" w:eastAsia="Arial" w:hAnsi="Arial"/>
          <w:sz w:val="18"/>
          <w:szCs w:val="18"/>
          <w:color w:val="auto"/>
        </w:rPr>
      </w:pPr>
    </w:p>
    <w:p>
      <w:pPr>
        <w:ind w:right="9020"/>
        <w:spacing w:after="0" w:line="250" w:lineRule="auto"/>
        <w:rPr>
          <w:rFonts w:ascii="Arial" w:cs="Arial" w:eastAsia="Arial" w:hAnsi="Arial"/>
          <w:sz w:val="18"/>
          <w:szCs w:val="18"/>
          <w:color w:val="auto"/>
        </w:rPr>
      </w:pPr>
      <w:r>
        <w:rPr>
          <w:rFonts w:ascii="Arial" w:cs="Arial" w:eastAsia="Arial" w:hAnsi="Arial"/>
          <w:sz w:val="18"/>
          <w:szCs w:val="18"/>
          <w:color w:val="auto"/>
        </w:rPr>
        <w:t>Payment Method: in a lump sum. Payment Schedule:</w:t>
      </w: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Taxation: Party A shall be responsible for the tax levied by China government, while Party B shall be responsible for the tax payable to United States government.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not be amended other than by way of mutual agreement in writing.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6.</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Party B shall not subcontract the research and development tasks of the project under this Contract in part or in whole to any third party without Party A’s prior consent.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7.</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term of this Contract, if any party identifies any technical risk that may lead to failure or partial failure of the research and development project in question, it should notify the other party within five (5) days so as for both parties to determine whether or not the project should continue. The detailed description of such failure shall be stated in a supplemental agreement in the future. If the identifying party fails to notify the other party within five (5) days nor to take any and all appropriate measures to prevent aggravation of the losses, the party shall bear the aggravated losses so caused.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Both parties shall abide by the confidentiality and obligations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confidentiality period of this contract is the term of this Contract and ten years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Party A:</w:t>
      </w:r>
    </w:p>
    <w:p>
      <w:pPr>
        <w:spacing w:after="0" w:line="23"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Confidentiality content (including technical information and management information): same as the content of technology development.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Confidentiality personnel: all related personnel of Party 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23"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Confidentiality content (including technical information and management information): same as the content of technology development.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Confidentiality related personnel: all related personnel of Party B</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9:</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agreed that, the subsequent research and development investment, the rights to commercialization and distribution of ThermoDox in the China Territory, and the belonging of both Parties’ rights with respect thereto, shall be agreed upon by signing a separate contract, if the development of this project turns out to be successful.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10.</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Party B has the obligation to provide technical materials, technical interpretation to party A for patent retrieval and review, in order to ensure that there is no infringement of any third party’s intellectual property rights. Failing which Party B shall be responsible for any losses therefrom caused to Party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11.</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It is agreed that, during the term of this contract, Party A appoints [***] as its project contact and Party B appoints [***] as its project contact. The project contacts shall undertake the responsibilities as follows:</w:t>
      </w:r>
    </w:p>
    <w:p>
      <w:pPr>
        <w:spacing w:after="0" w:line="1"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Party B’s project contact is party B’s project leader;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Party A’s project contact is party A’s project leader;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Party changes its project contact, it shall notify the other party in writing in a timely manner. The party who fails to carry out the notice in time and affect the performance of this Contract or result in any losses shall undertake the responsibility on losses that resulted.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Contract shall be governed by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13.</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Any disputes arising from the execution of this Contract shall be submitted to [***] for arbitration at [***]. The language for arbitration shall be Chinese and English. The arbitration award shall be final and binding upon both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Contract shall be executed in duplicate, with each individual copy having equal legal effect.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Contract will take into effect upon execution by both parties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Party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Zhejiang Hisun Pharmaceutical Co.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Party B: </w:t>
      </w:r>
      <w:r>
        <w:rPr>
          <w:rFonts w:ascii="Arial" w:cs="Arial" w:eastAsia="Arial" w:hAnsi="Arial"/>
          <w:sz w:val="21"/>
          <w:szCs w:val="21"/>
          <w:color w:val="auto"/>
        </w:rPr>
        <w:t>CELSION CORPORATION (CLSN)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Legal representative: </w:t>
      </w:r>
      <w:r>
        <w:rPr>
          <w:rFonts w:ascii="Arial" w:cs="Arial" w:eastAsia="Arial" w:hAnsi="Arial"/>
          <w:sz w:val="18"/>
          <w:szCs w:val="18"/>
          <w:u w:val="single" w:color="auto"/>
          <w:color w:val="auto"/>
        </w:rPr>
        <w:t>/s/ Michael H. Tardugno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2013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9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79" w:lineRule="exact"/>
        <w:rPr>
          <w:sz w:val="20"/>
          <w:szCs w:val="20"/>
          <w:color w:val="auto"/>
        </w:rPr>
      </w:pPr>
    </w:p>
    <w:p>
      <w:pPr>
        <w:ind w:left="720" w:hanging="44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20" w:right="20" w:hanging="442"/>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0" w:hanging="442"/>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720" w:right="20" w:hanging="442"/>
        <w:spacing w:after="0" w:line="291"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72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65" w:lineRule="exact"/>
        <w:rPr>
          <w:sz w:val="20"/>
          <w:szCs w:val="20"/>
          <w:color w:val="auto"/>
        </w:rPr>
      </w:pPr>
    </w:p>
    <w:p>
      <w:pPr>
        <w:jc w:val="both"/>
        <w:ind w:left="720" w:right="20" w:hanging="213"/>
        <w:spacing w:after="0" w:line="264"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720" w:right="20" w:hanging="223"/>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sz w:val="20"/>
          <w:szCs w:val="20"/>
          <w:color w:val="auto"/>
        </w:rPr>
      </w:pPr>
    </w:p>
    <w:p>
      <w:pPr>
        <w:jc w:val="both"/>
        <w:ind w:left="720" w:right="20" w:hanging="213"/>
        <w:spacing w:after="0" w:line="308" w:lineRule="auto"/>
        <w:rPr>
          <w:sz w:val="20"/>
          <w:szCs w:val="20"/>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sz w:val="20"/>
          <w:szCs w:val="20"/>
          <w:color w:val="auto"/>
        </w:rPr>
      </w:pPr>
    </w:p>
    <w:p>
      <w:pPr>
        <w:jc w:val="both"/>
        <w:ind w:left="720" w:right="20" w:hanging="223"/>
        <w:spacing w:after="0" w:line="308"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7" w:lineRule="exact"/>
        <w:rPr>
          <w:sz w:val="20"/>
          <w:szCs w:val="20"/>
          <w:color w:val="auto"/>
        </w:rPr>
      </w:pPr>
    </w:p>
    <w:p>
      <w:pPr>
        <w:ind w:left="720" w:right="20" w:hanging="442"/>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720" w:right="20" w:hanging="213"/>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720" w:right="20" w:hanging="223"/>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17145</wp:posOffset>
            </wp:positionV>
            <wp:extent cx="29159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5920" cy="17145"/>
                    </a:xfrm>
                    <a:prstGeom prst="rect">
                      <a:avLst/>
                    </a:prstGeom>
                    <a:noFill/>
                  </pic:spPr>
                </pic:pic>
              </a:graphicData>
            </a:graphic>
          </wp:anchor>
        </w:drawing>
      </w:r>
    </w:p>
    <w:p>
      <w:pPr>
        <w:spacing w:after="0" w:line="236" w:lineRule="exact"/>
        <w:rPr>
          <w:sz w:val="20"/>
          <w:szCs w:val="20"/>
          <w:color w:val="auto"/>
        </w:rPr>
      </w:pPr>
    </w:p>
    <w:p>
      <w:pPr>
        <w:ind w:left="1620"/>
        <w:spacing w:after="0"/>
        <w:tabs>
          <w:tab w:leader="none" w:pos="6960" w:val="left"/>
          <w:tab w:leader="none" w:pos="7380" w:val="left"/>
        </w:tabs>
        <w:rPr>
          <w:sz w:val="20"/>
          <w:szCs w:val="20"/>
          <w:color w:val="auto"/>
        </w:rPr>
      </w:pPr>
      <w:r>
        <w:rPr>
          <w:rFonts w:ascii="Arial" w:cs="Arial" w:eastAsia="Arial" w:hAnsi="Arial"/>
          <w:sz w:val="18"/>
          <w:szCs w:val="18"/>
          <w:color w:val="auto"/>
        </w:rPr>
        <w:t>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Gregory Weaver, certify that:</w:t>
      </w:r>
    </w:p>
    <w:p>
      <w:pPr>
        <w:spacing w:after="0" w:line="279" w:lineRule="exact"/>
        <w:rPr>
          <w:sz w:val="20"/>
          <w:szCs w:val="20"/>
          <w:color w:val="auto"/>
        </w:rPr>
      </w:pPr>
    </w:p>
    <w:p>
      <w:pPr>
        <w:ind w:left="720" w:hanging="44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20" w:right="20" w:hanging="442"/>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0" w:hanging="442"/>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720" w:right="20" w:hanging="442"/>
        <w:spacing w:after="0" w:line="29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72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65" w:lineRule="exact"/>
        <w:rPr>
          <w:sz w:val="20"/>
          <w:szCs w:val="20"/>
          <w:color w:val="auto"/>
        </w:rPr>
      </w:pPr>
    </w:p>
    <w:p>
      <w:pPr>
        <w:jc w:val="both"/>
        <w:ind w:left="720" w:right="20" w:hanging="213"/>
        <w:spacing w:after="0" w:line="264"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720" w:right="20" w:hanging="223"/>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sz w:val="20"/>
          <w:szCs w:val="20"/>
          <w:color w:val="auto"/>
        </w:rPr>
      </w:pPr>
    </w:p>
    <w:p>
      <w:pPr>
        <w:jc w:val="both"/>
        <w:ind w:left="720" w:right="20" w:hanging="213"/>
        <w:spacing w:after="0" w:line="308" w:lineRule="auto"/>
        <w:rPr>
          <w:sz w:val="20"/>
          <w:szCs w:val="20"/>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sz w:val="20"/>
          <w:szCs w:val="20"/>
          <w:color w:val="auto"/>
        </w:rPr>
      </w:pPr>
    </w:p>
    <w:p>
      <w:pPr>
        <w:jc w:val="both"/>
        <w:ind w:left="720" w:right="20" w:hanging="223"/>
        <w:spacing w:after="0" w:line="308"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7" w:lineRule="exact"/>
        <w:rPr>
          <w:sz w:val="20"/>
          <w:szCs w:val="20"/>
          <w:color w:val="auto"/>
        </w:rPr>
      </w:pPr>
    </w:p>
    <w:p>
      <w:pPr>
        <w:ind w:left="720" w:right="20" w:hanging="442"/>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720" w:right="20" w:hanging="213"/>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sz w:val="20"/>
          <w:szCs w:val="20"/>
          <w:color w:val="auto"/>
        </w:rPr>
      </w:pPr>
    </w:p>
    <w:p>
      <w:pPr>
        <w:ind w:left="720" w:right="20" w:hanging="223"/>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17145</wp:posOffset>
            </wp:positionV>
            <wp:extent cx="29159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5920" cy="17145"/>
                    </a:xfrm>
                    <a:prstGeom prst="rect">
                      <a:avLst/>
                    </a:prstGeom>
                    <a:noFill/>
                  </pic:spPr>
                </pic:pic>
              </a:graphicData>
            </a:graphic>
          </wp:anchor>
        </w:drawing>
      </w:r>
    </w:p>
    <w:p>
      <w:pPr>
        <w:spacing w:after="0" w:line="236" w:lineRule="exact"/>
        <w:rPr>
          <w:sz w:val="20"/>
          <w:szCs w:val="20"/>
          <w:color w:val="auto"/>
        </w:rPr>
      </w:pPr>
    </w:p>
    <w:p>
      <w:pPr>
        <w:ind w:left="1620"/>
        <w:spacing w:after="0"/>
        <w:tabs>
          <w:tab w:leader="none" w:pos="6960" w:val="left"/>
          <w:tab w:leader="none" w:pos="7380" w:val="left"/>
        </w:tabs>
        <w:rPr>
          <w:sz w:val="20"/>
          <w:szCs w:val="20"/>
          <w:color w:val="auto"/>
        </w:rPr>
      </w:pPr>
      <w:r>
        <w:rPr>
          <w:rFonts w:ascii="Arial" w:cs="Arial" w:eastAsia="Arial" w:hAnsi="Arial"/>
          <w:sz w:val="18"/>
          <w:szCs w:val="18"/>
          <w:color w:val="auto"/>
        </w:rPr>
        <w:t>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Gregory Weaver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2013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p>
      <w:pPr>
        <w:ind w:left="1620"/>
        <w:spacing w:after="0"/>
        <w:tabs>
          <w:tab w:leader="none" w:pos="6860" w:val="left"/>
          <w:tab w:leader="none" w:pos="7420" w:val="left"/>
        </w:tabs>
        <w:rPr>
          <w:sz w:val="20"/>
          <w:szCs w:val="20"/>
          <w:color w:val="auto"/>
        </w:rPr>
      </w:pPr>
      <w:r>
        <w:rPr>
          <w:rFonts w:ascii="Arial" w:cs="Arial" w:eastAsia="Arial" w:hAnsi="Arial"/>
          <w:sz w:val="18"/>
          <w:szCs w:val="18"/>
          <w:color w:val="auto"/>
        </w:rPr>
        <w:t>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620"/>
        <w:spacing w:after="0"/>
        <w:tabs>
          <w:tab w:leader="none" w:pos="6860" w:val="left"/>
          <w:tab w:leader="none" w:pos="7420" w:val="left"/>
        </w:tabs>
        <w:rPr>
          <w:sz w:val="20"/>
          <w:szCs w:val="20"/>
          <w:color w:val="auto"/>
        </w:rPr>
      </w:pPr>
      <w:r>
        <w:rPr>
          <w:rFonts w:ascii="Arial" w:cs="Arial" w:eastAsia="Arial" w:hAnsi="Arial"/>
          <w:sz w:val="18"/>
          <w:szCs w:val="18"/>
          <w:color w:val="auto"/>
        </w:rPr>
        <w:t>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Gregory Weaver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Senior Vice President and Chief Financial Officer</w:t>
      </w:r>
    </w:p>
    <w:p>
      <w:pPr>
        <w:spacing w:after="0" w:line="276" w:lineRule="exact"/>
        <w:rPr>
          <w:sz w:val="20"/>
          <w:szCs w:val="20"/>
          <w:color w:val="auto"/>
        </w:rPr>
      </w:pPr>
    </w:p>
    <w:p>
      <w:pPr>
        <w:jc w:val="both"/>
        <w:ind w:firstLine="8"/>
        <w:spacing w:after="0" w:line="264" w:lineRule="auto"/>
        <w:tabs>
          <w:tab w:leader="none" w:pos="1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2019-12-05T21:26:48Z</dcterms:created>
  <dcterms:modified xsi:type="dcterms:W3CDTF">2019-12-05T21:26:48Z</dcterms:modified>
</cp:coreProperties>
</file>