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213360</wp:posOffset>
            </wp:positionV>
            <wp:extent cx="7246620" cy="76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6835"/>
                    </a:xfrm>
                    <a:prstGeom prst="rect">
                      <a:avLst/>
                    </a:prstGeom>
                    <a:noFill/>
                  </pic:spPr>
                </pic:pic>
              </a:graphicData>
            </a:graphic>
          </wp:anchor>
        </w:drawing>
        <w:t>UNITED STATES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1720" w:hanging="361"/>
        <w:spacing w:after="0"/>
        <w:tabs>
          <w:tab w:leader="none" w:pos="1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 the quarterly period ended June 30,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720" w:right="1400"/>
        <w:spacing w:after="0" w:line="277" w:lineRule="auto"/>
        <w:rPr>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For the transition period from ____________ to ____________</w:t>
      </w:r>
    </w:p>
    <w:p>
      <w:pPr>
        <w:spacing w:after="0" w:line="225"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CELSION CORPORATION</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462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Delaware</w:t>
            </w:r>
          </w:p>
        </w:tc>
        <w:tc>
          <w:tcPr>
            <w:tcW w:w="500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52-1256615</w:t>
            </w:r>
          </w:p>
        </w:tc>
      </w:tr>
      <w:tr>
        <w:trPr>
          <w:trHeight w:val="195"/>
        </w:trPr>
        <w:tc>
          <w:tcPr>
            <w:tcW w:w="4620" w:type="dxa"/>
            <w:vAlign w:val="bottom"/>
            <w:tcBorders>
              <w:top w:val="single" w:sz="8" w:color="auto"/>
            </w:tcBorders>
          </w:tcPr>
          <w:p>
            <w:pPr>
              <w:jc w:val="center"/>
              <w:ind w:right="470"/>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400" w:type="dxa"/>
            <w:vAlign w:val="bottom"/>
          </w:tcPr>
          <w:p>
            <w:pPr>
              <w:spacing w:after="0"/>
              <w:rPr>
                <w:sz w:val="16"/>
                <w:szCs w:val="16"/>
                <w:color w:val="auto"/>
              </w:rPr>
            </w:pPr>
          </w:p>
        </w:tc>
        <w:tc>
          <w:tcPr>
            <w:tcW w:w="4600" w:type="dxa"/>
            <w:vAlign w:val="bottom"/>
            <w:tcBorders>
              <w:top w:val="single" w:sz="8" w:color="auto"/>
            </w:tcBorders>
          </w:tcPr>
          <w:p>
            <w:pPr>
              <w:jc w:val="center"/>
              <w:ind w:right="430"/>
              <w:spacing w:after="0" w:line="195"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4620" w:type="dxa"/>
            <w:vAlign w:val="bottom"/>
          </w:tcPr>
          <w:p>
            <w:pPr>
              <w:jc w:val="center"/>
              <w:ind w:right="450"/>
              <w:spacing w:after="0"/>
              <w:rPr>
                <w:sz w:val="20"/>
                <w:szCs w:val="20"/>
                <w:color w:val="auto"/>
              </w:rPr>
            </w:pPr>
            <w:r>
              <w:rPr>
                <w:rFonts w:ascii="Arial" w:cs="Arial" w:eastAsia="Arial" w:hAnsi="Arial"/>
                <w:sz w:val="18"/>
                <w:szCs w:val="18"/>
                <w:color w:val="auto"/>
                <w:w w:val="92"/>
              </w:rPr>
              <w:t>organization)</w:t>
            </w:r>
          </w:p>
        </w:tc>
        <w:tc>
          <w:tcPr>
            <w:tcW w:w="400" w:type="dxa"/>
            <w:vAlign w:val="bottom"/>
          </w:tcPr>
          <w:p>
            <w:pPr>
              <w:spacing w:after="0"/>
              <w:rPr>
                <w:sz w:val="20"/>
                <w:szCs w:val="20"/>
                <w:color w:val="auto"/>
              </w:rPr>
            </w:pPr>
          </w:p>
        </w:tc>
        <w:tc>
          <w:tcPr>
            <w:tcW w:w="460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Lawrenceville, NJ 08648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(609) 896-9100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w:t>
      </w:r>
    </w:p>
    <w:p>
      <w:pPr>
        <w:spacing w:after="0" w:line="216"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74" w:lineRule="exact"/>
        <w:rPr>
          <w:sz w:val="24"/>
          <w:szCs w:val="24"/>
          <w:color w:val="auto"/>
        </w:rPr>
      </w:pPr>
    </w:p>
    <w:p>
      <w:pPr>
        <w:ind w:left="9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520" w:space="80"/>
            <w:col w:w="2700" w:space="720"/>
            <w:col w:w="1200" w:space="640"/>
            <w:col w:w="3560"/>
          </w:cols>
          <w:pgMar w:left="240" w:top="472" w:right="239" w:bottom="1440" w:gutter="0" w:footer="0" w:header="0"/>
          <w:type w:val="continuous"/>
        </w:sectPr>
      </w:pPr>
    </w:p>
    <w:p>
      <w:pPr>
        <w:spacing w:after="0" w:line="16" w:lineRule="exact"/>
        <w:rPr>
          <w:sz w:val="24"/>
          <w:szCs w:val="24"/>
          <w:color w:val="auto"/>
        </w:rPr>
      </w:pPr>
    </w:p>
    <w:p>
      <w:pPr>
        <w:ind w:left="9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620" w:space="100"/>
            <w:col w:w="2580" w:space="720"/>
            <w:col w:w="1960" w:space="180"/>
            <w:col w:w="3260"/>
          </w:cols>
          <w:pgMar w:left="240" w:top="472" w:right="239" w:bottom="1440" w:gutter="0" w:footer="0" w:header="0"/>
          <w:type w:val="continuous"/>
        </w:sectPr>
      </w:pPr>
    </w:p>
    <w:p>
      <w:pPr>
        <w:ind w:left="3000"/>
        <w:spacing w:after="0"/>
        <w:rPr>
          <w:sz w:val="20"/>
          <w:szCs w:val="20"/>
          <w:color w:val="auto"/>
        </w:rPr>
      </w:pPr>
      <w:r>
        <w:rPr>
          <w:rFonts w:ascii="Arial" w:cs="Arial" w:eastAsia="Arial" w:hAnsi="Arial"/>
          <w:sz w:val="16"/>
          <w:szCs w:val="16"/>
          <w:color w:val="auto"/>
        </w:rPr>
        <w:t>company)</w:t>
      </w:r>
    </w:p>
    <w:p>
      <w:pPr>
        <w:sectPr>
          <w:pgSz w:w="11900" w:h="16838" w:orient="portrait"/>
          <w:cols w:equalWidth="0" w:num="1">
            <w:col w:w="11420"/>
          </w:cols>
          <w:pgMar w:left="240" w:top="472" w:right="239" w:bottom="1440" w:gutter="0" w:footer="0" w:header="0"/>
          <w:type w:val="continuous"/>
        </w:sectPr>
      </w:pP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As of August 7, 2013, the Registrant had 61,160,961 shares of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jc w:val="center"/>
              <w:ind w:left="1090"/>
              <w:spacing w:after="0"/>
              <w:rPr>
                <w:sz w:val="20"/>
                <w:szCs w:val="20"/>
                <w:color w:val="auto"/>
              </w:rPr>
            </w:pPr>
            <w:r>
              <w:rPr>
                <w:rFonts w:ascii="Arial" w:cs="Arial" w:eastAsia="Arial" w:hAnsi="Arial"/>
                <w:sz w:val="18"/>
                <w:szCs w:val="18"/>
                <w:b w:val="1"/>
                <w:bCs w:val="1"/>
                <w:color w:val="auto"/>
              </w:rPr>
              <w:t>CELSION CORPORATION</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QUARTERLY REPORT ON</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8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FORM 10-Q</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8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TABLE OF CONTENTS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160" w:type="dxa"/>
            <w:vAlign w:val="bottom"/>
          </w:tcPr>
          <w:p>
            <w:pPr>
              <w:ind w:left="16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 (Unaudited)</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Balance Sheets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Statements of Operations</w:t>
            </w:r>
          </w:p>
        </w:tc>
        <w:tc>
          <w:tcPr>
            <w:tcW w:w="21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Statements of Comprehensive Income (Loss)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Statements of Cash Flows</w:t>
            </w:r>
          </w:p>
        </w:tc>
        <w:tc>
          <w:tcPr>
            <w:tcW w:w="21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Notes to Financial Statements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94"/>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2.</w:t>
            </w:r>
          </w:p>
        </w:tc>
        <w:tc>
          <w:tcPr>
            <w:tcW w:w="828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3.</w:t>
            </w:r>
          </w:p>
        </w:tc>
        <w:tc>
          <w:tcPr>
            <w:tcW w:w="828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4.</w:t>
            </w:r>
          </w:p>
        </w:tc>
        <w:tc>
          <w:tcPr>
            <w:tcW w:w="828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1.</w:t>
            </w:r>
          </w:p>
        </w:tc>
        <w:tc>
          <w:tcPr>
            <w:tcW w:w="828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w:t>
            </w: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21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2.</w:t>
            </w:r>
          </w:p>
        </w:tc>
        <w:tc>
          <w:tcPr>
            <w:tcW w:w="828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Defaults Upon Senior Securities</w:t>
            </w:r>
          </w:p>
        </w:tc>
        <w:tc>
          <w:tcPr>
            <w:tcW w:w="21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4.</w:t>
            </w:r>
          </w:p>
        </w:tc>
        <w:tc>
          <w:tcPr>
            <w:tcW w:w="8280" w:type="dxa"/>
            <w:vAlign w:val="bottom"/>
          </w:tcPr>
          <w:p>
            <w:pPr>
              <w:ind w:left="180"/>
              <w:spacing w:after="0"/>
              <w:rPr>
                <w:sz w:val="20"/>
                <w:szCs w:val="20"/>
                <w:color w:val="auto"/>
              </w:rPr>
            </w:pPr>
            <w:r>
              <w:rPr>
                <w:rFonts w:ascii="Arial" w:cs="Arial" w:eastAsia="Arial" w:hAnsi="Arial"/>
                <w:sz w:val="18"/>
                <w:szCs w:val="18"/>
                <w:color w:val="auto"/>
              </w:rPr>
              <w:t>Mine Safety Disclosures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w:t>
            </w: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Information</w:t>
            </w:r>
          </w:p>
        </w:tc>
        <w:tc>
          <w:tcPr>
            <w:tcW w:w="21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6.</w:t>
            </w:r>
          </w:p>
        </w:tc>
        <w:tc>
          <w:tcPr>
            <w:tcW w:w="8280" w:type="dxa"/>
            <w:vAlign w:val="bottom"/>
          </w:tcPr>
          <w:p>
            <w:pPr>
              <w:ind w:left="180"/>
              <w:spacing w:after="0"/>
              <w:rPr>
                <w:sz w:val="20"/>
                <w:szCs w:val="20"/>
                <w:color w:val="auto"/>
              </w:rPr>
            </w:pPr>
            <w:r>
              <w:rPr>
                <w:rFonts w:ascii="Arial" w:cs="Arial" w:eastAsia="Arial" w:hAnsi="Arial"/>
                <w:sz w:val="18"/>
                <w:szCs w:val="18"/>
                <w:color w:val="auto"/>
              </w:rPr>
              <w:t>Exhibits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2160" w:type="dxa"/>
            <w:vAlign w:val="bottom"/>
          </w:tcPr>
          <w:p>
            <w:pPr>
              <w:jc w:val="center"/>
              <w:ind w:left="1490"/>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within the bounds of our knowledge of our industry, business and operations, we cannot guarantee that actual results will not differ materially from our expectations. 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 contained in this document are trademarks, registered trademarks or service marks of Celsion Corporation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rPr>
              <w:t>CELSION CORPORATION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ind w:left="5040"/>
              <w:spacing w:after="0"/>
              <w:rPr>
                <w:sz w:val="20"/>
                <w:szCs w:val="20"/>
                <w:color w:val="auto"/>
              </w:rPr>
            </w:pPr>
            <w:r>
              <w:rPr>
                <w:rFonts w:ascii="Arial" w:cs="Arial" w:eastAsia="Arial" w:hAnsi="Arial"/>
                <w:sz w:val="18"/>
                <w:szCs w:val="18"/>
                <w:b w:val="1"/>
                <w:bCs w:val="1"/>
                <w:color w:val="auto"/>
              </w:rPr>
              <w:t>BALANCE SHEETS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90"/>
              </w:rPr>
              <w:t>June 30, 2013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0"/>
              </w:rPr>
              <w:t>December 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6,020,528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14,991,488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Investment securities – available for sale, at fair value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42,706,769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8,037,620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 on investment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Advances and deposits for investigator grants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246,252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520,725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307,699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49,572,471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23,648,984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w w:val="89"/>
              </w:rPr>
              <w:t xml:space="preserve">Property and equipment (at cost, less accumulated depreciation </w:t>
            </w:r>
            <w:r>
              <w:rPr>
                <w:rFonts w:ascii="Arial" w:cs="Arial" w:eastAsia="Arial" w:hAnsi="Arial"/>
                <w:sz w:val="18"/>
                <w:szCs w:val="18"/>
                <w:color w:val="auto"/>
                <w:w w:val="89"/>
              </w:rPr>
              <w:t>of $1,074,961 and $924,961, respectively)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1,022,115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1,114,621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deferred fees and other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Patent licensing fees,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24,375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assets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420,108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595,313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51,014,694</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25,358,918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1,522,710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1,782,967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1,254,979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 - current portion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1,904,770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Deferred revenue - current portion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5,710,447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5,005,202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warrant liability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Notes payable – non-current portion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2,847,644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3,661,147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 - non-current portion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483,108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446,779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18,025,016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13,397,060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20"/>
              <w:spacing w:after="0" w:line="201" w:lineRule="exact"/>
              <w:rPr>
                <w:sz w:val="20"/>
                <w:szCs w:val="20"/>
                <w:color w:val="auto"/>
              </w:rPr>
            </w:pPr>
            <w:r>
              <w:rPr>
                <w:rFonts w:ascii="Arial" w:cs="Arial" w:eastAsia="Arial" w:hAnsi="Arial"/>
                <w:sz w:val="18"/>
                <w:szCs w:val="18"/>
                <w:color w:val="auto"/>
                <w:w w:val="91"/>
              </w:rPr>
              <w:t>Preferred stock, $0.01 par value: 100,000 shares authorized; 20,000 and 5,000 shares issued at June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w w:val="94"/>
              </w:rPr>
              <w:t>2013 and December 31, 2012 and -0- shares outstanding at June 30, 2013 and December 31, 2012,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Common stock, $0.01 par value; 75,000,000 shares authorized; 61,823,340 and 37,967,708 shares issued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9"/>
              </w:rPr>
              <w:t>at June 30, 2013 and December 31, 2012 and 61,160,961 and 37,302,785 shares outstanding at June 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2013 and December 31, 2012, respectively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618,233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190,963,230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165,276,069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(213,841)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(155,697,737)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(150,876,770)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35,669,885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14,652,369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20"/>
              <w:spacing w:after="0" w:line="201" w:lineRule="exact"/>
              <w:rPr>
                <w:sz w:val="20"/>
                <w:szCs w:val="20"/>
                <w:color w:val="auto"/>
              </w:rPr>
            </w:pPr>
            <w:r>
              <w:rPr>
                <w:rFonts w:ascii="Arial" w:cs="Arial" w:eastAsia="Arial" w:hAnsi="Arial"/>
                <w:sz w:val="18"/>
                <w:szCs w:val="18"/>
                <w:color w:val="auto"/>
              </w:rPr>
              <w:t>Treasury stock, at cost (662,379 and 664,921 shares at June 30, 2013 and December 31, 2012,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(2,680,207)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(2,690,511)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32,989,678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11,961,858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51,014,694</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25,358,918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020" w:type="dxa"/>
            <w:vAlign w:val="bottom"/>
            <w:tcBorders>
              <w:top w:val="single" w:sz="8" w:color="CCEEFF"/>
            </w:tcBorders>
          </w:tcPr>
          <w:p>
            <w:pPr>
              <w:jc w:val="center"/>
              <w:ind w:left="3290"/>
              <w:spacing w:after="0"/>
              <w:rPr>
                <w:sz w:val="20"/>
                <w:szCs w:val="20"/>
                <w:color w:val="auto"/>
              </w:rPr>
            </w:pPr>
            <w:r>
              <w:rPr>
                <w:rFonts w:ascii="Arial" w:cs="Arial" w:eastAsia="Arial" w:hAnsi="Arial"/>
                <w:sz w:val="18"/>
                <w:szCs w:val="18"/>
                <w:b w:val="1"/>
                <w:bCs w:val="1"/>
                <w:color w:val="auto"/>
                <w:w w:val="87"/>
              </w:rPr>
              <w:t>See accompanying notes to the financial statements</w:t>
            </w:r>
            <w:r>
              <w:rPr>
                <w:rFonts w:ascii="Arial" w:cs="Arial" w:eastAsia="Arial" w:hAnsi="Arial"/>
                <w:sz w:val="18"/>
                <w:szCs w:val="18"/>
                <w:color w:val="auto"/>
                <w:w w:val="87"/>
              </w:rPr>
              <w:t>.</w:t>
            </w: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040" w:type="dxa"/>
            <w:vAlign w:val="bottom"/>
            <w:gridSpan w:val="2"/>
          </w:tcPr>
          <w:p>
            <w:pPr>
              <w:jc w:val="center"/>
              <w:ind w:left="329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2,022,576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4,112,243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5,225,753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8,805,250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1,950,720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1,595,281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3,639,449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3,973,296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5,707,524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8,865,202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11,970,997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(3,848,296)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(5,707,524)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(8,615,202)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(11,970,997)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from change in valuation of common stock warrant liability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4,380,120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(447,323)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8,660,417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Investment income, net</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67,132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62,076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83,695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(176,211)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(357,139)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other income (expense), 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4,269,180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(396,861)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8,385,112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(6,104,385)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(12,290,626)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Non-cash deemed dividend from beneficial conversion feature on convertible</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(4,601,410)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420,884</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(6,104,385)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(4,831,500)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(12,290,626)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Net income (loss) attributable to common shareholders per common share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b w:val="1"/>
                <w:bCs w:val="1"/>
                <w:color w:val="auto"/>
              </w:rPr>
              <w:t>Diluted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54,391,516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33,236,060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48,631,514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33,211,059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ind w:left="480"/>
              <w:spacing w:after="0" w:line="196" w:lineRule="exact"/>
              <w:rPr>
                <w:sz w:val="20"/>
                <w:szCs w:val="20"/>
                <w:color w:val="auto"/>
              </w:rPr>
            </w:pPr>
            <w:r>
              <w:rPr>
                <w:rFonts w:ascii="Arial" w:cs="Arial" w:eastAsia="Arial" w:hAnsi="Arial"/>
                <w:sz w:val="18"/>
                <w:szCs w:val="18"/>
                <w:b w:val="1"/>
                <w:bCs w:val="1"/>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61,279,766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33,236,060</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48,631,514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33,211,059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comprehensive loss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400" w:type="dxa"/>
            <w:vAlign w:val="bottom"/>
          </w:tcPr>
          <w:p>
            <w:pPr>
              <w:ind w:left="340"/>
              <w:spacing w:after="0" w:line="201" w:lineRule="exact"/>
              <w:rPr>
                <w:sz w:val="20"/>
                <w:szCs w:val="20"/>
                <w:color w:val="auto"/>
              </w:rPr>
            </w:pPr>
            <w:r>
              <w:rPr>
                <w:rFonts w:ascii="Arial" w:cs="Arial" w:eastAsia="Arial" w:hAnsi="Arial"/>
                <w:sz w:val="18"/>
                <w:szCs w:val="18"/>
                <w:color w:val="auto"/>
                <w:w w:val="96"/>
              </w:rPr>
              <w:t>Realized loss on investment securities recognized in</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00" w:type="dxa"/>
            <w:vAlign w:val="bottom"/>
          </w:tcPr>
          <w:p>
            <w:pPr>
              <w:ind w:left="500"/>
              <w:spacing w:after="0"/>
              <w:rPr>
                <w:sz w:val="20"/>
                <w:szCs w:val="20"/>
                <w:color w:val="auto"/>
              </w:rPr>
            </w:pPr>
            <w:r>
              <w:rPr>
                <w:rFonts w:ascii="Arial" w:cs="Arial" w:eastAsia="Arial" w:hAnsi="Arial"/>
                <w:sz w:val="18"/>
                <w:szCs w:val="18"/>
                <w:color w:val="auto"/>
              </w:rPr>
              <w:t>investment income, net</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90"/>
              <w:spacing w:after="0"/>
              <w:rPr>
                <w:sz w:val="20"/>
                <w:szCs w:val="20"/>
                <w:color w:val="auto"/>
              </w:rPr>
            </w:pPr>
            <w:r>
              <w:rPr>
                <w:rFonts w:ascii="Arial" w:cs="Arial" w:eastAsia="Arial" w:hAnsi="Arial"/>
                <w:sz w:val="18"/>
                <w:szCs w:val="18"/>
                <w:color w:val="auto"/>
                <w:w w:val="89"/>
              </w:rPr>
              <w:t>136,943</w:t>
            </w:r>
          </w:p>
        </w:tc>
        <w:tc>
          <w:tcPr>
            <w:tcW w:w="160" w:type="dxa"/>
            <w:vAlign w:val="bottom"/>
          </w:tcPr>
          <w:p>
            <w:pPr>
              <w:spacing w:after="0"/>
              <w:rPr>
                <w:sz w:val="20"/>
                <w:szCs w:val="20"/>
                <w:color w:val="auto"/>
              </w:rPr>
            </w:pP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68,616</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190,683</w:t>
            </w:r>
          </w:p>
        </w:tc>
        <w:tc>
          <w:tcPr>
            <w:tcW w:w="60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197,176</w:t>
            </w:r>
          </w:p>
        </w:tc>
      </w:tr>
      <w:tr>
        <w:trPr>
          <w:trHeight w:val="216"/>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investment securities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(192,228)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(277,917)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(236,076)</w:t>
            </w:r>
          </w:p>
        </w:tc>
      </w:tr>
      <w:tr>
        <w:trPr>
          <w:trHeight w:val="20"/>
        </w:trPr>
        <w:tc>
          <w:tcPr>
            <w:tcW w:w="4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(55,285)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(37,684)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(87,234)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(38,900)</w:t>
            </w:r>
          </w:p>
        </w:tc>
      </w:tr>
      <w:tr>
        <w:trPr>
          <w:trHeight w:val="216"/>
        </w:trPr>
        <w:tc>
          <w:tcPr>
            <w:tcW w:w="4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490"/>
              <w:spacing w:after="0"/>
              <w:rPr>
                <w:sz w:val="20"/>
                <w:szCs w:val="20"/>
                <w:color w:val="auto"/>
              </w:rPr>
            </w:pPr>
            <w:r>
              <w:rPr>
                <w:rFonts w:ascii="Arial" w:cs="Arial" w:eastAsia="Arial" w:hAnsi="Arial"/>
                <w:sz w:val="18"/>
                <w:szCs w:val="18"/>
                <w:color w:val="auto"/>
                <w:w w:val="89"/>
              </w:rPr>
              <w:t>420,884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(6,104,385)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(230,090)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(12,290,626)</w:t>
            </w:r>
          </w:p>
        </w:tc>
      </w:tr>
      <w:tr>
        <w:trPr>
          <w:trHeight w:val="250"/>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9"/>
              </w:rPr>
              <w:t>365,599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(6,142,069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(12,329,526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040" w:type="dxa"/>
            <w:vAlign w:val="bottom"/>
            <w:gridSpan w:val="2"/>
          </w:tcPr>
          <w:p>
            <w:pPr>
              <w:jc w:val="right"/>
              <w:ind w:right="2060"/>
              <w:spacing w:after="0"/>
              <w:rPr>
                <w:sz w:val="20"/>
                <w:szCs w:val="20"/>
                <w:color w:val="auto"/>
              </w:rPr>
            </w:pPr>
            <w:r>
              <w:rPr>
                <w:rFonts w:ascii="Arial" w:cs="Arial" w:eastAsia="Arial" w:hAnsi="Arial"/>
                <w:sz w:val="18"/>
                <w:szCs w:val="18"/>
                <w:b w:val="1"/>
                <w:bCs w:val="1"/>
                <w:color w:val="auto"/>
                <w:w w:val="95"/>
              </w:rPr>
              <w:t>(Unaudited)</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loss</w:t>
            </w: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(230,090)</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(12,290,626)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common stock warrant liability</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(8,660,417)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w w:val="90"/>
              </w:rPr>
              <w:t>Treasury shares issued for services and 401(k) matching contribution</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rent liability</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Deferred finance charges</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Cash received for non-refundable research and development fee</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Net changes in:</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Accrued interest on short term investments and other current assets</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(166,666)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(817,058)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(3,587,831)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(10,911,844)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 securities</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(39,804,383)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5,048,000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9,440,882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Refund of deposit for letter of credit</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(57,494)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(371,215)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27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(34,763,877)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(2,296,481)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Proceeds from sale of preferred stock, net of issuance costs</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13,616,442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Proceeds from sale of common stock equity, net of issuance costs</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15,640,213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options to purchase common stock</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Proceeds from note payable</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4,853,137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notes payable</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(319,188)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provided by financing activities</w:t>
            </w:r>
          </w:p>
        </w:tc>
        <w:tc>
          <w:tcPr>
            <w:tcW w:w="27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29,380,748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4,770,581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(8,970,960)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(8,437,744)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7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14,991,488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20,145,854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6,020,528</w:t>
            </w:r>
          </w:p>
        </w:tc>
        <w:tc>
          <w:tcPr>
            <w:tcW w:w="14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11,708,110</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3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247,899</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2013 AND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Celsion Corporation, referred to herein as “Celsion”, “We”, or “the Company,” a Delaware corporation based in Lawrenceville, New Jersey, is an oncology drug development company focused on improving treatment for those suffering with difficult-to-treat forms of cancer. We are working to develop and commercialize more efficient, effective, targeted chemotherapeutic oncology drugs based on our proprietary heat-activated liposomal technology. Our lead product ThermoDox®, is being tested in human clinical trials for the treatment of primary liver cancer, recurrent chest wall breast cancer and colorectal liver metastases.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financial statements of Celsion have been prepared in accordance with generally accepted accounting principles (GAAP) in the United States for interim financial information and with the instructions to Form 10-Q and Article 10 of Regulation S-X. Certain information and footnote disclosures normally included in financial statements prepared in accordance with GAAP have been condensed or omitted pursuant to such rules and regulations.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opinion of management, all adjustments, consisting only of normal recurring accruals considered necessary for a fair presentation, have been included in the accompanying unaudited financial statements. Operating results for the three and six month periods ended June 30, 2013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2012 filed on March 18, 2013 and our Amendment No. 1 to the Annual Report on Form 10-K/A filed on April 30, 2013 with the Securities and Exchange Commission.</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prior period financial statements have been reclassified to conform to the current period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2011, the FASB amended its guidance on the presentation of comprehensive income in financial statements to improve the comparability, consistency and transparency of financial reporting and to increase the prominence of items that are recorded in other comprehensive income. This new accounting guidance requires entities to report components of comprehensive income in either (1) a continuous statement of comprehensive income or (2) two separate but consecutive statements. The provisions of this new guidance are effective for fiscal years, and interim periods within those years, beginning after December 15, 2011. In February 2013, the FASB issued </w:t>
      </w:r>
      <w:r>
        <w:rPr>
          <w:rFonts w:ascii="Arial" w:cs="Arial" w:eastAsia="Arial" w:hAnsi="Arial"/>
          <w:sz w:val="17"/>
          <w:szCs w:val="17"/>
          <w:i w:val="1"/>
          <w:iCs w:val="1"/>
          <w:color w:val="auto"/>
        </w:rPr>
        <w:t>Accounting Standards Update (ASU) No. 2013-02, Comprehensive Income (Topic 220): Reporting of</w:t>
      </w:r>
      <w:r>
        <w:rPr>
          <w:rFonts w:ascii="Arial" w:cs="Arial" w:eastAsia="Arial" w:hAnsi="Arial"/>
          <w:sz w:val="17"/>
          <w:szCs w:val="17"/>
          <w:color w:val="auto"/>
        </w:rPr>
        <w:t xml:space="preserve"> </w:t>
      </w:r>
      <w:r>
        <w:rPr>
          <w:rFonts w:ascii="Arial" w:cs="Arial" w:eastAsia="Arial" w:hAnsi="Arial"/>
          <w:sz w:val="17"/>
          <w:szCs w:val="17"/>
          <w:i w:val="1"/>
          <w:iCs w:val="1"/>
          <w:color w:val="auto"/>
        </w:rPr>
        <w:t>Amounts Reclassified out of Accumulated Other Comprehensive Income</w:t>
      </w:r>
      <w:r>
        <w:rPr>
          <w:rFonts w:ascii="Arial" w:cs="Arial" w:eastAsia="Arial" w:hAnsi="Arial"/>
          <w:sz w:val="17"/>
          <w:szCs w:val="17"/>
          <w:color w:val="auto"/>
        </w:rPr>
        <w:t>, a new standard to improve the reporting of reclassifications out of accumulated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income. The new standard requires the disclosure of significant amounts reclassified from each component of accumulated other comprehensive income and the income statement line items affected by the reclassification. The standard is effective prospectively for interim and annual periods beginning after December 15, 2012. The adoption of this guidance did not have a material effect on the financial statements on January 1, 2013, the date adopted.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for the first six months of 2013.</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Accumulated</w:t>
            </w:r>
          </w:p>
        </w:tc>
      </w:tr>
      <w:tr>
        <w:trPr>
          <w:trHeight w:val="216"/>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r>
      <w:tr>
        <w:trPr>
          <w:trHeight w:val="216"/>
        </w:trPr>
        <w:tc>
          <w:tcPr>
            <w:tcW w:w="882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Comprehensive</w:t>
            </w:r>
          </w:p>
        </w:tc>
      </w:tr>
      <w:tr>
        <w:trPr>
          <w:trHeight w:val="234"/>
        </w:trPr>
        <w:tc>
          <w:tcPr>
            <w:tcW w:w="8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Loss</w:t>
            </w:r>
          </w:p>
        </w:tc>
      </w:tr>
      <w:tr>
        <w:trPr>
          <w:trHeight w:val="216"/>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January 1, 2013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(126,607)</w:t>
            </w:r>
          </w:p>
        </w:tc>
      </w:tr>
      <w:tr>
        <w:trPr>
          <w:trHeight w:val="210"/>
        </w:trPr>
        <w:tc>
          <w:tcPr>
            <w:tcW w:w="88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(277,917)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Realized loss reclassified from other accumulated comprehensive loss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190,683</w:t>
            </w:r>
          </w:p>
        </w:tc>
        <w:tc>
          <w:tcPr>
            <w:tcW w:w="100" w:type="dxa"/>
            <w:vAlign w:val="bottom"/>
          </w:tcPr>
          <w:p>
            <w:pPr>
              <w:spacing w:after="0"/>
              <w:rPr>
                <w:sz w:val="18"/>
                <w:szCs w:val="18"/>
                <w:color w:val="auto"/>
              </w:rPr>
            </w:pPr>
          </w:p>
        </w:tc>
      </w:tr>
      <w:tr>
        <w:trPr>
          <w:trHeight w:val="210"/>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3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(213,841)</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For the three months ended June 30, 2012 and the six months ended June 30, 2013 and 2012, diluted loss per common share was the same as basic loss per common share as all options and warrants that were convertible into shares of the Company’s common stock were excluded from the calculation of diluted earnings per share as their effect would have been anti-dilutive. The total number of shares of common stock issuable upon exercise of warrants and equity awards for the periods ended June 30, 2013 and 2012 were 17,908,724 and 15,203,880,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Securities - Available For Sale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Investment securities available for sale of $42,706,769 and $8,037,620 as June 30, 2013 and December 31, 2012, respectively, consist of commercial paper and corporate debt securities. They are valued at fair value, with unrealized gains and losses reported as a separate component of Stockholders’ Equity in Accumulated Other Comprehensive Loss.</w:t>
      </w:r>
    </w:p>
    <w:p>
      <w:pPr>
        <w:spacing w:after="0" w:line="18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Investment securities available for sale are evaluated periodically to determine whether a decline in their value is other than temporary. The term “other than temporary” is not intended to indicate a permanent decline in value. Rather, it means that the prospects for near-term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bond maturities of the Company’s investment securities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June 30, 2013</w:t>
            </w:r>
          </w:p>
        </w:tc>
        <w:tc>
          <w:tcPr>
            <w:tcW w:w="240" w:type="dxa"/>
            <w:vAlign w:val="bottom"/>
          </w:tcPr>
          <w:p>
            <w:pPr>
              <w:spacing w:after="0"/>
              <w:rPr>
                <w:sz w:val="20"/>
                <w:szCs w:val="20"/>
                <w:color w:val="auto"/>
              </w:rPr>
            </w:pPr>
          </w:p>
        </w:tc>
        <w:tc>
          <w:tcPr>
            <w:tcW w:w="246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31, 2012</w:t>
            </w: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bond maturities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Within 3 months</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15,106,659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15,041,480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3,053,740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3,002,350</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 3-12 months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27,813,952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27,665,289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5,110,487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5,035,270</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42,920,611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42,706,769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8,164,227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8,037,620</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56"/>
        </w:trPr>
        <w:tc>
          <w:tcPr>
            <w:tcW w:w="3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0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0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The following table shows the Company’s investment securities gross unrealized losses and fair value by investment category and length of time that individual securities have been in a continuous unrealized loss position at June 30, 2013 and December 31, 2012. The Company has reviewed individual securities to determine whether a decline in fair value below the amortizable cost basis is other than temporary.</w:t>
      </w:r>
    </w:p>
    <w:p>
      <w:pPr>
        <w:sectPr>
          <w:pgSz w:w="11900" w:h="16838" w:orient="portrait"/>
          <w:cols w:equalWidth="0" w:num="1">
            <w:col w:w="11420"/>
          </w:cols>
          <w:pgMar w:left="240" w:top="6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696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710057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3" w:lineRule="exact"/>
        <w:rPr>
          <w:sz w:val="20"/>
          <w:szCs w:val="20"/>
          <w:color w:val="auto"/>
        </w:rPr>
      </w:pPr>
    </w:p>
    <w:p>
      <w:pPr>
        <w:ind w:left="280"/>
        <w:spacing w:after="0" w:line="261" w:lineRule="auto"/>
        <w:rPr>
          <w:sz w:val="20"/>
          <w:szCs w:val="20"/>
          <w:color w:val="auto"/>
        </w:rPr>
      </w:pPr>
      <w:r>
        <w:rPr>
          <w:rFonts w:ascii="Arial" w:cs="Arial" w:eastAsia="Arial" w:hAnsi="Arial"/>
          <w:sz w:val="18"/>
          <w:szCs w:val="18"/>
          <w:color w:val="auto"/>
        </w:rPr>
        <w:t>Bonds – corporate issuances (all unrealized holding losses are less than 12 months at date of measurement)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June 30, 2013</w:t>
            </w:r>
          </w:p>
        </w:tc>
        <w:tc>
          <w:tcPr>
            <w:tcW w:w="180" w:type="dxa"/>
            <w:vAlign w:val="bottom"/>
          </w:tcPr>
          <w:p>
            <w:pPr>
              <w:spacing w:after="0"/>
              <w:rPr>
                <w:sz w:val="20"/>
                <w:szCs w:val="20"/>
                <w:color w:val="auto"/>
              </w:rPr>
            </w:pPr>
          </w:p>
        </w:tc>
        <w:tc>
          <w:tcPr>
            <w:tcW w:w="2320" w:type="dxa"/>
            <w:vAlign w:val="bottom"/>
            <w:gridSpan w:val="5"/>
          </w:tcPr>
          <w:p>
            <w:pPr>
              <w:ind w:left="220"/>
              <w:spacing w:after="0"/>
              <w:rPr>
                <w:sz w:val="20"/>
                <w:szCs w:val="20"/>
                <w:color w:val="auto"/>
              </w:rPr>
            </w:pPr>
            <w:r>
              <w:rPr>
                <w:rFonts w:ascii="Arial" w:cs="Arial" w:eastAsia="Arial" w:hAnsi="Arial"/>
                <w:sz w:val="18"/>
                <w:szCs w:val="18"/>
                <w:b w:val="1"/>
                <w:bCs w:val="1"/>
                <w:color w:val="auto"/>
              </w:rPr>
              <w:t>December 31, 2012</w:t>
            </w:r>
          </w:p>
        </w:tc>
      </w:tr>
      <w:tr>
        <w:trPr>
          <w:trHeight w:val="191"/>
        </w:trPr>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Unrealized</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Holding</w:t>
            </w:r>
          </w:p>
        </w:tc>
        <w:tc>
          <w:tcPr>
            <w:tcW w:w="18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Fair</w:t>
            </w:r>
          </w:p>
        </w:tc>
        <w:tc>
          <w:tcPr>
            <w:tcW w:w="16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Holding</w:t>
            </w:r>
          </w:p>
        </w:tc>
      </w:tr>
      <w:tr>
        <w:trPr>
          <w:trHeight w:val="234"/>
        </w:trPr>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Gains</w:t>
            </w:r>
          </w:p>
        </w:tc>
        <w:tc>
          <w:tcPr>
            <w:tcW w:w="60" w:type="dxa"/>
            <w:vAlign w:val="bottom"/>
          </w:tcPr>
          <w:p>
            <w:pPr>
              <w:spacing w:after="0"/>
              <w:rPr>
                <w:sz w:val="20"/>
                <w:szCs w:val="20"/>
                <w:color w:val="auto"/>
              </w:rPr>
            </w:pPr>
          </w:p>
        </w:tc>
      </w:tr>
      <w:tr>
        <w:trPr>
          <w:trHeight w:val="817"/>
        </w:trPr>
        <w:tc>
          <w:tcPr>
            <w:tcW w:w="1140" w:type="dxa"/>
            <w:vAlign w:val="bottom"/>
          </w:tcPr>
          <w:p>
            <w:pPr>
              <w:jc w:val="right"/>
              <w:spacing w:after="0"/>
              <w:rPr>
                <w:sz w:val="20"/>
                <w:szCs w:val="20"/>
                <w:color w:val="auto"/>
              </w:rPr>
            </w:pPr>
            <w:r>
              <w:rPr>
                <w:rFonts w:ascii="Arial" w:cs="Arial" w:eastAsia="Arial" w:hAnsi="Arial"/>
                <w:sz w:val="18"/>
                <w:szCs w:val="18"/>
                <w:color w:val="auto"/>
                <w:w w:val="97"/>
              </w:rPr>
              <w:t>$   42,706,769</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(213,841)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220"/>
              <w:spacing w:after="0"/>
              <w:rPr>
                <w:sz w:val="20"/>
                <w:szCs w:val="20"/>
                <w:color w:val="auto"/>
              </w:rPr>
            </w:pPr>
            <w:r>
              <w:rPr>
                <w:rFonts w:ascii="Arial" w:cs="Arial" w:eastAsia="Arial" w:hAnsi="Arial"/>
                <w:sz w:val="18"/>
                <w:szCs w:val="18"/>
                <w:color w:val="auto"/>
              </w:rPr>
              <w:t>8,037,620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(126,607)</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ectPr>
          <w:pgSz w:w="11900" w:h="16838" w:orient="portrait"/>
          <w:cols w:equalWidth="0" w:num="2">
            <w:col w:w="5640" w:space="420"/>
            <w:col w:w="5360"/>
          </w:cols>
          <w:pgMar w:left="240" w:top="611" w:right="239" w:bottom="1440" w:gutter="0" w:footer="0" w:header="0"/>
          <w:type w:val="continuous"/>
        </w:sectPr>
      </w:pPr>
    </w:p>
    <w:p>
      <w:pPr>
        <w:ind w:right="580"/>
        <w:spacing w:after="0" w:line="277" w:lineRule="auto"/>
        <w:rPr>
          <w:sz w:val="20"/>
          <w:szCs w:val="20"/>
          <w:color w:val="auto"/>
        </w:rPr>
      </w:pPr>
      <w:r>
        <w:rPr>
          <w:rFonts w:ascii="Arial" w:cs="Arial" w:eastAsia="Arial" w:hAnsi="Arial"/>
          <w:sz w:val="18"/>
          <w:szCs w:val="18"/>
          <w:color w:val="auto"/>
        </w:rPr>
        <w:t>Investment income which includes interest and dividends and gross realized gains and losses on sales of available for sale securities, is summarized as follows: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w w:val="95"/>
              </w:rPr>
              <w:t>Three Months Ended</w:t>
            </w:r>
          </w:p>
        </w:tc>
        <w:tc>
          <w:tcPr>
            <w:tcW w:w="22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vMerge w:val="restart"/>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274,378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264,585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Realized losses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(136,943)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(68,616)</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(190,683)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(197,176)</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(formerly SFAS No. 157)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1220" w:right="56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date;</w:t>
      </w:r>
    </w:p>
    <w:p>
      <w:pPr>
        <w:spacing w:after="0" w:line="162" w:lineRule="exact"/>
        <w:rPr>
          <w:sz w:val="20"/>
          <w:szCs w:val="20"/>
          <w:color w:val="auto"/>
        </w:rPr>
      </w:pPr>
    </w:p>
    <w:p>
      <w:pPr>
        <w:ind w:left="1220" w:right="560"/>
        <w:spacing w:after="0" w:line="347" w:lineRule="auto"/>
        <w:rPr>
          <w:sz w:val="20"/>
          <w:szCs w:val="20"/>
          <w:color w:val="auto"/>
        </w:rPr>
      </w:pPr>
      <w:r>
        <w:rPr>
          <w:rFonts w:ascii="Arial" w:cs="Arial" w:eastAsia="Arial" w:hAnsi="Arial"/>
          <w:sz w:val="16"/>
          <w:szCs w:val="16"/>
          <w:b w:val="1"/>
          <w:bCs w:val="1"/>
          <w:color w:val="auto"/>
        </w:rPr>
        <w:t>Level 2</w:t>
      </w:r>
      <w:r>
        <w:rPr>
          <w:rFonts w:ascii="Arial" w:cs="Arial" w:eastAsia="Arial" w:hAnsi="Arial"/>
          <w:sz w:val="16"/>
          <w:szCs w:val="16"/>
          <w:color w:val="auto"/>
        </w:rPr>
        <w:t>: Significant other observable inputs other than Level 1 prices such as quoted prices for similar assets or liabilities; quoted</w:t>
      </w:r>
      <w:r>
        <w:rPr>
          <w:rFonts w:ascii="Arial" w:cs="Arial" w:eastAsia="Arial" w:hAnsi="Arial"/>
          <w:sz w:val="16"/>
          <w:szCs w:val="16"/>
          <w:b w:val="1"/>
          <w:bCs w:val="1"/>
          <w:color w:val="auto"/>
        </w:rPr>
        <w:t xml:space="preserve"> </w:t>
      </w:r>
      <w:r>
        <w:rPr>
          <w:rFonts w:ascii="Arial" w:cs="Arial" w:eastAsia="Arial" w:hAnsi="Arial"/>
          <w:sz w:val="16"/>
          <w:szCs w:val="16"/>
          <w:color w:val="auto"/>
        </w:rPr>
        <w:t>prices in markets that are not active; or other inputs that are observable or can be corroborated by observable market data; and</w:t>
      </w:r>
    </w:p>
    <w:p>
      <w:pPr>
        <w:spacing w:after="0" w:line="116" w:lineRule="exact"/>
        <w:rPr>
          <w:sz w:val="20"/>
          <w:szCs w:val="20"/>
          <w:color w:val="auto"/>
        </w:rPr>
      </w:pPr>
    </w:p>
    <w:p>
      <w:pPr>
        <w:ind w:left="1220" w:right="56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an asset or liability.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 The common stock warrant liability has been valued using the Black-Scholes option pricing model, the inputs of which are more fully described in Note 11 to the financial statements.</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 at their estimated fair values primarily due to their short-term nature.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10" w:name="page11"/>
    <w:bookmarkEnd w:id="10"/>
    <w:p>
      <w:pPr>
        <w:ind w:right="20" w:firstLine="45"/>
        <w:spacing w:after="0" w:line="277" w:lineRule="auto"/>
        <w:rPr>
          <w:sz w:val="20"/>
          <w:szCs w:val="20"/>
          <w:color w:val="auto"/>
        </w:rPr>
      </w:pPr>
      <w:r>
        <w:rPr>
          <w:rFonts w:ascii="Arial" w:cs="Arial" w:eastAsia="Arial" w:hAnsi="Arial"/>
          <w:sz w:val="18"/>
          <w:szCs w:val="18"/>
          <w:color w:val="auto"/>
        </w:rPr>
        <w:t>The following table presents information about assets and liabilities recorded at fair value on a recurring basis as of June 30, 2013 and December 31, 2012 on the Company’s Balance Sheet:</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Quoted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Prices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In Active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Markets For</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Significant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 Fair</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Identical</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Significant</w:t>
            </w:r>
          </w:p>
        </w:tc>
      </w:tr>
      <w:tr>
        <w:trPr>
          <w:trHeight w:val="216"/>
        </w:trPr>
        <w:tc>
          <w:tcPr>
            <w:tcW w:w="5940" w:type="dxa"/>
            <w:vAlign w:val="bottom"/>
          </w:tcPr>
          <w:p>
            <w:pPr>
              <w:spacing w:after="0"/>
              <w:rPr>
                <w:sz w:val="18"/>
                <w:szCs w:val="18"/>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Value on the</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Observable</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Unobservable</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/Liabilities</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Inputs</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Inputs</w:t>
            </w:r>
          </w:p>
        </w:tc>
      </w:tr>
      <w:tr>
        <w:trPr>
          <w:trHeight w:val="234"/>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Sheet</w:t>
            </w:r>
          </w:p>
        </w:tc>
        <w:tc>
          <w:tcPr>
            <w:tcW w:w="14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As of June 30, 2013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 Bonds – corporate issuances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42,706,769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42,706,769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Short-term investments available for sale Bonds – corporate issuances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8,037,620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8,037,620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Common stock warrant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4,733,817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4,733,817</w:t>
            </w:r>
          </w:p>
        </w:tc>
      </w:tr>
      <w:tr>
        <w:trPr>
          <w:trHeight w:val="216"/>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As of December 31, 2012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warrant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4,283,932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4,283,932</w:t>
            </w:r>
          </w:p>
        </w:tc>
      </w:tr>
    </w:tbl>
    <w:p>
      <w:pPr>
        <w:spacing w:after="0" w:line="202"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There were no transfers of assets or liabilities between Level 1 and Level 2 and no transfers in or out of Level 3 during the six month period ended June 30, 2013.</w:t>
      </w:r>
    </w:p>
    <w:p>
      <w:pPr>
        <w:sectPr>
          <w:pgSz w:w="11900" w:h="16838" w:orient="portrait"/>
          <w:cols w:equalWidth="0" w:num="1">
            <w:col w:w="11420"/>
          </w:cols>
          <w:pgMar w:left="240" w:top="611"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Accrued liabilities at June 30, 2013 and December 31, 2012 include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Amounts due to contract research organizations and other 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710057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payroll and related benefits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710057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Accrued interest on notes payable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710057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0570" cy="146050"/>
                    </a:xfrm>
                    <a:prstGeom prst="rect">
                      <a:avLst/>
                    </a:prstGeom>
                    <a:noFill/>
                  </pic:spPr>
                </pic:pic>
              </a:graphicData>
            </a:graphic>
          </wp:anchor>
        </w:drawing>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r>
      <w:tr>
        <w:trPr>
          <w:trHeight w:val="195"/>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1,196,312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827,989</w:t>
            </w:r>
          </w:p>
        </w:tc>
        <w:tc>
          <w:tcPr>
            <w:tcW w:w="2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450,790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338,365</w:t>
            </w:r>
          </w:p>
        </w:tc>
      </w:tr>
      <w:tr>
        <w:trPr>
          <w:trHeight w:val="216"/>
        </w:trPr>
        <w:tc>
          <w:tcPr>
            <w:tcW w:w="22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56,400</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37,400</w:t>
            </w:r>
          </w:p>
        </w:tc>
      </w:tr>
      <w:tr>
        <w:trPr>
          <w:trHeight w:val="216"/>
        </w:trPr>
        <w:tc>
          <w:tcPr>
            <w:tcW w:w="22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46,120</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2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33,345</w:t>
            </w: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51,225</w:t>
            </w:r>
          </w:p>
        </w:tc>
      </w:tr>
      <w:tr>
        <w:trPr>
          <w:trHeight w:val="210"/>
        </w:trPr>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1,782,967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1,254,979</w:t>
            </w:r>
          </w:p>
        </w:tc>
        <w:tc>
          <w:tcPr>
            <w:tcW w:w="2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360" w:space="720"/>
            <w:col w:w="3340"/>
          </w:cols>
          <w:pgMar w:left="240" w:top="611" w:right="239" w:bottom="1440" w:gutter="0" w:footer="0" w:header="0"/>
          <w:type w:val="continuous"/>
        </w:sectPr>
      </w:pP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2012, the Company entered into a Loan and Security Agreement (the “Credit Agreement”) with Oxford Finance LLC (“Oxford”) and Horizon Technology Finance Corporation (“Horizon”). The Credit Agreement provides for a secured term loan of up to $10 million, with 50% of any loans to be funded by Oxford and 50% to be funded by Horizon. The aggregate loan amount may be advanced in two tranches of $5 million each. The first tranche (the “Term A Loan”) was made available to the Company on June 27, 2012 and the second tranche (the “Term B Loan”)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 therefore the second tranche was not drawn down.</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Term A Loan is scheduled to mature on October 15, 2015. The obligations under the Credit Agreement are secured by substantially all assets of the Company other than its intellectual property and certain other agreed-upon exclusions.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The Term A Loan bears interest at a fixed rate of 11.75%. However, for the period extending from inceptions through May 1, 2013 for the Term A Loan, the Company was required to make interest payments only. The Company was also obligated to pay other customary facility fees for a credit facility of this size and type.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contains customary covenants, including covenants that limit or restrict the Company’s ability to incur liens, incur indebtedness, make certain restricted payments, merge or consolidate and make dispositions of assets. Upon the occurrence of an event of default under the Credit Agreement, the lenders may cease making loans, terminate the Credit Agreement, declare all amounts outstanding to be immediately due and payable and foreclose on or liquidate the Company’s assets that comprise the lenders’ collateral. The Credit Agreement specifies a number of events of default (some of which are subject to applicable grace or cure periods), including, among other things, non-payment defaults, covenant defaults, a material adverse change in the Company’s business, cross-defaults to other materials indebtedness, bankruptcy and insolvency defaults and material judgment defaults. The Company is currently in compliance with all loan covenants.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fee in connection with the Credit Agreement, the Company issued warrants to Horizon and Oxford (the “Warrants”) to purchase the number of shares of the Company’s common stock equal to 3% of each loan amount divided by the exercise price, which was calculated as the average NASDAQ closing price of the Company’s common stock for the three days prior to the funding of the loan amount ($2.92 per share for the Term A Loan). This resulted in 51,370 warrant shares issued in connection with the Term A Loan. The Warrants issued in connection with the Term A Loan are immediately exercisable for cash or by net exercise and will expire seven years after their issuance, which is June 27, 2019.</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valued the Warrants using the Black-Scholes option pricing model and recorded $73,654 as deferred financing fees. In calculating the value of the warrants, the Company assumed a volatility rate of 74.3%, risk free interest rate of 1.10%, an expected life of 3.5 years, a stock price of $2.80 (closing price on date of the Warrant) and no expected forfeitures nor dividends.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Credit Agreement, the Company incurred cash and other expenses of $291,369 which were recorded as deferred financing fees. These deferred financing fees are being amortized as interest expense over the life of the loan. For the first six months of 2013, $63,120 in deferred financing fees was amortized as interest expense. Also, the Company paid $243,380 in interest expense on the Credit Agreement during this same period.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gridSpan w:val="2"/>
          </w:tcPr>
          <w:p>
            <w:pPr>
              <w:jc w:val="right"/>
              <w:ind w:right="3130"/>
              <w:spacing w:after="0"/>
              <w:rPr>
                <w:sz w:val="20"/>
                <w:szCs w:val="20"/>
                <w:color w:val="auto"/>
              </w:rPr>
            </w:pPr>
            <w:r>
              <w:rPr>
                <w:rFonts w:ascii="Arial" w:cs="Arial" w:eastAsia="Arial" w:hAnsi="Arial"/>
                <w:sz w:val="18"/>
                <w:szCs w:val="18"/>
                <w:color w:val="auto"/>
                <w:w w:val="91"/>
              </w:rPr>
              <w:t>Following is a schedule of future principal payments due on the Credit Agreement:</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Credit</w:t>
            </w:r>
          </w:p>
        </w:tc>
      </w:tr>
      <w:tr>
        <w:trPr>
          <w:trHeight w:val="234"/>
        </w:trPr>
        <w:tc>
          <w:tcPr>
            <w:tcW w:w="58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Agreement</w:t>
            </w:r>
          </w:p>
        </w:tc>
      </w:tr>
      <w:tr>
        <w:trPr>
          <w:trHeight w:val="210"/>
        </w:trPr>
        <w:tc>
          <w:tcPr>
            <w:tcW w:w="580" w:type="dxa"/>
            <w:vAlign w:val="bottom"/>
          </w:tcPr>
          <w:p>
            <w:pPr>
              <w:spacing w:after="0"/>
              <w:rPr>
                <w:sz w:val="18"/>
                <w:szCs w:val="18"/>
                <w:color w:val="auto"/>
              </w:rPr>
            </w:pPr>
          </w:p>
        </w:tc>
        <w:tc>
          <w:tcPr>
            <w:tcW w:w="8620" w:type="dxa"/>
            <w:vAlign w:val="bottom"/>
            <w:shd w:val="clear" w:color="auto" w:fill="CCEEFF"/>
          </w:tcPr>
          <w:p>
            <w:pPr>
              <w:jc w:val="right"/>
              <w:ind w:right="6470"/>
              <w:spacing w:after="0"/>
              <w:rPr>
                <w:sz w:val="20"/>
                <w:szCs w:val="20"/>
                <w:color w:val="auto"/>
              </w:rPr>
            </w:pPr>
            <w:r>
              <w:rPr>
                <w:rFonts w:ascii="Arial" w:cs="Arial" w:eastAsia="Arial" w:hAnsi="Arial"/>
                <w:sz w:val="18"/>
                <w:szCs w:val="18"/>
                <w:color w:val="auto"/>
                <w:w w:val="88"/>
              </w:rPr>
              <w:t>For the year ending June 30:</w:t>
            </w: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tcPr>
          <w:p>
            <w:pPr>
              <w:jc w:val="right"/>
              <w:ind w:right="8010"/>
              <w:spacing w:after="0"/>
              <w:rPr>
                <w:sz w:val="20"/>
                <w:szCs w:val="20"/>
                <w:color w:val="auto"/>
              </w:rPr>
            </w:pPr>
            <w:r>
              <w:rPr>
                <w:rFonts w:ascii="Arial" w:cs="Arial" w:eastAsia="Arial" w:hAnsi="Arial"/>
                <w:sz w:val="18"/>
                <w:szCs w:val="18"/>
                <w:color w:val="auto"/>
              </w:rPr>
              <w:t>2014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1,862,558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shd w:val="clear" w:color="auto" w:fill="CCEEFF"/>
          </w:tcPr>
          <w:p>
            <w:pPr>
              <w:jc w:val="right"/>
              <w:ind w:right="8010"/>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2,093,588</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tcPr>
          <w:p>
            <w:pPr>
              <w:jc w:val="right"/>
              <w:ind w:right="80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754,056</w:t>
            </w:r>
          </w:p>
        </w:tc>
      </w:tr>
      <w:tr>
        <w:trPr>
          <w:trHeight w:val="250"/>
        </w:trPr>
        <w:tc>
          <w:tcPr>
            <w:tcW w:w="580" w:type="dxa"/>
            <w:vAlign w:val="bottom"/>
          </w:tcPr>
          <w:p>
            <w:pPr>
              <w:spacing w:after="0"/>
              <w:rPr>
                <w:sz w:val="21"/>
                <w:szCs w:val="21"/>
                <w:color w:val="auto"/>
              </w:rPr>
            </w:pPr>
          </w:p>
        </w:tc>
        <w:tc>
          <w:tcPr>
            <w:tcW w:w="8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4,710,202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November 2011, the Company financed $144,448 of lab equipment through a capital lease. This lease obligation has thirty monthly payments of $5,651 through February 2014. During the first six months of 2013, the Company made principal and interest payments totaling $33,909. The outstanding lease obligation is $42,212 as of June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six months of 2013, we received approximately $0.4 million of gross proceeds from the exercise of warrants and stock options to purchase approximately 137,032 shares of the Company’s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sold and issued an aggregate of 5,381,670 shares of common stock under the ATM Agreement, receiving approximately $6.8 million in net proceeds.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jc w:val="both"/>
        <w:ind w:right="100"/>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ATM Agreement will terminate upon the earlier of (i) the sale of ATM Shares under the ATM Agreement having an aggregate offering price of $25.0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preferred stock offering in February 2013 discussed below, the Company agreed to not sell any ATM Shares for a period of one year from February 26, 2013. In connection with the common stock offering below, the Company agreed to not sell any ATM Shares for an extended period of one year from June 3,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February 2013 Preferred Stock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12,072,438 shares of common stock, and the warrants are exercisable to purchase an aggregate of up to 6,036,219 shares of common stock. Each warrant has an exercise price of $1.18 per share, equal to the closing bid price of common stock on February 21, 2013. The warrants are immediately exercisable and expire five years after its issuance.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issuance, we estimated the fair value of the warrants issued in the February 2013 Preferred Stock Offering to be approximately $5.4 million using the Black-Scholes pricing model. Also, upon issuance, we recognized approximately $4.6 million as a one-time, non-cash deemed dividend related to the beneficial conversion feature connected to the preferred stock in the Preferred Stock Offering.</w:t>
      </w:r>
    </w:p>
    <w:p>
      <w:pPr>
        <w:spacing w:after="0" w:line="181" w:lineRule="exact"/>
        <w:rPr>
          <w:sz w:val="20"/>
          <w:szCs w:val="20"/>
          <w:color w:val="auto"/>
        </w:rPr>
      </w:pPr>
    </w:p>
    <w:p>
      <w:pPr>
        <w:ind w:left="1140" w:right="3460"/>
        <w:spacing w:after="0" w:line="277" w:lineRule="auto"/>
        <w:rPr>
          <w:sz w:val="20"/>
          <w:szCs w:val="20"/>
          <w:color w:val="auto"/>
        </w:rPr>
      </w:pPr>
      <w:r>
        <w:rPr>
          <w:rFonts w:ascii="Arial" w:cs="Arial" w:eastAsia="Arial" w:hAnsi="Arial"/>
          <w:sz w:val="18"/>
          <w:szCs w:val="18"/>
          <w:color w:val="auto"/>
        </w:rPr>
        <w:t>Assumptions used in the valuation of the warrants issued in the February 2013 Preferred Stock Offering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-19050</wp:posOffset>
            </wp:positionV>
            <wp:extent cx="46050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Expected volatility</w:t>
            </w:r>
          </w:p>
        </w:tc>
        <w:tc>
          <w:tcPr>
            <w:tcW w:w="4080" w:type="dxa"/>
            <w:vAlign w:val="bottom"/>
          </w:tcPr>
          <w:p>
            <w:pPr>
              <w:jc w:val="right"/>
              <w:ind w:right="30"/>
              <w:spacing w:after="0"/>
              <w:rPr>
                <w:sz w:val="20"/>
                <w:szCs w:val="20"/>
                <w:color w:val="auto"/>
              </w:rPr>
            </w:pPr>
            <w:r>
              <w:rPr>
                <w:rFonts w:ascii="Arial" w:cs="Arial" w:eastAsia="Arial" w:hAnsi="Arial"/>
                <w:sz w:val="18"/>
                <w:szCs w:val="18"/>
                <w:color w:val="auto"/>
              </w:rPr>
              <w:t>102.23%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4080" w:type="dxa"/>
            <w:vAlign w:val="bottom"/>
          </w:tcPr>
          <w:p>
            <w:pPr>
              <w:jc w:val="right"/>
              <w:ind w:right="3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2013, all 12,072,438 shares of common stock in the aggregate were issued upon conversion of all 15,000.00422 shares of the Series A 0%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Common Stock Offering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30, 2013, the Company entered into a Securities Purchase Agreement with certain institutional investors, pursuant to which the Company sold, in a registered offering, an aggregate of 6,264,492 shares of its common stock for an aggregate purchase price of approximately $9.8 million (the “Common Stock Offering”). The closing of the Common Stock Offering occurred on June 3, 2013. The issuance of common stock in the Common Stock Offering was made pursuant to the Company’s previously filed and effective Registration Statement on Form S-3 (File No. 333-183286), the base prospectus dated September 14, 2012 filed as part of such Registration Statement, and the prospectus supplement filed with the Securities and Exchange Commission on June 3, 2013. The Securities Purchase Agreement also contained representations, warranties, indemnification and other provisions customary for transactions of this nature.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Prior to the closing of the Common Stock Offering, there were an insufficient number of authorized shares to complete the transaction. The Common Stock Offering institutional investors also held warrants to purchase previously reserved and registered shares of common stock of the Company which were issued in conjunction with previous offerings. Concurrent with the closing of the Common Stock Offering, the institutional investors agreed to waive their rights to exercise these warrants to purchase 6,294,674 shares of common stock of the Company (the “Waived Warrants”) until the Company has obtained stockholders’ approval to increase the number of its authorized shares of common stock in conjunction with the proposed reverse stock split of its outstanding shares of common stock. At the Company’s 2013 Annual Meeting of Stockholders held on July 19, 2013, the Company’s stockholders voted to approve the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Prior to the closing of the Common Stock Offering, the warrants described above were originally recorded as equity at the fair value on the date of issuance. In accordance with ASC 815-40, </w:t>
      </w:r>
      <w:r>
        <w:rPr>
          <w:rFonts w:ascii="Arial" w:cs="Arial" w:eastAsia="Arial" w:hAnsi="Arial"/>
          <w:sz w:val="17"/>
          <w:szCs w:val="17"/>
          <w:i w:val="1"/>
          <w:iCs w:val="1"/>
          <w:color w:val="auto"/>
        </w:rPr>
        <w:t>Derivative Instruments and Hedging - Contracts in Entity’s Own Equity,</w:t>
      </w:r>
      <w:r>
        <w:rPr>
          <w:rFonts w:ascii="Arial" w:cs="Arial" w:eastAsia="Arial" w:hAnsi="Arial"/>
          <w:sz w:val="17"/>
          <w:szCs w:val="17"/>
          <w:color w:val="auto"/>
        </w:rPr>
        <w:t xml:space="preserve"> the Waived Warrants are required to be liability classified immediately after the closing of the Common Stock Offering on June 3, 2013 because there were an insufficient number of common shares authorized to satisfy the terms of the warrants. Therefore, the Company has reclassified the fair value the Waived Warrants totaling approximately $9.1 million from equity to a liability as of June 3, 2013. The Waived Warrants are required to be recorded at fair value at each balance sheet date with changes in fair value recorded in earnings (see Note 11). Following is a summary list of the Waived Warrants: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Shares of common stock</w:t>
            </w:r>
          </w:p>
        </w:tc>
        <w:tc>
          <w:tcPr>
            <w:tcW w:w="2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Per Share</w:t>
            </w:r>
          </w:p>
        </w:tc>
      </w:tr>
      <w:tr>
        <w:trPr>
          <w:trHeight w:val="216"/>
        </w:trPr>
        <w:tc>
          <w:tcPr>
            <w:tcW w:w="20" w:type="dxa"/>
            <w:vAlign w:val="bottom"/>
          </w:tcPr>
          <w:p>
            <w:pPr>
              <w:spacing w:after="0"/>
              <w:rPr>
                <w:sz w:val="18"/>
                <w:szCs w:val="18"/>
                <w:color w:val="auto"/>
              </w:rPr>
            </w:pPr>
          </w:p>
        </w:tc>
        <w:tc>
          <w:tcPr>
            <w:tcW w:w="32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associated with the</w:t>
            </w:r>
          </w:p>
        </w:tc>
        <w:tc>
          <w:tcPr>
            <w:tcW w:w="26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Expiration Date of</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Strike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Fair Value on</w:t>
            </w:r>
          </w:p>
        </w:tc>
      </w:tr>
      <w:tr>
        <w:trPr>
          <w:trHeight w:val="234"/>
        </w:trPr>
        <w:tc>
          <w:tcPr>
            <w:tcW w:w="20" w:type="dxa"/>
            <w:vAlign w:val="bottom"/>
          </w:tcPr>
          <w:p>
            <w:pPr>
              <w:spacing w:after="0"/>
              <w:rPr>
                <w:sz w:val="20"/>
                <w:szCs w:val="20"/>
                <w:color w:val="auto"/>
              </w:rPr>
            </w:pPr>
          </w:p>
        </w:tc>
        <w:tc>
          <w:tcPr>
            <w:tcW w:w="3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Waived Warrants</w:t>
            </w:r>
          </w:p>
        </w:tc>
        <w:tc>
          <w:tcPr>
            <w:tcW w:w="26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3"/>
              </w:rPr>
              <w:t>Waived Warrants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w:t>
            </w: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June 3, 2013</w:t>
            </w: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5,955,736</w:t>
            </w:r>
          </w:p>
        </w:tc>
        <w:tc>
          <w:tcPr>
            <w:tcW w:w="26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2/26/2018</w:t>
            </w:r>
          </w:p>
        </w:tc>
        <w:tc>
          <w:tcPr>
            <w:tcW w:w="13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1.4670</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140,593</w:t>
            </w:r>
          </w:p>
        </w:tc>
        <w:tc>
          <w:tcPr>
            <w:tcW w:w="2620" w:type="dxa"/>
            <w:vAlign w:val="bottom"/>
          </w:tcPr>
          <w:p>
            <w:pPr>
              <w:jc w:val="center"/>
              <w:ind w:left="210"/>
              <w:spacing w:after="0"/>
              <w:rPr>
                <w:sz w:val="20"/>
                <w:szCs w:val="20"/>
                <w:color w:val="auto"/>
              </w:rPr>
            </w:pPr>
            <w:r>
              <w:rPr>
                <w:rFonts w:ascii="Arial" w:cs="Arial" w:eastAsia="Arial" w:hAnsi="Arial"/>
                <w:sz w:val="18"/>
                <w:szCs w:val="18"/>
                <w:color w:val="auto"/>
                <w:w w:val="89"/>
              </w:rPr>
              <w:t>7/25/2016</w:t>
            </w:r>
          </w:p>
        </w:tc>
        <w:tc>
          <w:tcPr>
            <w:tcW w:w="138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4.22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0.9791</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56,827</w:t>
            </w:r>
          </w:p>
        </w:tc>
        <w:tc>
          <w:tcPr>
            <w:tcW w:w="26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1"/>
              </w:rPr>
              <w:t>7/6/2016</w:t>
            </w:r>
          </w:p>
        </w:tc>
        <w:tc>
          <w:tcPr>
            <w:tcW w:w="13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141,518</w:t>
            </w:r>
          </w:p>
        </w:tc>
        <w:tc>
          <w:tcPr>
            <w:tcW w:w="2620" w:type="dxa"/>
            <w:vAlign w:val="bottom"/>
          </w:tcPr>
          <w:p>
            <w:pPr>
              <w:jc w:val="center"/>
              <w:ind w:left="210"/>
              <w:spacing w:after="0"/>
              <w:rPr>
                <w:sz w:val="20"/>
                <w:szCs w:val="20"/>
                <w:color w:val="auto"/>
              </w:rPr>
            </w:pPr>
            <w:r>
              <w:rPr>
                <w:rFonts w:ascii="Arial" w:cs="Arial" w:eastAsia="Arial" w:hAnsi="Arial"/>
                <w:sz w:val="18"/>
                <w:szCs w:val="18"/>
                <w:color w:val="auto"/>
                <w:w w:val="88"/>
              </w:rPr>
              <w:t>11/25/2017</w:t>
            </w:r>
          </w:p>
        </w:tc>
        <w:tc>
          <w:tcPr>
            <w:tcW w:w="138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2.77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1.2353</w:t>
            </w:r>
          </w:p>
        </w:tc>
      </w:tr>
    </w:tbl>
    <w:p>
      <w:pPr>
        <w:spacing w:after="0" w:line="187" w:lineRule="exact"/>
        <w:rPr>
          <w:sz w:val="20"/>
          <w:szCs w:val="20"/>
          <w:color w:val="auto"/>
        </w:rPr>
      </w:pPr>
    </w:p>
    <w:p>
      <w:pPr>
        <w:ind w:left="1140" w:right="2340"/>
        <w:spacing w:after="0" w:line="277" w:lineRule="auto"/>
        <w:rPr>
          <w:sz w:val="20"/>
          <w:szCs w:val="20"/>
          <w:color w:val="auto"/>
        </w:rPr>
      </w:pPr>
      <w:r>
        <w:rPr>
          <w:rFonts w:ascii="Arial" w:cs="Arial" w:eastAsia="Arial" w:hAnsi="Arial"/>
          <w:sz w:val="18"/>
          <w:szCs w:val="18"/>
          <w:color w:val="auto"/>
        </w:rPr>
        <w:t>Assumptions used in the valuation of the Waived Warrants associated with the Common Stock Offering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-19050</wp:posOffset>
            </wp:positionV>
            <wp:extent cx="5625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spacing w:after="0" w:line="178"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Risk-free interest rate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Expected volatility</w:t>
            </w:r>
          </w:p>
        </w:tc>
        <w:tc>
          <w:tcPr>
            <w:tcW w:w="3300" w:type="dxa"/>
            <w:vAlign w:val="bottom"/>
          </w:tcPr>
          <w:p>
            <w:pPr>
              <w:jc w:val="right"/>
              <w:spacing w:after="0"/>
              <w:rPr>
                <w:sz w:val="20"/>
                <w:szCs w:val="20"/>
                <w:color w:val="auto"/>
              </w:rPr>
            </w:pPr>
            <w:r>
              <w:rPr>
                <w:rFonts w:ascii="Arial" w:cs="Arial" w:eastAsia="Arial" w:hAnsi="Arial"/>
                <w:sz w:val="18"/>
                <w:szCs w:val="18"/>
                <w:color w:val="auto"/>
              </w:rPr>
              <w:t>102.86</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87"/>
              </w:rPr>
              <w:t>110.88%</w:t>
            </w: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life (in years)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w:t>
            </w: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Expected forfeiture rate</w:t>
            </w:r>
          </w:p>
        </w:tc>
        <w:tc>
          <w:tcPr>
            <w:tcW w:w="3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dividend yield</w:t>
            </w:r>
          </w:p>
        </w:tc>
        <w:tc>
          <w:tcPr>
            <w:tcW w:w="3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2011 Preferred Stock Offering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Company is currently reassessing the application of ASC 815-40, </w:t>
      </w:r>
      <w:r>
        <w:rPr>
          <w:rFonts w:ascii="Arial" w:cs="Arial" w:eastAsia="Arial" w:hAnsi="Arial"/>
          <w:sz w:val="16"/>
          <w:szCs w:val="16"/>
          <w:i w:val="1"/>
          <w:iCs w:val="1"/>
          <w:color w:val="auto"/>
        </w:rPr>
        <w:t>Derivative Instruments and Hedging - Contracts in Entity’s Own Equity</w:t>
      </w:r>
      <w:r>
        <w:rPr>
          <w:rFonts w:ascii="Arial" w:cs="Arial" w:eastAsia="Arial" w:hAnsi="Arial"/>
          <w:sz w:val="16"/>
          <w:szCs w:val="16"/>
          <w:color w:val="auto"/>
        </w:rPr>
        <w:t xml:space="preserve"> as it relates to the 8% Series A Redeemable Convertible Preferred Stock Offering completed in January 2011 (the January 2011 Preferred Offering). The Company received gross proceeds from the January 2011 Preferred Offering of approximately $5.1 million in which it sold 5,000 shares of 8% redeemable convertible preferred stock with a stated value of $1,000 per share, each share convertible into 416.6667 shares of common stock, and warrants to purchase up to approximately 2.1 million shares of common stock. All 5,000 shares of preferred stock sold in the January 2011 Preferred Offering were converted into the stated number of common stock shares as of August 2011. ASC 815-40 requires the Company to value the preferred stock and common stock warrants, any resulting beneficial conversion feature(s) resulting from the valuation of these securities and to determine and record the value of each of these securities or conversion feature as debt or equity based on the interpretation and application of ASC 815-40. In a draft report to the Company’s independent registered public accounting firm, the Public Company Accounting Oversight Board has indicated that it believes the Company has not accounted for the January 2011 Preferred Offering</w:t>
      </w:r>
    </w:p>
    <w:p>
      <w:pPr>
        <w:spacing w:after="0" w:line="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properly. The Company believes it had properly accounted for the transaction in all material respects but is currently reviewing the accounting treatment in light of the report. The Company believes that any resulting adjustment, reclassification, or restatement of our financial statements, if necessary, would be isolated to 2011, would be non-cash in nature, would have no effect on the cash proceeds received or the stock or warrants issued in the Preferred Offering, would result in no additional cash interest or dividends being paid, and would not have any financial impact on the Company’s 2012 or 2013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2007, the Company adopted the Celsion Corporation 2007 Stock Incentive Plan (the “2007 Plan”) under which 1,000,000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and June 7, 2012, the stockholders approved amendments to the Plan. The only material difference between the original Plan and the amended Plan was the number of shares of common stock available for issuance under the amended Plan which was increased by 1,000,000 to a total of 2,000,000 shares in 2010 and by 2,250,000 to a total of 4,250,000 shares in 2012.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94" w:gutter="0" w:footer="0" w:header="0"/>
        </w:sectPr>
      </w:pPr>
    </w:p>
    <w:bookmarkStart w:id="14" w:name="page15"/>
    <w:bookmarkEnd w:id="14"/>
    <w:p>
      <w:pPr>
        <w:jc w:val="both"/>
        <w:ind w:right="40"/>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666,667 shares were reserved for future issuance under each of these plans. As these plans have been superseded by the 2007 Plan, any options previously granted which expire, forfeit, or cancel under these plans will be rolled into the 2007 Plan.</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Six Months Ended June 30,</w:t>
            </w: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2.97%</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right"/>
              <w:spacing w:after="0"/>
              <w:rPr>
                <w:sz w:val="20"/>
                <w:szCs w:val="20"/>
                <w:color w:val="auto"/>
              </w:rPr>
            </w:pPr>
            <w:r>
              <w:rPr>
                <w:rFonts w:ascii="Arial" w:cs="Arial" w:eastAsia="Arial" w:hAnsi="Arial"/>
                <w:sz w:val="18"/>
                <w:szCs w:val="18"/>
                <w:color w:val="auto"/>
              </w:rPr>
              <w:t>83.41</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97.83%</w:t>
            </w:r>
          </w:p>
        </w:tc>
        <w:tc>
          <w:tcPr>
            <w:tcW w:w="1060" w:type="dxa"/>
            <w:vAlign w:val="bottom"/>
          </w:tcPr>
          <w:p>
            <w:pPr>
              <w:jc w:val="right"/>
              <w:spacing w:after="0"/>
              <w:rPr>
                <w:sz w:val="20"/>
                <w:szCs w:val="20"/>
                <w:color w:val="auto"/>
              </w:rPr>
            </w:pPr>
            <w:r>
              <w:rPr>
                <w:rFonts w:ascii="Arial" w:cs="Arial" w:eastAsia="Arial" w:hAnsi="Arial"/>
                <w:sz w:val="18"/>
                <w:szCs w:val="18"/>
                <w:color w:val="auto"/>
              </w:rPr>
              <w:t>80.8</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82.3%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6.30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6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2013 and 2012 grants was generated using the simplified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and restricted stock awards for the three month period ended June 30, 2013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Stock Options</w:t>
            </w:r>
          </w:p>
        </w:tc>
        <w:tc>
          <w:tcPr>
            <w:tcW w:w="100" w:type="dxa"/>
            <w:vAlign w:val="bottom"/>
          </w:tcPr>
          <w:p>
            <w:pPr>
              <w:spacing w:after="0"/>
              <w:rPr>
                <w:sz w:val="20"/>
                <w:szCs w:val="20"/>
                <w:color w:val="auto"/>
              </w:rPr>
            </w:pPr>
          </w:p>
        </w:tc>
        <w:tc>
          <w:tcPr>
            <w:tcW w:w="25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Restricted Stock Awards</w:t>
            </w: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Weighted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Non-vested</w:t>
            </w: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Terms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Options</w:t>
            </w: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Stock</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Equity Awards</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2"/>
              </w:rPr>
              <w:t>Outstanding</w:t>
            </w:r>
          </w:p>
        </w:tc>
        <w:tc>
          <w:tcPr>
            <w:tcW w:w="12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years)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December 31, 2012</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3,264,880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Equity awards granted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845,000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Equity awards forfeited, cancelled or expired</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(36,667)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June 30, 2013</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4,017,281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13,667</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600" w:type="dxa"/>
            <w:vAlign w:val="bottom"/>
          </w:tcPr>
          <w:p>
            <w:pPr>
              <w:spacing w:after="0" w:line="182" w:lineRule="exact"/>
              <w:rPr>
                <w:sz w:val="20"/>
                <w:szCs w:val="20"/>
                <w:color w:val="auto"/>
              </w:rPr>
            </w:pPr>
            <w:r>
              <w:rPr>
                <w:rFonts w:ascii="Arial" w:cs="Arial" w:eastAsia="Arial" w:hAnsi="Arial"/>
                <w:sz w:val="18"/>
                <w:szCs w:val="18"/>
                <w:color w:val="auto"/>
              </w:rPr>
              <w:t>Aggregate intrinsic value of outstanding awards June 30,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25,600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13,940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600" w:type="dxa"/>
            <w:vAlign w:val="bottom"/>
          </w:tcPr>
          <w:p>
            <w:pPr>
              <w:spacing w:after="0" w:line="190" w:lineRule="exact"/>
              <w:rPr>
                <w:sz w:val="20"/>
                <w:szCs w:val="20"/>
                <w:color w:val="auto"/>
              </w:rPr>
            </w:pPr>
            <w:r>
              <w:rPr>
                <w:rFonts w:ascii="Arial" w:cs="Arial" w:eastAsia="Arial" w:hAnsi="Arial"/>
                <w:sz w:val="18"/>
                <w:szCs w:val="18"/>
                <w:color w:val="auto"/>
              </w:rPr>
              <w:t>2013</w:t>
            </w:r>
          </w:p>
        </w:tc>
        <w:tc>
          <w:tcPr>
            <w:tcW w:w="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Equity awards exercisable at June 30, 2013</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2,662,879</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600" w:type="dxa"/>
            <w:vAlign w:val="bottom"/>
          </w:tcPr>
          <w:p>
            <w:pPr>
              <w:spacing w:after="0" w:line="182" w:lineRule="exact"/>
              <w:rPr>
                <w:sz w:val="20"/>
                <w:szCs w:val="20"/>
                <w:color w:val="auto"/>
              </w:rPr>
            </w:pPr>
            <w:r>
              <w:rPr>
                <w:rFonts w:ascii="Arial" w:cs="Arial" w:eastAsia="Arial" w:hAnsi="Arial"/>
                <w:sz w:val="18"/>
                <w:szCs w:val="18"/>
                <w:color w:val="auto"/>
                <w:w w:val="97"/>
              </w:rPr>
              <w:t>Aggregate intrinsic value of awards exercisable at June 30,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8,440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4600" w:type="dxa"/>
            <w:vAlign w:val="bottom"/>
          </w:tcPr>
          <w:p>
            <w:pPr>
              <w:spacing w:after="0" w:line="190" w:lineRule="exact"/>
              <w:rPr>
                <w:sz w:val="20"/>
                <w:szCs w:val="20"/>
                <w:color w:val="auto"/>
              </w:rPr>
            </w:pPr>
            <w:r>
              <w:rPr>
                <w:rFonts w:ascii="Arial" w:cs="Arial" w:eastAsia="Arial" w:hAnsi="Arial"/>
                <w:sz w:val="18"/>
                <w:szCs w:val="18"/>
                <w:color w:val="auto"/>
              </w:rPr>
              <w:t>2013</w:t>
            </w:r>
          </w:p>
        </w:tc>
        <w:tc>
          <w:tcPr>
            <w:tcW w:w="1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54" w:right="19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Total compensation cost related to employee stock options and restricted stock awards amounted to $471,481 and $269,756 for the three months ended June 30, 2013 and 2012, respectively. Total compensation cost related to employee stock options and restricted stock awards amounted to $734,673 and $557,021 for the six months ended June 30, 2013 and 2012, respectively. No compensation cost related to share-based payments arrangements was capitalized as part of the cost of any asset as of June 30, 2013 and 2012.</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2013, there was $1.6 million of total unrecognized compensation cost related to non-vested share-based compensation arrangements. That cost is expected to be recognized over a weighted-average period of 1.7 years. The weighted average grant-date fair value was $0.98 and $1.48 per share for the options granted during the six months ended June 30, 2013 and 2012, respectively. The weighted average grant-date fair value was $2.09 for the restricted stock awards granted during the six months ended June 30, 2012. No restricted stock awards were granted during the first six months of 2013.</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six months of 2013, the Company received gross proceeds of approximately $0.2 million from the exercise of options to purchase 55,932 shares of common stock. Collectively, for all the stock option plans as of June 30, 2013, there were a total of 5,380,756 shares reserved, which were comprised of 4,030,948 equity awards granted and 1,349,808 equity awards available for future issuance.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Note 11. Warrants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940" w:type="dxa"/>
            <w:vAlign w:val="bottom"/>
            <w:gridSpan w:val="3"/>
          </w:tcPr>
          <w:p>
            <w:pPr>
              <w:spacing w:after="0"/>
              <w:rPr>
                <w:sz w:val="20"/>
                <w:szCs w:val="20"/>
                <w:color w:val="auto"/>
              </w:rPr>
            </w:pPr>
            <w:r>
              <w:rPr>
                <w:rFonts w:ascii="Arial" w:cs="Arial" w:eastAsia="Arial" w:hAnsi="Arial"/>
                <w:sz w:val="18"/>
                <w:szCs w:val="18"/>
                <w:color w:val="auto"/>
              </w:rPr>
              <w:t>Common Stock Warrants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20" w:type="dxa"/>
            <w:vAlign w:val="bottom"/>
            <w:gridSpan w:val="2"/>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940" w:type="dxa"/>
            <w:vAlign w:val="bottom"/>
            <w:gridSpan w:val="3"/>
          </w:tcPr>
          <w:p>
            <w:pPr>
              <w:spacing w:after="0"/>
              <w:rPr>
                <w:sz w:val="20"/>
                <w:szCs w:val="20"/>
                <w:color w:val="auto"/>
              </w:rPr>
            </w:pPr>
            <w:r>
              <w:rPr>
                <w:rFonts w:ascii="Arial" w:cs="Arial" w:eastAsia="Arial" w:hAnsi="Arial"/>
                <w:sz w:val="18"/>
                <w:szCs w:val="18"/>
                <w:color w:val="auto"/>
              </w:rPr>
              <w:t>Following is a summary of all warrant activity for the first six months of 2013: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Average Exercise</w:t>
            </w:r>
          </w:p>
        </w:tc>
      </w:tr>
      <w:tr>
        <w:trPr>
          <w:trHeight w:val="234"/>
        </w:trPr>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120" w:type="dxa"/>
            <w:vAlign w:val="bottom"/>
          </w:tcPr>
          <w:p>
            <w:pPr>
              <w:ind w:left="1840"/>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20"/>
                <w:szCs w:val="20"/>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Warrants Issued</w:t>
            </w:r>
          </w:p>
        </w:tc>
        <w:tc>
          <w:tcPr>
            <w:tcW w:w="22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120" w:type="dxa"/>
            <w:vAlign w:val="bottom"/>
          </w:tcPr>
          <w:p>
            <w:pPr>
              <w:spacing w:after="0"/>
              <w:rPr>
                <w:sz w:val="18"/>
                <w:szCs w:val="18"/>
                <w:color w:val="auto"/>
              </w:rPr>
            </w:pPr>
          </w:p>
        </w:tc>
        <w:tc>
          <w:tcPr>
            <w:tcW w:w="7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Warrants outstanding at December 31, 2012</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7,863,653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Warrants granted in connection with the Preferred Stock Offering, as more fully described in Note 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6,036,219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exercised for common stock</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10"/>
        </w:trPr>
        <w:tc>
          <w:tcPr>
            <w:tcW w:w="1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r>
      <w:tr>
        <w:trPr>
          <w:trHeight w:val="256"/>
        </w:trPr>
        <w:tc>
          <w:tcPr>
            <w:tcW w:w="120" w:type="dxa"/>
            <w:vAlign w:val="bottom"/>
          </w:tcPr>
          <w:p>
            <w:pPr>
              <w:spacing w:after="0"/>
              <w:rPr>
                <w:sz w:val="22"/>
                <w:szCs w:val="22"/>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June 30, 2013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13,828,622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197"/>
        </w:trPr>
        <w:tc>
          <w:tcPr>
            <w:tcW w:w="120" w:type="dxa"/>
            <w:vAlign w:val="bottom"/>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6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120" w:type="dxa"/>
            <w:vAlign w:val="bottom"/>
          </w:tcPr>
          <w:p>
            <w:pPr>
              <w:spacing w:after="0"/>
              <w:rPr>
                <w:sz w:val="22"/>
                <w:szCs w:val="22"/>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June 30, 2013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97"/>
        </w:trPr>
        <w:tc>
          <w:tcPr>
            <w:tcW w:w="120" w:type="dxa"/>
            <w:vAlign w:val="bottom"/>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6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120" w:type="dxa"/>
            <w:vAlign w:val="bottom"/>
          </w:tcPr>
          <w:p>
            <w:pPr>
              <w:spacing w:after="0"/>
              <w:rPr>
                <w:sz w:val="20"/>
                <w:szCs w:val="20"/>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(in years)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six months of 2013, the Company received gross proceeds of approximately $0.2 million from the exercise of warrants to purchase 71,250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Warrant Liability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September 2009, the Company closed a registered direct offering with a select group of institutional investors that raised gross proceeds of $7.1 million and net proceeds of $6.3 million. In connection with this registered direct offering, the Company issued 2,018,153 shares of its common stock and warrants to purchase 1,009,076 shares of common stock. The warrants have an exercise price of $5.24 per share and are exercisable at any time on or after the six month anniversary of the date of issuance and on or prior to 66 months after the date of issuance. Under the terms of the warrants, upon certain transactions, including a merger, tender offer or sale of all or substantially all of the assets of the Company, each warrant holder may elect to receive a cash payment in exchange for the warrant, in an amount determined by application of the Black-Scholes option valuation model. Accordingly, pursuant to ASC 815.40, </w:t>
      </w:r>
      <w:r>
        <w:rPr>
          <w:rFonts w:ascii="Arial" w:cs="Arial" w:eastAsia="Arial" w:hAnsi="Arial"/>
          <w:sz w:val="17"/>
          <w:szCs w:val="17"/>
          <w:i w:val="1"/>
          <w:iCs w:val="1"/>
          <w:color w:val="auto"/>
        </w:rPr>
        <w:t xml:space="preserve">Derivative Instruments and Hedging - Contracts in Entity’s Own Equity, </w:t>
      </w:r>
      <w:r>
        <w:rPr>
          <w:rFonts w:ascii="Arial" w:cs="Arial" w:eastAsia="Arial" w:hAnsi="Arial"/>
          <w:sz w:val="17"/>
          <w:szCs w:val="17"/>
          <w:color w:val="auto"/>
        </w:rPr>
        <w:t>the warrants are recorded as a liability and then marked to market each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Statement of Operations in other income or expense. At the end of each subsequent quarter, the Company will revalue the fair value of the warrants and the change in fair value will be recorded as a change to the warrant liability and the difference will be recorded through the Statement of Operations in other income or expense.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color w:val="auto"/>
        </w:rPr>
        <w:t xml:space="preserve">As more fully described in Note 9, concurrent with the closing of the Common Stock Offering, the institutional investors agreed to waive their rights to exercise the Waived Warrants to purchase 6,294,674 shares of common stock of the Company until the Company has obtained stockholders’ approval of increasing the number of its authorized shares of common stock in conjunction with the proposed reverse stock split of its outstanding shares of common stock. In accordance with ASC 815-40, </w:t>
      </w:r>
      <w:r>
        <w:rPr>
          <w:rFonts w:ascii="Arial" w:cs="Arial" w:eastAsia="Arial" w:hAnsi="Arial"/>
          <w:sz w:val="17"/>
          <w:szCs w:val="17"/>
          <w:i w:val="1"/>
          <w:iCs w:val="1"/>
          <w:color w:val="auto"/>
        </w:rPr>
        <w:t>Derivative Instruments and Hedging - Contracts in Entity’s Own Equity,</w:t>
      </w:r>
      <w:r>
        <w:rPr>
          <w:rFonts w:ascii="Arial" w:cs="Arial" w:eastAsia="Arial" w:hAnsi="Arial"/>
          <w:sz w:val="17"/>
          <w:szCs w:val="17"/>
          <w:color w:val="auto"/>
        </w:rPr>
        <w:t xml:space="preserve"> the Waived Warrants are required to be liability classified immediately after the closing of the Common Stock Offering on June 3, 2013 because there were an insufficient number of common shares authorized to satisfy the terms of the Waived Warrants if they were exercised. Therefore, the Company has reclassified the fair value of the Waived Warrants totaling approximately $9.1 million from equity to a liability as of June 3, 2013. The Waived Warrants are required to be recorded at fair value at each balance sheet date with changes in fair value recorded in earnings.</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 of the warrants at June 30, 2013 and December 31, 2012 was $4,733,817 and $4,283,932, respectively, calculated using the Black-Scholes option-pricing model with the following ranges of assumptions: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420" w:type="dxa"/>
            <w:vAlign w:val="bottom"/>
          </w:tcPr>
          <w:p>
            <w:pPr>
              <w:spacing w:after="0"/>
              <w:rPr>
                <w:sz w:val="20"/>
                <w:szCs w:val="20"/>
                <w:color w:val="auto"/>
              </w:rPr>
            </w:pPr>
          </w:p>
        </w:tc>
        <w:tc>
          <w:tcPr>
            <w:tcW w:w="13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w w:val="88"/>
              </w:rPr>
              <w:t>June 30, 2013</w:t>
            </w:r>
          </w:p>
        </w:tc>
        <w:tc>
          <w:tcPr>
            <w:tcW w:w="4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tcPr>
          <w:p>
            <w:pPr>
              <w:jc w:val="right"/>
              <w:spacing w:after="0"/>
              <w:rPr>
                <w:sz w:val="20"/>
                <w:szCs w:val="20"/>
                <w:color w:val="auto"/>
              </w:rPr>
            </w:pPr>
            <w:r>
              <w:rPr>
                <w:rFonts w:ascii="Arial" w:cs="Arial" w:eastAsia="Arial" w:hAnsi="Arial"/>
                <w:sz w:val="18"/>
                <w:szCs w:val="18"/>
                <w:color w:val="auto"/>
              </w:rPr>
              <w:t>103.4</w:t>
            </w:r>
          </w:p>
        </w:tc>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147.3%</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740" w:type="dxa"/>
            <w:vAlign w:val="bottom"/>
          </w:tcPr>
          <w:p>
            <w:pPr>
              <w:spacing w:after="0"/>
              <w:rPr>
                <w:sz w:val="18"/>
                <w:szCs w:val="18"/>
                <w:color w:val="auto"/>
              </w:rPr>
            </w:pPr>
          </w:p>
        </w:tc>
        <w:tc>
          <w:tcPr>
            <w:tcW w:w="640" w:type="dxa"/>
            <w:vAlign w:val="bottom"/>
          </w:tcPr>
          <w:p>
            <w:pPr>
              <w:jc w:val="center"/>
              <w:ind w:right="130"/>
              <w:spacing w:after="0"/>
              <w:rPr>
                <w:sz w:val="20"/>
                <w:szCs w:val="20"/>
                <w:color w:val="auto"/>
              </w:rPr>
            </w:pPr>
            <w:r>
              <w:rPr>
                <w:rFonts w:ascii="Arial" w:cs="Arial" w:eastAsia="Arial" w:hAnsi="Arial"/>
                <w:sz w:val="18"/>
                <w:szCs w:val="18"/>
                <w:color w:val="auto"/>
                <w:w w:val="87"/>
              </w:rPr>
              <w:t>0.0</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5"/>
              </w:rPr>
              <w:t>0.00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the Common Stock Offering, the Company recorded an additional warrant liability of $9.1 million immediately after the closing of the Common Stock Offering. As a result of this change in the warrant liability in the aggregate at June 30, 2013, the Company recorded a non-cash benefit of $8.7 million in the six months ended June 30, 2013. The following is a summary of the changes in the common stock warrant liability for the six months ended June 30, 2013:</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 2013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4,283,932</w:t>
            </w: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Warrant liability classification (see Note 9)</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9,110,302</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Gain from the adjustment for the change in fair value included in net income</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(8,660,417)</w:t>
            </w:r>
          </w:p>
        </w:tc>
      </w:tr>
      <w:tr>
        <w:trPr>
          <w:trHeight w:val="210"/>
        </w:trPr>
        <w:tc>
          <w:tcPr>
            <w:tcW w:w="9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as of June 30, 2013</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4,733,817</w:t>
            </w:r>
          </w:p>
        </w:tc>
        <w:tc>
          <w:tcPr>
            <w:tcW w:w="100" w:type="dxa"/>
            <w:vAlign w:val="bottom"/>
            <w:tcBorders>
              <w:top w:val="single" w:sz="8" w:color="CCEEFF"/>
            </w:tcBorders>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 and Commitments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free rent; with the first monthly rent payment of approximately $23,000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the $50,000 reduction of the standby letter of credit in April 2013, the Company reduced the escrow deposit by $50,000.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Technology Development and Licensing Agreements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(SFDA). As of June 30, 2013, the Company has incurred approximately $371,000 in costs to be reimbursed to Hisun.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jc w:val="both"/>
        <w:spacing w:after="0" w:line="290"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 in mainland China, Hong Kong and Macau.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will focus on next generation liposomal formulation development with the goal of creating safer, more efficacious versions of marketed cancer chemotherapeutics.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52" w:lineRule="exact"/>
        <w:rPr>
          <w:sz w:val="20"/>
          <w:szCs w:val="20"/>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97" w:lineRule="exact"/>
        <w:rPr>
          <w:rFonts w:ascii="Arial" w:cs="Arial" w:eastAsia="Arial" w:hAnsi="Arial"/>
          <w:sz w:val="18"/>
          <w:szCs w:val="18"/>
          <w:b w:val="1"/>
          <w:bCs w:val="1"/>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SFDA; and</w:t>
      </w:r>
    </w:p>
    <w:p>
      <w:pPr>
        <w:spacing w:after="0" w:line="197"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200" w:lineRule="exact"/>
        <w:rPr>
          <w:sz w:val="20"/>
          <w:szCs w:val="20"/>
          <w:color w:val="auto"/>
        </w:rPr>
      </w:pP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5, 2008, we entered into a development, product supply and commercialization agreement with Yakult Honsha Co. (the Yakult Agreement) under which Yakult was granted the exclusive right to commercialize and market ThermoDox® for the Japanese market. We were paid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 digit escalating royalties on the sale of ThermoDox® in Japan, when and if any such sales occur and we also will be the exclusive supplier of ThermoDox® to Yakult. Concurrent with a convertible preferred stock equity financing in January 2011, we amended the Yakult Agreement to provide for up to $4.0 million in accelerated partial payments to us on a drug approval milestone. The terms of the Yakult Agreement provided for the payment to us of $2.0 million upon the closing of the preferred equity financing. The second $2.0 million was conditioned upon the resumption of enrollment of Japanese patients in the Japan cohort of the HEAT study, which has not been resumed. In consideration of the $2.0 million accelerated milestone payment from Yakult, we have agreed to reduce future drug approval milestone payments by approximately twenty percent (20%). All other milestone payments are unaffected.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2012 filed on March 18, 2013 and our Amendment No. 1 to the Annual Report on Form 10-K/A filed on April 30, 2013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necessarily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Celsion is an oncology drug development company focused on the development of treatments for those suffering with difficult to treat forms of cancer. We are working to develop and commercialize more efficient, effective, targeted chemotherapeutic oncology drugs based on our proprietary heat-activated liposomal technology. The promise of this drug technology is to maximize efficacy while minimizing side-effects common to cancer treatments.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lead product, ThermoDox® is being evaluated in a Phase III clinical trial for primary liver cancer (the HEAT study) and a Phase II clinical trial for recurrent chest wall breast cancer. ThermoDox® is a liposomal encapsulation of doxorubicin, an approved and frequently used oncology drug for the treatment of a wide range of cancers. Localized heat at mild hyperthermia temperatures (greater than 39.5 degrees Celsius) releases the encapsulated doxorubicin from the liposome enabling high concentrations of doxorubicin to be deposited preferentially in and around the targeted tumor.</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31, 2013, we announced that ThermoDox® in combination with radio frequency ablation did not meet the primary endpoint of the HEAT study in patients with hepatocellular carcinoma, also known as primary liver cancer. Specifically, we determined, after conferring with the HEAT study independent Data Monitoring Committee, that the HEAT study did not meet the goal of demonstrating persuasive evidence of clinical effectiveness that could form the basis for regulatory approval in the population chosen for the HEAT study. In the trial, ThermoDox® was well-tolerated with no unexpected serious adverse events. We will continue to follow the patients enrolled in the HEAT study to the secondary endpoint, overall survival. We are also conducting additional analyses of the data from the HEAT study to assess the future strategic value of ThermoDox®.</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announcement of the Phase III HEAT study results, the Company has conducted a comprehensive analysis of the clinical data with key principal investigators, data experts and liver cancer experts. Emerging data from the HEAT Study post hoc analysis demonstrates that ThermoDox® markedly improves progression free survival (PFS) and overall survival (OS) in patients who had optimal RFA. The post hoc analysis indicates that if patients’ lesions undergo RFA for 45 minutes or more, they clearly benefitted from ThermoDox®. These findings apply to HCC lesions from both size cohorts of the HEAT Study (3-5 cm and 5-7 cm) and represent a sizable subgroup of approximately 300 patients. This data is subject to further verification and review by the HEAT Study Steering Committee.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7"/>
          <w:szCs w:val="17"/>
          <w:color w:val="auto"/>
        </w:rPr>
        <w:t>As part of this analysis, we are also assessing our product pipeline and research and development priorities. In April 2013, we announced the deferral of expenses associated with the Company’s Phase II study of ThermoDox ® in combination with RFA for the treatment of colorectal liver metastases (The ABLATE Study) until such time as the Company finalizes its plans for the continuation of its development program with ThermoDox® in HCC.</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April 2013, the Company engaged Cantor Fitzgerald &amp; Co. to conduct a comprehensive review of merger and acquisition opportunities with the goal of identifying novel products with high potential, or companies, for Celsion to acquire. Strategic alternatives the Company may pursue could include, but are not limited to, continuing its current operating plan, partnering or other collaboration agreements, acquisition of another company’s business or assets, or a merger or other strategic transaction. There can be no assurance that the exploration of strategic alternatives will result in any agreements or transactions, or that, if completed, any agreements or transactions will be successful or on attractive terms.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As demonstrated by the HEAT Study results,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financial condition and market value.</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5, 2008, we entered into a development, product supply and commercialization agreement with Yakult Honsha Co. (the Yakult Agreement) under which Yakult was granted the exclusive right to commercialize and market ThermoDox® for the Japanese market. We were paid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 digit escalating royalties on the sale of ThermoDox® in Japan, when and if any such sales occur and we also will be the exclusive supplier of ThermoDox® to Yakult. Concurrent with a convertible preferred stock equity financing in January 2011, we amended the Yakult Agreement to provide for up to $4.0 million in an accelerated partial payment to us of a future drug approval milestone which included $2.0 million paid to us upon the closing of the preferred equity financing and an additional $2.0 million conditioned upon the resumption of enrollment of Japanese patients in the Japan cohort of the HEAT study. In consideration of these accelerated milestone payments from Yakult, we agreed to reduce future drug approval milestone payments by approximately forty percent (40%). All other milestone payments are unaffected.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6, 2012, we entered into a long 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 batches of ThermoDox®. As of June 30, 2013, the Company has incurred approximately $371,000 in costs to be reimbursed to Hisun. On January 18, 2013, we entered into a technology development contract with Hisun, pursuant to which Hisun paid us a non-refundable research and development fee of $5.0 million to support our development of ThermoDox® and we will provide research data and other technical support in relation to a regulatory filing by Hisun in the China territory for approval of ThermoDox®.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China territory.</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greater China territory. This expanded collaboration will focus on next generation liposomal formulation development with the goal of creating safer, more efficacious versions of marketed cancer chemotherapeutics.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52"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97" w:lineRule="exact"/>
        <w:rPr>
          <w:rFonts w:ascii="Arial" w:cs="Arial" w:eastAsia="Arial" w:hAnsi="Arial"/>
          <w:sz w:val="18"/>
          <w:szCs w:val="18"/>
          <w:b w:val="1"/>
          <w:bCs w:val="1"/>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state Food and Drug Administration (SFDA); and</w:t>
      </w:r>
    </w:p>
    <w:p>
      <w:pPr>
        <w:spacing w:after="0" w:line="197"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and clinical trials, or if we are in a position to pursue manufacturing or commercialization activities, it is clear we will need significant additional capital to develop our product candidates through clinical development, manufacturing, and commercialization.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FINANCIAL REVIEW FOR THE THREE AND SIX MONTHS ENDED JUNE 30,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2013, our net income was $0.4 million compared to a net loss of $6.1 million for the same period of 2012. For the six months ended June 30, 2013, our loss was $0.2 million compared to a net loss of $12.3 million for the same period of 2012. As of June 30, 2013, we had $48.9 million in cash and short-term investments including accrued interest from short term investments.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8"/>
                <w:szCs w:val="18"/>
                <w:b w:val="1"/>
                <w:bCs w:val="1"/>
                <w:color w:val="auto"/>
                <w:w w:val="90"/>
              </w:rPr>
              <w:t>Three Months Ended 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1"/>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center"/>
              <w:ind w:left="230"/>
              <w:spacing w:after="0" w:line="191" w:lineRule="exact"/>
              <w:rPr>
                <w:sz w:val="20"/>
                <w:szCs w:val="20"/>
                <w:color w:val="auto"/>
              </w:rPr>
            </w:pPr>
            <w:r>
              <w:rPr>
                <w:rFonts w:ascii="Arial" w:cs="Arial" w:eastAsia="Arial" w:hAnsi="Arial"/>
                <w:sz w:val="18"/>
                <w:szCs w:val="18"/>
                <w:b w:val="1"/>
                <w:bCs w:val="1"/>
                <w:color w:val="auto"/>
                <w:w w:val="90"/>
              </w:rPr>
              <w:t>Change</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w w:val="92"/>
              </w:rPr>
              <w:t>($ amounts in 000’s)</w:t>
            </w:r>
          </w:p>
        </w:tc>
        <w:tc>
          <w:tcPr>
            <w:tcW w:w="180" w:type="dxa"/>
            <w:vAlign w:val="bottom"/>
          </w:tcPr>
          <w:p>
            <w:pPr>
              <w:spacing w:after="0"/>
              <w:rPr>
                <w:sz w:val="20"/>
                <w:szCs w:val="20"/>
                <w:color w:val="auto"/>
              </w:rPr>
            </w:pPr>
          </w:p>
        </w:tc>
        <w:tc>
          <w:tcPr>
            <w:tcW w:w="250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w w:val="86"/>
              </w:rPr>
              <w:t>Increase (Decrease)</w:t>
            </w:r>
          </w:p>
        </w:tc>
      </w:tr>
      <w:tr>
        <w:trPr>
          <w:trHeight w:val="210"/>
        </w:trPr>
        <w:tc>
          <w:tcPr>
            <w:tcW w:w="58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0"/>
        </w:trPr>
        <w:tc>
          <w:tcPr>
            <w:tcW w:w="58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84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2,840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(1,337)</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r>
      <w:tr>
        <w:trPr>
          <w:trHeight w:val="216"/>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4,112</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(2,089)</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r>
      <w:tr>
        <w:trPr>
          <w:trHeight w:val="216"/>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5,707</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(1,734)</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r>
      <w:tr>
        <w:trPr>
          <w:trHeight w:val="210"/>
        </w:trPr>
        <w:tc>
          <w:tcPr>
            <w:tcW w:w="5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1,859</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line="216" w:lineRule="exact"/>
              <w:rPr>
                <w:sz w:val="20"/>
                <w:szCs w:val="20"/>
                <w:color w:val="auto"/>
              </w:rPr>
            </w:pPr>
            <w:r>
              <w:rPr>
                <w:rFonts w:ascii="Arial" w:cs="Arial" w:eastAsia="Arial" w:hAnsi="Arial"/>
                <w:sz w:val="14"/>
                <w:szCs w:val="14"/>
                <w:color w:val="auto"/>
              </w:rPr>
              <w:t>32.6</w:t>
            </w:r>
            <w:r>
              <w:rPr>
                <w:rFonts w:ascii="Arial" w:cs="Arial" w:eastAsia="Arial" w:hAnsi="Arial"/>
                <w:sz w:val="25"/>
                <w:szCs w:val="25"/>
                <w:color w:val="auto"/>
                <w:vertAlign w:val="superscript"/>
              </w:rPr>
              <w:t>%</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3"/>
        </w:trPr>
        <w:tc>
          <w:tcPr>
            <w:tcW w:w="5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8"/>
                <w:szCs w:val="18"/>
                <w:b w:val="1"/>
                <w:bCs w:val="1"/>
                <w:color w:val="auto"/>
                <w:w w:val="90"/>
              </w:rPr>
              <w:t>Six Months Ended June 30,</w:t>
            </w:r>
          </w:p>
        </w:tc>
        <w:tc>
          <w:tcPr>
            <w:tcW w:w="8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91"/>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center"/>
              <w:ind w:left="230"/>
              <w:spacing w:after="0" w:line="191" w:lineRule="exact"/>
              <w:rPr>
                <w:sz w:val="20"/>
                <w:szCs w:val="20"/>
                <w:color w:val="auto"/>
              </w:rPr>
            </w:pPr>
            <w:r>
              <w:rPr>
                <w:rFonts w:ascii="Arial" w:cs="Arial" w:eastAsia="Arial" w:hAnsi="Arial"/>
                <w:sz w:val="18"/>
                <w:szCs w:val="18"/>
                <w:b w:val="1"/>
                <w:bCs w:val="1"/>
                <w:color w:val="auto"/>
                <w:w w:val="90"/>
              </w:rPr>
              <w:t>Change</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w w:val="92"/>
              </w:rPr>
              <w:t>($ amounts in 000’s)</w:t>
            </w:r>
          </w:p>
        </w:tc>
        <w:tc>
          <w:tcPr>
            <w:tcW w:w="180" w:type="dxa"/>
            <w:vAlign w:val="bottom"/>
          </w:tcPr>
          <w:p>
            <w:pPr>
              <w:spacing w:after="0"/>
              <w:rPr>
                <w:sz w:val="20"/>
                <w:szCs w:val="20"/>
                <w:color w:val="auto"/>
              </w:rPr>
            </w:pPr>
          </w:p>
        </w:tc>
        <w:tc>
          <w:tcPr>
            <w:tcW w:w="250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w w:val="86"/>
              </w:rPr>
              <w:t>Increase (Decrease)</w:t>
            </w:r>
          </w:p>
        </w:tc>
      </w:tr>
      <w:tr>
        <w:trPr>
          <w:trHeight w:val="210"/>
        </w:trPr>
        <w:tc>
          <w:tcPr>
            <w:tcW w:w="58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0"/>
        </w:trPr>
        <w:tc>
          <w:tcPr>
            <w:tcW w:w="58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84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6,349</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(2,813)</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r>
      <w:tr>
        <w:trPr>
          <w:trHeight w:val="216"/>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8,805</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(3,579)</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r>
      <w:tr>
        <w:trPr>
          <w:trHeight w:val="216"/>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11,971</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r>
      <w:tr>
        <w:trPr>
          <w:trHeight w:val="210"/>
        </w:trPr>
        <w:tc>
          <w:tcPr>
            <w:tcW w:w="5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(11,971)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3,356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line="216" w:lineRule="exact"/>
              <w:rPr>
                <w:sz w:val="20"/>
                <w:szCs w:val="20"/>
                <w:color w:val="auto"/>
              </w:rPr>
            </w:pPr>
            <w:r>
              <w:rPr>
                <w:rFonts w:ascii="Arial" w:cs="Arial" w:eastAsia="Arial" w:hAnsi="Arial"/>
                <w:sz w:val="14"/>
                <w:szCs w:val="14"/>
                <w:color w:val="auto"/>
              </w:rPr>
              <w:t>28.0</w:t>
            </w:r>
            <w:r>
              <w:rPr>
                <w:rFonts w:ascii="Arial" w:cs="Arial" w:eastAsia="Arial" w:hAnsi="Arial"/>
                <w:sz w:val="25"/>
                <w:szCs w:val="25"/>
                <w:color w:val="auto"/>
                <w:vertAlign w:val="superscript"/>
              </w:rPr>
              <w:t>%</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18, 2013, we entered into a technology development contract with Hisun, pursuant to which Hisun paid us a non-refundable research and development fee of $5 million to support our development of ThermoDox® in the China territory. The $5.0 million received as a non-refundable payment from Hisun in the first quarter 2013 has been recorded to deferred revenue and will continue to be amortized over the 10 year term of the agreement, therefore we recorded deferred revenue of $125,000 for the three months ended June 30, 2013. We had no licensing revenue in 2012.</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(R&amp;D) expenses decreased by $2.1 million from $4.1 million in the second quarter of 2012 to $2.0 million in the same period of 2013. Costs associated with the HEAT Study decreased to $0.8 million in the second quarter of 2013 compared to $1.9 million in the same period of 2012 primarily due to reduced costs associated with the HEAT Study after the data results were announced on January 31, 2013. Costs associated with our recurrent chest wall breast cancer clinical trial remained relatively unchanged at $0.1 million in the second quarter of 2013 compared to the same period of 2012. Costs associated with our colorectal liver metastases trial were insignificant in the second quarter of 2013 compared to $0.1 million in the same period of 2012. Other R&amp;D costs related to preclinical operations and regulatory operations decreased to $0.3 million in the second quarter of 2013 compared to $0.4 million in the same period of 2012. Costs associated with the production of ThermoDox® decreased to $0.5 million in the second quarter of 2013 compared to $1.3 million the same period of 2012.</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2013, the Company has implemented a restructuring program to lower its operating costs to conserve capital to ensure that our costs are adequately aligned with our resources and business strategy. The program included elimination of approximately one-third of Celsion’s workforce and the deferral of expenses associated with the Company’s Phase II study for colorectal liver metastasis (the ABLATE Study).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(G&amp;A) expenses increased to $2.0 million in the second quarter of 2013 compared to $1.6 million in the same period of 2012. The Company recorded a one-time severance charge of $0.3 million in the second quarter of 2013 as a result of the workforce reduction. We expect G&amp;A costs to decrease throughout the remainder of 2013 compared to 2012 as we continue to reduce our operating costs and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and Income and Interest Expense</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 warrant liability was incurred as a result of warrants we issued in a public offering in September 2009. In connection with a securities purchase agreement and offering in the second quarter of 2013, whereby the investors in the offering agree to waive their rights to exercise the warrants to purchase 6,294,674 shares of common stock of the Company until the Company has obtained stockholders’ approval of increasing the number of its authorized shares of common stock in conjunction with the proposed reverse stock split of its outstanding shares of common stock, the Company reclassified the fair value of these warrants totaling $9.1 million from equity to a liability on the date of the closing of the offering on June 3, 2013. Prior to the offering the warrants described above were originally recorded as equity at the fair value on the date of their issuance. In accordance with ASC 815-40, </w:t>
      </w:r>
      <w:r>
        <w:rPr>
          <w:rFonts w:ascii="Arial" w:cs="Arial" w:eastAsia="Arial" w:hAnsi="Arial"/>
          <w:sz w:val="16"/>
          <w:szCs w:val="16"/>
          <w:i w:val="1"/>
          <w:iCs w:val="1"/>
          <w:color w:val="auto"/>
        </w:rPr>
        <w:t>Derivative Instruments and Hedging</w:t>
      </w:r>
    </w:p>
    <w:p>
      <w:pPr>
        <w:spacing w:after="0" w:line="5" w:lineRule="exact"/>
        <w:rPr>
          <w:sz w:val="20"/>
          <w:szCs w:val="20"/>
          <w:color w:val="auto"/>
        </w:rPr>
      </w:pPr>
    </w:p>
    <w:p>
      <w:pPr>
        <w:jc w:val="both"/>
        <w:ind w:firstLine="8"/>
        <w:spacing w:after="0" w:line="277" w:lineRule="auto"/>
        <w:tabs>
          <w:tab w:leader="none" w:pos="10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Contracts in Entity’s Own Equity, </w:t>
      </w:r>
      <w:r>
        <w:rPr>
          <w:rFonts w:ascii="Arial" w:cs="Arial" w:eastAsia="Arial" w:hAnsi="Arial"/>
          <w:sz w:val="17"/>
          <w:szCs w:val="17"/>
          <w:color w:val="auto"/>
        </w:rPr>
        <w:t>these warrants are required to be liability classified immediately after the closing of the common stock offering on June 3,</w:t>
      </w:r>
      <w:r>
        <w:rPr>
          <w:rFonts w:ascii="Arial" w:cs="Arial" w:eastAsia="Arial" w:hAnsi="Arial"/>
          <w:sz w:val="17"/>
          <w:szCs w:val="17"/>
          <w:i w:val="1"/>
          <w:iCs w:val="1"/>
          <w:color w:val="auto"/>
        </w:rPr>
        <w:t xml:space="preserve"> </w:t>
      </w:r>
      <w:r>
        <w:rPr>
          <w:rFonts w:ascii="Arial" w:cs="Arial" w:eastAsia="Arial" w:hAnsi="Arial"/>
          <w:sz w:val="17"/>
          <w:szCs w:val="17"/>
          <w:color w:val="auto"/>
        </w:rPr>
        <w:t>2013 because there were an insufficient number of common shares authorized to satisfy the terms of the warrants if they were exercised. Therefore, these warrants are required to be recorded at fair value at each balance sheet date with changes in fair value recorded in earnings.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liability associated with these warrants is calculated at its fair market value using the Black-Scholes option-pricing model and is adjusted at the end of each quarter. For the second quarter of 2013, we recorded a non-cash benefit of $4.4 million based on the change in the fair value of the warrants compared to a non-cash charge of $0.4 million in the same period of 2012.</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credit facility entered into with Oxford Financial LLC and Horizon Technology Finance Corporation during the second quarter of 2012, the Company incurred $0.2 million in interest expense in the second quarter of 2013. Interest in the same period of 2012 was insignificant.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18, 2013, we entered into a technology development contract with Hisun, pursuant to which Hisun paid us a non-refundable research and development fee of $5 million to support our development of ThermoDox® in the China territory. The $5.0 million received as a non-refundable payment from Hisun in the first quarter 2013 has been recorded to deferred revenue and will continue to be amortized over the 10 year term of the agreement, therefore we recorded deferred revenue of $250,000 for the six months ended June 30, 2013. We had no licensing revenue in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(R&amp;D) expenses decreased by $3.6 million from $8.8 million in the first six months of 2012 to $5.2 million in the same period of 2013. Costs associated with the HEAT Study decreased to $2.2 million in the six months of 2013 compared to $4.4 million in the same period of 2012 primarily due to reduced costs associated with the HEAT Study when the data results were announced on January 31, 2013. Costs associated with our recurrent chest wall breast cancer clinical trial remained relatively unchanged at $0.2 million in the first six months of 2013 compared to the same period of 2012. Costs associated with our colorectal liver metastases trial were insignificant in the first six months of 2013 compared to $0.1 million in the same period of 2012. Other R&amp;D costs related to preclinical operations and regulatory operations decreased to $0.5 million in the first six months of 2013 compared to $0.8 million in the same period of 2012. Costs associated with the production of ThermoDox® decreased to $1.7 million in the first six months of 2013 compared to $2.6 million the same period of 2012.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In April 2013, the Company has implemented a restructuring program to lower its operating costs to conserve capital to ensure that our costs are adequately aligned with our resources and business strategy. The program included elimination of approximately one-third of Celsion’s workforce and the deferral of expenses associated with the Company’s Phase II study for colorectal liver metastasis (the ablate study).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(G&amp;A) expenses increased to $3.6 million in the first six months of 2013 compared to $3.2 million in the same period of 2012. The Company recorded a one-time severance charge of $0.3 million in the second quarter of 2013 as a result of the workforce reduction. We expect G&amp;A costs to decrease throughout the remainder of 2013 compared to 2012 as we continue to reduce our operating costs and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and Income and Interest Expense</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 warrant liability was incurred as a result of warrants we issued in a public offering in September 2009. In connection with a securities purchase agreement and offering in the second quarter of 2013, whereby the investors in the offering agree to waive their rights to exercise the warrants to purchase 6,294,674 shares of common stock of the Company until the Company has obtained stockholders’ approval of increasing the number of its authorized shares of common stock in conjunction with the proposed reverse stock split of its outstanding shares of common stock, the Company reclassified the fair value of these warrants totaling $9.1 million from equity to a liability on the date of the closing of the offering on June 3, 2013. Prior to the offering the warrants described above were originally recorded as equity at the fair value on the date of their issuance. In accordance with ASC 815-40, </w:t>
      </w:r>
      <w:r>
        <w:rPr>
          <w:rFonts w:ascii="Arial" w:cs="Arial" w:eastAsia="Arial" w:hAnsi="Arial"/>
          <w:sz w:val="16"/>
          <w:szCs w:val="16"/>
          <w:i w:val="1"/>
          <w:iCs w:val="1"/>
          <w:color w:val="auto"/>
        </w:rPr>
        <w:t>Derivative Instruments and Hedging</w:t>
      </w:r>
    </w:p>
    <w:p>
      <w:pPr>
        <w:spacing w:after="0" w:line="5" w:lineRule="exact"/>
        <w:rPr>
          <w:sz w:val="20"/>
          <w:szCs w:val="20"/>
          <w:color w:val="auto"/>
        </w:rPr>
      </w:pPr>
    </w:p>
    <w:p>
      <w:pPr>
        <w:jc w:val="both"/>
        <w:ind w:firstLine="8"/>
        <w:spacing w:after="0" w:line="277" w:lineRule="auto"/>
        <w:tabs>
          <w:tab w:leader="none" w:pos="10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Contracts in Entity’s Own Equity, </w:t>
      </w:r>
      <w:r>
        <w:rPr>
          <w:rFonts w:ascii="Arial" w:cs="Arial" w:eastAsia="Arial" w:hAnsi="Arial"/>
          <w:sz w:val="17"/>
          <w:szCs w:val="17"/>
          <w:color w:val="auto"/>
        </w:rPr>
        <w:t>these warrants are required to be liability classified immediately after the closing of the common stock offering on June 3,</w:t>
      </w:r>
      <w:r>
        <w:rPr>
          <w:rFonts w:ascii="Arial" w:cs="Arial" w:eastAsia="Arial" w:hAnsi="Arial"/>
          <w:sz w:val="17"/>
          <w:szCs w:val="17"/>
          <w:i w:val="1"/>
          <w:iCs w:val="1"/>
          <w:color w:val="auto"/>
        </w:rPr>
        <w:t xml:space="preserve"> </w:t>
      </w:r>
      <w:r>
        <w:rPr>
          <w:rFonts w:ascii="Arial" w:cs="Arial" w:eastAsia="Arial" w:hAnsi="Arial"/>
          <w:sz w:val="17"/>
          <w:szCs w:val="17"/>
          <w:color w:val="auto"/>
        </w:rPr>
        <w:t>2013 because there were an insufficient number of common shares authorized to satisfy the terms of the warrants if they were exercised. Therefore, these warrants are required to be recorded at fair value at each balance sheet date with changes in fair value recorded in earnings.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liability associated with these warrants is calculated at its fair market value using the Black-Scholes option-pricing model and is adjusted at the end of each quarter. For the six months ended June 30, 2013, we recorded a non-cash benefit of $8.7 million based on the change in the fair value of the warrants compared to a non-cash charge of $0.4 million in the same period of 2012.</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credit facility entered into with Oxford Financial LLC and Horizon Technology Finance Corporation during the second quarter of 2012, the Company incurred $0.4 million in interest expense in the first six months of 2013. Interest in the same period of 2012 was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agreement with Hisun. The process of developing and commercializing ThermoDox®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revenues, and we had an accumulated deficit of $156 million at June 30, 2013.</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2013, we had total current assets of $49.6 million (including cash, short term investments and related accrued interest on the short term investments of $48.9 million) and current liabilities of $5.7 million, resulting in working capital of $43.9 million. At December 31, 2012, we had total current assets of $23.6 million (including cash and short term investments and related accrued interest on the short term investments of $23.1 million) and current liabilities of $5.0 million, resulting in working capital of $18.6 million.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$5.0 million to support our development of ThermoDox® in mainland China, Hong Kong and Macau.</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ATM Agreement will terminate upon the earlier of (i) the sale of ATM Shares under the ATM Agreement having an aggregate offering price of $25.0 million and (ii) the termination of the ATM Agreement by Cantor or the Company. The ATM Agreement may be terminated by Cantor or Celsion at any time upon 10 days' notice to the other party, or by Cantor at any time in certain circumstances, including the occurrence of a material adverse change in Celsion. The Company will pay Cantor a commission of 3.0% of the aggregate gross proceeds from each sale of ATM Shares and has agreed to provide Cantor with customary indemnification and contribution rights. The Company reimbursed Cantor for legal fees and disbursements of $50,000 in connection with entering into the ATM Agreement. In connection with the preferred stock offering in February 2013 discussed below, the Company agreed to not sell any ATM Shares for a period of one year from February 26, 2013. From February 1, 2013 through February 25, 2013, the Company has sold and issued an aggregate of 5,381,670 shares under the ATM Agreement, receiving approximately $6.8 million in net proceeds.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agreed to sell,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12,072,438 shares of common stock, and the warrants are exercisable to purchase an aggregate of up to 6,036,219 shares of common stock. Each warrant has an exercise price of $1.18 per share, equal to the closing bid price of common stock on February 21, 2013. The warrants are immediately exercisable and expire five years after its issuance. As of June 30, 2013, the Company issued 12,072,438 shares of common stock upon conversion of all 15,000.0042 shares of the Series A 0% convertible preferred stock.</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issuance, we estimated the fair value of the warrants issued in the February 2013 Preferred Stock Offering to be approximately $5.4 million using the Black-Scholes pricing model. Also, upon issuance, we recognized approximately $4.6 million as a one time non-cash deemed dividend related to the beneficial conversion feature connected to the preferred stock in the Preferred Stock Offering.</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30, 2013, the Company entered into a Securities Purchase Agreement with certain institutional investors, pursuant to which the Company sold, in a registered offering, an aggregate of 6,264,492 shares of its common stock for an aggregate purchase price of approximately $9.8 million (the “Common Stock Offering”). The closing of the Common Stock Offering occurred on June 3, 2013. The issuance of Common Stock in the Common Stock Offering was made pursuant to the Company’s previously filed and effective Registration Statement on Form S-3 (File No. 333-183286), the base prospectus dated September 14, 2012 filed as part of such Registration Statement, and the prospectus supplement filed with the Securities and Exchange Commission on June 3, 2013. The Securities Purchase Agreement also contained representations, warranties, indemnification and other provisions customary for transactions of this nature.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color w:val="auto"/>
        </w:rPr>
        <w:t>Prior to the closing of the Common Stock Offering, there were an insufficient number of authorized shares to complete the transaction. The Common Stock Offering institutional investors also held warrants to purchase previously reserved and registered shares of common stock of the Company which were issued in conjunction with previous offerings. Concurrent with the closing of the Common Stock Offering, the institutional investors agreed to waive their rights to exercise the these warrants to purchase 6,294,674 shares of common stock of the Company (the “Waived Warrants”) until the Company has obtained stockholders’ approval of increasing the number of its authorized shares of common stock in conjunction with the proposed reverse stock split of its outstanding shares of common stock. At the Company’s 2013 Annual Meeting of Stockholders held on July 19, 2013, the Company’s stockholders voted to approve the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to the closing of the Common Stock Offering, the warrants described above were originally recorded as equity at the fair value on the date of issuance. In accordance with ASC 815-40, </w:t>
      </w:r>
      <w:r>
        <w:rPr>
          <w:rFonts w:ascii="Arial" w:cs="Arial" w:eastAsia="Arial" w:hAnsi="Arial"/>
          <w:sz w:val="18"/>
          <w:szCs w:val="18"/>
          <w:i w:val="1"/>
          <w:iCs w:val="1"/>
          <w:color w:val="auto"/>
        </w:rPr>
        <w:t>Derivative Instruments and Hedging - Contracts in Entity’s Own Equity,</w:t>
      </w:r>
      <w:r>
        <w:rPr>
          <w:rFonts w:ascii="Arial" w:cs="Arial" w:eastAsia="Arial" w:hAnsi="Arial"/>
          <w:sz w:val="18"/>
          <w:szCs w:val="18"/>
          <w:color w:val="auto"/>
        </w:rPr>
        <w:t xml:space="preserve"> the Waived Warrants are required to be liability classified immediately after the closing of the Common Stock Offering on June 3, 2013 because there were an insufficient number of common shares authorized to satisfy the terms of the warrants. Therefore, the Company has reclassified the fair value the Waived Warrants totaling approximately $9.1 million from equity to a liability as of June 3, 2013. The Waived Warrants are required to be recorded at fair value at each balance sheet date with changes in fair value recorded in earnings.</w:t>
      </w:r>
    </w:p>
    <w:p>
      <w:pPr>
        <w:spacing w:after="0" w:line="1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The Company is currently reassessing the application of ASC 815-40, </w:t>
      </w:r>
      <w:r>
        <w:rPr>
          <w:rFonts w:ascii="Arial" w:cs="Arial" w:eastAsia="Arial" w:hAnsi="Arial"/>
          <w:sz w:val="17"/>
          <w:szCs w:val="17"/>
          <w:i w:val="1"/>
          <w:iCs w:val="1"/>
          <w:color w:val="auto"/>
        </w:rPr>
        <w:t>Derivative Instruments and Hedging - Contracts in Entity’s Own Equity</w:t>
      </w:r>
      <w:r>
        <w:rPr>
          <w:rFonts w:ascii="Arial" w:cs="Arial" w:eastAsia="Arial" w:hAnsi="Arial"/>
          <w:sz w:val="17"/>
          <w:szCs w:val="17"/>
          <w:color w:val="auto"/>
        </w:rPr>
        <w:t xml:space="preserve"> as it relates to the 8% Series A Redeemable Convertible Preferred Stock Offering completed in January 2011 (the January 2011 Preferred Offering). The Company received gross proceeds from the January 2011 Preferred Offering of approximately $5.1 million in which it sold 5,000 shares of 8% redeemable convertible preferred stock with a stated value of $1,000 per share, each share convertible into 416.6667 shares of common stock, and warrants to purchase up to approximately 2.1 million shares of common stock. All 5,000 shares of preferred stock sold in the January 2011 Preferred Offering were converted into the stated number of common stock shares as of August 2011. ASC 815-40 requires the Company to value the preferred stock and common stock warrants, any resulting beneficial conversion feature(s) resulting from the valuation of these securities and to determine and record the value of each of these securities or conversion feature as debt or equity based on the interpretation and application of ASC 815-40. In a draft report to the Company’s independent registered public accounting firm, the Public Company Accounting Oversight Board has indicated that it believes the Company has not accounted for the January 2011 Preferred Offering properly. The Company believes it had properly accounted for the transaction in all material respects but is currently reviewing the accounting treatment in light of the report. The Company believes that any resulting adjustment, reclassification, or restatement of our financial statements, if necessary, would be isolated to 2011, would be non-cash in nature, would have no effect on the cash proceeds received or the stock or warrants issued in the Preferred Offering, would result in no additional cash interest or dividends being paid, and would not have any financial impact on the Company’s 2012 or 2013 financial statements.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operating activities for the first six months of 2013 was $3.6 million. Our net loss for the first six months of 2013 included $0.7 million in non-cash stock-based compensation expense and $8.7 million in non-cash benefit based on the change in the common stock warrant liability.</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financing activities was $29.4 million during the first six months of 2013 which consisted of approximately $6.7 million of net proceeds from sale of 5,381,670 million shares of the Company’s common stock in connection with the ATM Agreement, approximately $13.6 million of net proceeds from sale of approximately 15,000 shares of the Company’s Series A 0% convertible preferred stock and the warrants to purchase shares of its common stock in the Preferred Stock Offering, approximately $9.1 million of net proceeds from the sale of 6,264,492 shares of its common stock and approximately $0.4 million of gross proceeds from the exercise of options and warrants to purchase approximately 0.1 million shares of the Company’s common stock. This was partially offset by approximately $0.3 million of principal payment on its notes payable.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will require additional capital to develop our product candidates through clinical development, manufacturing, and commercialization or to pursue licensing or strategic transactions. We may seek additional capital through further public or private equity offerings, debt financing, additional strategic alliance and licensing arrangements, collaborative arrangements or some combination of these alternatives. If we raise additional funds through the issuance of equity securities, stockholders will likely experience dilution and the equity securities may have rights, preferences, or privileges senior to those of the holders of our common stock. If we raise funds through the issuance of debt securities, those securities would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which we would otherwise seek to develop or commercialize on our own, or to license the rights to our technologies, product candidates, or products on terms that are not favorable to us.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overall status of the economic climate could also result in the terms of any equity offering, debt financing, or alliance, license, or other arrangement being even less favorable to us and our stockholders than if the overall economic climate were stronger. In addition, we may continue to seek government sponsored research collaborations and grants.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eliminate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 off-balance sheet financing arrangements. There were no material changes during the six months ended June 30, 2013 to our operating leases, which are disclosed in the contractual commitments table in our Annual Report on Form 10-K for the fiscal year ended December 31, 2012 filed on March 18, 2013 and our Amendment No. 1 to the Annual Report on Form 10-K/A filed on April 30, 2013 with the Securities and Exchange Commission.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923" w:gutter="0" w:footer="0" w:header="0"/>
        </w:sectPr>
      </w:pPr>
    </w:p>
    <w:bookmarkStart w:id="26" w:name="page27"/>
    <w:bookmarkEnd w:id="26"/>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 .</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income (loss) included in stockholders’ equity.</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2013,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six months ended June 30, 2013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you should understand that it is not possible to predict or identify all such factors. Consequently, you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2012 filed on March 18, 2013 and our Amendment No. 1 to the Annual Report on Form 10-K/A filed on April 30, 2013 with the Securities and Exchange Commission. In assessing these risks, investors should also refer to the other information contained or incorporated by reference in this Quarterly Report on Form 10-Q and our Annual Report on Annual Report on Form 10-K for the fiscal year ended December 31, 2012 filed on March 18, 2013 and our Amendment No. 1 to the Annual Report on Form 10-K/A filed on April 30, 2013 with the Securities and Exchange Commission including our consolidated financial statements and related notes, and our other filings made from time to time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continuing operations and expect to continue such losses for the foreseeable future.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Since our inception, our expenses have substantially exceeded our revenues, resulting in continuing losses and an accumulated deficit of $156 million at June 30, 2013. Because we presently have no product revenues and we are committed to continuing our product research, development and commercialization programs, we will continue to experience significant operating losses unless and until we complete the development of ThermoDox® and other new products and these products have been clinically tested, approved by the U.S. Food and Drug Administration (FDA) and successfully marketed.</w:t>
      </w:r>
    </w:p>
    <w:p>
      <w:pPr>
        <w:spacing w:after="0" w:line="15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number of drug candidates in research and development ranging from the early discovery research phase through preclinical testing and clinical trials. Preclinical testing and clinical trials are long, expensive and highly uncertain processes and failure can unexpectedly occur at any stage of clinical development. Drug development is very risky. It will take us several years to complete clinical trials.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failed to meet the primary endpoint of the Phase III clinical trial for primary liver cancer (the HEAT study). We have not completed our final analysis of the data and do not know the extent to which, if any, the failure of ThermoDox® to meet its primary endpoint in the Phase III trial could impact our other ongoing studies of ThermoDox®. ThermoDox® is also being evaluated in a Phase II clinical trial for recurrent chest wall breast cancer and other preclinical studies. Even with success in preclinical testing and previously completed clinical trials, the risk of clinical failure for any drug candidate remains high prior to regulatory approval. Even if ThermoDox® has positive results in its Phase II clinical trials, there is a substantial risk that it will fail to have sufficiently positive results in Phase III clinical trials with regard to efficacy, safety or other clinical outcomes. One or more of our clinical studies could fail at any time, as evidenced by the failure of ThermoDox® to meet its primary endpoint in the HEAT study. The failure of one or more of our drug candidates or development programs could have a material adverse effect on our business, financial condition and results of operations.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 w:name="page29"/>
    <w:bookmarkEnd w:id="28"/>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significant revenue for the foreseeable future.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is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will continue to follow the patients enrolled in the Heat study to the secondary endpoint, overall survival. ThermoDox® is currently also being evaluated in Phase II clinical trials and other preclinical studies. We do not expect to realize any revenues from product sales in the next several years, if at all.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178"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2013, we had approximately $48.9 million in cash, cash equivalents and short-term investments. We have substantial future capital requirements to continue our research and development activities and advance our drug candidates through various development stages. For example, ThermoDox® is being evaluated in a Phase II clinical trial for colorectal liver metastasis, a Phase II clinical trial for recurrent chest wall breast cancer and other preclinical studies. We will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cannot raise additional capital, we may be required to delay, reduce or eliminate certain aspects of our operations or attempt to obtain funds through unfavorable arrangements with partners or others that may force us to relinquish rights to certain of our technologies, products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ind w:right="36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We have entered into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If we breach any provisions of the license and research agreements, we may our ability to use the subject technology, as well as compensation for our efforts in developing or exploiting the technology. Any such loss of rights and access to technology could have a material adverse effect on our business.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0" w:name="page31"/>
    <w:bookmarkEnd w:id="30"/>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 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and expect to continue to rely, on third-party clinical research organizations to conduct our clinical trials. Because we do not conduct our own clinical trials, we must rely on the efforts of others and cannot always control or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expensive, we may not receive development milestone payments when expected or at all, and we may not be able to obtain regulatory approval for or successfully commercialize our product candidates.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revenues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17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payers as clinically useful, cost effective and safe. Any or our drug candidates may prove not to be effective in practice. If testing and clinical practice do not confirm the safety and efficacy of our product candidates or even if further testing and clinical practice produce positive results but the medical community does not view these new forms of treatment as effective and desirable, our efforts to market our new products may fail, which would have an adverse effect on our business, financial condition and results of operations.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 w:name="page33"/>
    <w:bookmarkEnd w:id="32"/>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products and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significantly on the continued contributions of our executive officers, scientific and technical personnel and consultants, and on our ability to attract additional personnel as we seek to implement our business strategy and develop our products and businesses.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If we engage in acquisitions, reorganizations or business combinations, we will incur a variety of risks that could adversely affect our business operations or our stockholders.</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may consider strategic alternatives intended to further the development of our business, which may include acquiring businesses, technologies or products or entering into a business combination with another company. If we do pursue such a strategy, we could, among other things:</w:t>
      </w:r>
    </w:p>
    <w:p>
      <w:pPr>
        <w:spacing w:after="0" w:line="147" w:lineRule="exact"/>
        <w:rPr>
          <w:sz w:val="20"/>
          <w:szCs w:val="20"/>
          <w:color w:val="auto"/>
        </w:rPr>
      </w:pPr>
    </w:p>
    <w:p>
      <w:pPr>
        <w:ind w:left="1100" w:hanging="36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equity securities that would dilute our current stockholders’ percentage ownership;</w:t>
      </w:r>
    </w:p>
    <w:p>
      <w:pPr>
        <w:spacing w:after="0" w:line="225" w:lineRule="exact"/>
        <w:rPr>
          <w:rFonts w:ascii="Arial" w:cs="Arial" w:eastAsia="Arial" w:hAnsi="Arial"/>
          <w:sz w:val="18"/>
          <w:szCs w:val="18"/>
          <w:color w:val="auto"/>
        </w:rPr>
      </w:pPr>
    </w:p>
    <w:p>
      <w:pPr>
        <w:ind w:left="1100" w:hanging="36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substantial debt that may place strains on our operations;</w:t>
      </w:r>
    </w:p>
    <w:p>
      <w:pPr>
        <w:spacing w:after="0" w:line="225" w:lineRule="exact"/>
        <w:rPr>
          <w:rFonts w:ascii="Arial" w:cs="Arial" w:eastAsia="Arial" w:hAnsi="Arial"/>
          <w:sz w:val="18"/>
          <w:szCs w:val="18"/>
          <w:color w:val="auto"/>
        </w:rPr>
      </w:pPr>
    </w:p>
    <w:p>
      <w:pPr>
        <w:ind w:left="1100" w:right="1720" w:hanging="36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in integrating new businesses, personnel intellectual property, technologies and products;</w:t>
      </w:r>
    </w:p>
    <w:p>
      <w:pPr>
        <w:spacing w:after="0" w:line="170" w:lineRule="exact"/>
        <w:rPr>
          <w:rFonts w:ascii="Arial" w:cs="Arial" w:eastAsia="Arial" w:hAnsi="Arial"/>
          <w:sz w:val="18"/>
          <w:szCs w:val="18"/>
          <w:color w:val="auto"/>
        </w:rPr>
      </w:pPr>
    </w:p>
    <w:p>
      <w:pPr>
        <w:ind w:left="1100" w:hanging="36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 substantial actual or contingent liabilities;</w:t>
      </w:r>
    </w:p>
    <w:p>
      <w:pPr>
        <w:spacing w:after="0" w:line="225" w:lineRule="exact"/>
        <w:rPr>
          <w:rFonts w:ascii="Arial" w:cs="Arial" w:eastAsia="Arial" w:hAnsi="Arial"/>
          <w:sz w:val="18"/>
          <w:szCs w:val="18"/>
          <w:color w:val="auto"/>
        </w:rPr>
      </w:pPr>
    </w:p>
    <w:p>
      <w:pPr>
        <w:ind w:left="1100" w:hanging="36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reprioritize our development programs and even cease development and commercialization of our drug candidates;</w:t>
      </w:r>
    </w:p>
    <w:p>
      <w:pPr>
        <w:spacing w:after="0" w:line="225" w:lineRule="exact"/>
        <w:rPr>
          <w:rFonts w:ascii="Arial" w:cs="Arial" w:eastAsia="Arial" w:hAnsi="Arial"/>
          <w:sz w:val="18"/>
          <w:szCs w:val="18"/>
          <w:color w:val="auto"/>
        </w:rPr>
      </w:pPr>
    </w:p>
    <w:p>
      <w:pPr>
        <w:ind w:left="1100" w:hanging="36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suffer the loss of key personnel, or</w:t>
      </w:r>
    </w:p>
    <w:p>
      <w:pPr>
        <w:spacing w:after="0" w:line="225" w:lineRule="exact"/>
        <w:rPr>
          <w:rFonts w:ascii="Arial" w:cs="Arial" w:eastAsia="Arial" w:hAnsi="Arial"/>
          <w:sz w:val="18"/>
          <w:szCs w:val="18"/>
          <w:color w:val="auto"/>
        </w:rPr>
      </w:pPr>
    </w:p>
    <w:p>
      <w:pPr>
        <w:ind w:left="1100" w:right="1140" w:hanging="363"/>
        <w:spacing w:after="0" w:line="342"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merge with, or otherwise enter into a business combination with, another company in which our stockholders would receive cash or shares of the other company or a combination of both on terms that certain of our stockholders may not deem desirable.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Although we intend to evaluate and consider different strategic alternatives, we have no agreements or understandings with respect to any acquisition, reorganization or business combination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had a high price of $4.23 and a low price of $1.69 in the 52-week period ended December 31, 2011, a high price of $8.83 and a low price of $1.64 in the 52-week period ended December 31, 2012 and a high price of $9.35 and a low price of $0.76 from January 1, 2013 through August 7, 2013. Among the factors that may cause the market price of our common stock to fluctuate are the risks described in this “Risk Factors” section and other factors, including: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 w:name="page35"/>
    <w:bookmarkEnd w:id="34"/>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accounting principles or changes in interpretations of existing principles, which could affect our financial results;</w:t>
      </w:r>
    </w:p>
    <w:p>
      <w:pPr>
        <w:spacing w:after="0" w:line="236" w:lineRule="exact"/>
        <w:rPr>
          <w:rFonts w:ascii="Arial" w:cs="Arial" w:eastAsia="Arial" w:hAnsi="Arial"/>
          <w:sz w:val="17"/>
          <w:szCs w:val="17"/>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significant new products, contracts, acquisitions or strategic alliances by us or our competitors;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225" w:lineRule="exact"/>
        <w:rPr>
          <w:rFonts w:ascii="Arial" w:cs="Arial" w:eastAsia="Arial" w:hAnsi="Arial"/>
          <w:sz w:val="18"/>
          <w:szCs w:val="18"/>
          <w:color w:val="auto"/>
        </w:rPr>
      </w:pPr>
    </w:p>
    <w:p>
      <w:pPr>
        <w:ind w:left="1740" w:hanging="72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August 7, 2013, we had 61,154,295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 w:name="page36"/>
    <w:bookmarkEnd w:id="35"/>
    <w:p>
      <w:pPr>
        <w:ind w:right="5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raise additional capital or pursue strategic transactions, we may in the future offer, issue or sell additional shares of our common stock or other securities convertible into or exchangeable for our common stock. Our stockholders may experience significant dilution as a result of future equity offerings or issuance. Investors purchasing shares or other securities in the future could have rights superior to existing stockholders. As of June 30, 2013, we have a significant number of securities convertible into, or allowing the purchase of, our common stock, 13,818,772 shares of common stock issuable upon exercise of warrants outstanding, 4,030,948 options to purchase shares of our common stock and restricted stock awards outstanding, and 2,306,490 shares of common stock reserved for future issuance under our stock incentive plans. Under the Controlled Equity Offering SM Sales Agreement entered into with Cantor Fitzgerald &amp; Co. on February 1, 2013, we may offer and sell, from time to time through “at-the-market” offerings, up to an aggregate of $25 million of shares of our common stock. In connection with the Series A 0% convertible preferred stock offering, the Company agreed to not sell any ATM Shares for a period of one year from February 26, 2013. In connection with the Common Stock Offering, the Company agreed to not sell any ATM Shares for an extended period of one year from June 3, 2013.</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August 7, 2013, the closing bid price of our common stock was $1.29 the total market value of our publicly held shares of our common stock (excluding shares held by our executive officers, directors and 10% or more stockholders) was approximately $78 million and the total market value of our listed securities was approximately $79 million. As of June 30, 2013, we had stockholders’ equity of $33 million. However, there is no assurance that we will continue to meet the minimum closing price requirement and other listing requirements.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Company’s 2013 Annual Meeting of Stockholders held on July 19, 2013, the Company’s shareholders voted to approve a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shares was approved based upon the following votes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Company Accounting Oversight Board indicates it does not agree with the Company’s accounting of its preferred stock offering in 2011.</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completed a preferred stock financing in 2011. In a draft report to the Company’s independent registered public accounting firm, the Public Company Accounting Oversight Board has indicated that it believes the Company may not have accounted for the January 2011 Preferred Offering properly. The Company believes it had properly accounted for the transaction in all material respects but is currently reviewing the accounting treatment in light of the report. The Company believes that any resulting adjustment, reclassification, or restatement of our financial statements, if necessary, would be isolated to 2011, would be non-cash in nature, would have no effect on the cash proceeds received or the stock or warrants issued in the January 2011 Preferred Offering, would result in no additional cash interest or dividends being paid, and would not have any financial impact on the Company’s 2012 or 2013 financial statements. Nonetheless, if a restatement were required that could attract securities litigation or result in a reduction of our stock price.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2012 and 2011, the Company performed analyses to determine if there were changes in ownership, as defined by Section 382 of the Internal Revenue Code that would limit its ability to utilize certain net operating loss and tax credit carryforwards. The Company determined that it experienced an ownership change, as defined by Section 382, in connection with its registered direct and private placement offerings on July 25, 2011. As a result, the utilization of the Company’s federal tax net operating loss carryforwards generated prior to the ownership change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have never paid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7" w:name="page38"/>
    <w:bookmarkEnd w:id="37"/>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 w:lineRule="exact"/>
        <w:rPr>
          <w:sz w:val="20"/>
          <w:szCs w:val="20"/>
          <w:color w:val="auto"/>
        </w:rPr>
      </w:pPr>
    </w:p>
    <w:p>
      <w:pPr>
        <w:ind w:left="900" w:right="220" w:hanging="890"/>
        <w:spacing w:after="0" w:line="255" w:lineRule="auto"/>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Securities Purchase Agreement, dated February 22, 2013, by and among Celsion Corporation and the purchasers named therein, incorporated herein by reference to Exhibit 10.1 to the Current Report on Form 8-K of the Company, filed with the SEC on February 26, 2013.</w:t>
      </w:r>
    </w:p>
    <w:p>
      <w:pPr>
        <w:spacing w:after="0" w:line="190" w:lineRule="exact"/>
        <w:rPr>
          <w:sz w:val="20"/>
          <w:szCs w:val="20"/>
          <w:color w:val="auto"/>
        </w:rPr>
      </w:pPr>
    </w:p>
    <w:p>
      <w:pPr>
        <w:ind w:left="900" w:right="760" w:hanging="890"/>
        <w:spacing w:after="0" w:line="277" w:lineRule="auto"/>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w:t>
      </w:r>
    </w:p>
    <w:p>
      <w:pPr>
        <w:spacing w:after="0" w:line="170" w:lineRule="exact"/>
        <w:rPr>
          <w:sz w:val="20"/>
          <w:szCs w:val="20"/>
          <w:color w:val="auto"/>
        </w:rPr>
      </w:pPr>
    </w:p>
    <w:p>
      <w:pPr>
        <w:ind w:left="900" w:right="820" w:hanging="890"/>
        <w:spacing w:after="0" w:line="277" w:lineRule="auto"/>
        <w:tabs>
          <w:tab w:leader="none" w:pos="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13a-14(a)/15d-14(a), as adopted pursuant to Section 302 of the Sarbanes-Oxley Act of 2002.</w:t>
      </w:r>
    </w:p>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940" w:hanging="88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900" w:right="60" w:hanging="899"/>
        <w:spacing w:after="0" w:line="291" w:lineRule="auto"/>
        <w:tabs>
          <w:tab w:leader="none" w:pos="8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June 30, 2013, formatted in XBRL (Extensible Business Reporting Language): (i) the unaudited Balance Sheets, (ii) the unaudited Statements of Operations,</w:t>
      </w:r>
    </w:p>
    <w:p>
      <w:pPr>
        <w:ind w:left="900" w:right="60"/>
        <w:spacing w:after="0" w:line="261" w:lineRule="auto"/>
        <w:rPr>
          <w:sz w:val="20"/>
          <w:szCs w:val="20"/>
          <w:color w:val="auto"/>
        </w:rPr>
      </w:pPr>
      <w:r>
        <w:rPr>
          <w:rFonts w:ascii="Arial" w:cs="Arial" w:eastAsia="Arial" w:hAnsi="Arial"/>
          <w:sz w:val="18"/>
          <w:szCs w:val="18"/>
          <w:color w:val="auto"/>
        </w:rPr>
        <w:t>(iii) the unaudited Statements of Comprehensive Loss, (iv) the unaudited Statements of Cash Flows, (v) the unaudited Statements of Change in Stockholders' Equity (Deficit), and (vi) Notes to Financial Statements.</w:t>
      </w:r>
    </w:p>
    <w:p>
      <w:pPr>
        <w:spacing w:after="0" w:line="183" w:lineRule="exact"/>
        <w:rPr>
          <w:sz w:val="20"/>
          <w:szCs w:val="20"/>
          <w:color w:val="auto"/>
        </w:rPr>
      </w:pPr>
    </w:p>
    <w:p>
      <w:pPr>
        <w:ind w:left="900" w:hanging="846"/>
        <w:spacing w:after="0" w:line="259" w:lineRule="auto"/>
        <w:rPr>
          <w:sz w:val="20"/>
          <w:szCs w:val="20"/>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6" w:lineRule="exact"/>
        <w:rPr>
          <w:sz w:val="20"/>
          <w:szCs w:val="20"/>
          <w:color w:val="auto"/>
        </w:rPr>
      </w:pPr>
    </w:p>
    <w:p>
      <w:pPr>
        <w:jc w:val="both"/>
        <w:ind w:left="880" w:hanging="324"/>
        <w:spacing w:after="0" w:line="259"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Exhibit 101 is being furnished and, in accordance with Rule 406T of Regulation S-T, shall not be deemed to be “filed” for purposes of Section 18 of the Securities Exchange Act of 1934, as amended, or otherwise subject to liability of that section, nor shall such exhibit be deemed to be incorporated by reference in any registration statement or other document filed under the Securities Act of 1933, as amended, or the Securities Exchange Act.</w:t>
      </w:r>
    </w:p>
    <w:p>
      <w:pPr>
        <w:spacing w:after="0" w:line="186" w:lineRule="exact"/>
        <w:rPr>
          <w:rFonts w:ascii="Arial" w:cs="Arial" w:eastAsia="Arial" w:hAnsi="Arial"/>
          <w:sz w:val="18"/>
          <w:szCs w:val="18"/>
          <w:color w:val="auto"/>
        </w:rPr>
      </w:pPr>
    </w:p>
    <w:p>
      <w:pPr>
        <w:jc w:val="both"/>
        <w:ind w:left="880" w:hanging="414"/>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240" w:top="580" w:right="131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8, 2013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14605</wp:posOffset>
            </wp:positionV>
            <wp:extent cx="34563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46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H. Tardugno</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035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46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W. Church</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035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60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700" w:hanging="408"/>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700" w:right="1060" w:hanging="408"/>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700" w:right="1080" w:hanging="408"/>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700" w:right="1080" w:hanging="408"/>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720" w:right="1080" w:hanging="238"/>
        <w:spacing w:after="0" w:line="286" w:lineRule="auto"/>
        <w:tabs>
          <w:tab w:leader="none" w:pos="7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720" w:right="1060" w:hanging="248"/>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20" w:right="1060" w:hanging="238"/>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720" w:right="1080" w:hanging="248"/>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jc w:val="both"/>
        <w:ind w:left="700" w:right="1060" w:hanging="408"/>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720" w:right="1080" w:hanging="238"/>
        <w:spacing w:after="0" w:line="342" w:lineRule="auto"/>
        <w:tabs>
          <w:tab w:leader="none" w:pos="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720" w:right="1080" w:hanging="248"/>
        <w:spacing w:after="0" w:line="277"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960" w:type="dxa"/>
            <w:vAlign w:val="bottom"/>
            <w:gridSpan w:val="3"/>
          </w:tcPr>
          <w:p>
            <w:pPr>
              <w:ind w:left="1700"/>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800" w:type="dxa"/>
            <w:vAlign w:val="bottom"/>
          </w:tcPr>
          <w:p>
            <w:pPr>
              <w:spacing w:after="0"/>
              <w:rPr>
                <w:sz w:val="20"/>
                <w:szCs w:val="20"/>
                <w:color w:val="auto"/>
              </w:rPr>
            </w:pPr>
            <w:r>
              <w:rPr>
                <w:rFonts w:ascii="Arial" w:cs="Arial" w:eastAsia="Arial" w:hAnsi="Arial"/>
                <w:sz w:val="18"/>
                <w:szCs w:val="18"/>
                <w:color w:val="auto"/>
              </w:rPr>
              <w:t>August 8, 2013</w:t>
            </w:r>
          </w:p>
        </w:tc>
        <w:tc>
          <w:tcPr>
            <w:tcW w:w="1700" w:type="dxa"/>
            <w:vAlign w:val="bottom"/>
          </w:tcPr>
          <w:p>
            <w:pPr>
              <w:spacing w:after="0"/>
              <w:rPr>
                <w:sz w:val="24"/>
                <w:szCs w:val="24"/>
                <w:color w:val="auto"/>
              </w:rPr>
            </w:pPr>
          </w:p>
        </w:tc>
        <w:tc>
          <w:tcPr>
            <w:tcW w:w="42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Michael H. Tardugno</w:t>
            </w:r>
          </w:p>
        </w:tc>
      </w:tr>
      <w:tr>
        <w:trPr>
          <w:trHeight w:val="195"/>
        </w:trPr>
        <w:tc>
          <w:tcPr>
            <w:tcW w:w="2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700" w:hanging="408"/>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700" w:right="1060" w:hanging="408"/>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700" w:right="1080" w:hanging="408"/>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700" w:right="1080" w:hanging="408"/>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720" w:right="1080" w:hanging="238"/>
        <w:spacing w:after="0" w:line="286" w:lineRule="auto"/>
        <w:tabs>
          <w:tab w:leader="none" w:pos="7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720" w:right="1060" w:hanging="248"/>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20" w:right="1060" w:hanging="238"/>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720" w:right="1080" w:hanging="248"/>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jc w:val="both"/>
        <w:ind w:left="700" w:right="1060" w:hanging="408"/>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720" w:right="1080" w:hanging="238"/>
        <w:spacing w:after="0" w:line="342" w:lineRule="auto"/>
        <w:tabs>
          <w:tab w:leader="none" w:pos="7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720" w:right="1080" w:hanging="248"/>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21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960" w:type="dxa"/>
            <w:vAlign w:val="bottom"/>
            <w:gridSpan w:val="3"/>
          </w:tcPr>
          <w:p>
            <w:pPr>
              <w:ind w:left="1700"/>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800" w:type="dxa"/>
            <w:vAlign w:val="bottom"/>
          </w:tcPr>
          <w:p>
            <w:pPr>
              <w:spacing w:after="0"/>
              <w:rPr>
                <w:sz w:val="20"/>
                <w:szCs w:val="20"/>
                <w:color w:val="auto"/>
              </w:rPr>
            </w:pPr>
            <w:r>
              <w:rPr>
                <w:rFonts w:ascii="Arial" w:cs="Arial" w:eastAsia="Arial" w:hAnsi="Arial"/>
                <w:sz w:val="18"/>
                <w:szCs w:val="18"/>
                <w:color w:val="auto"/>
              </w:rPr>
              <w:t>August 8, 2013</w:t>
            </w:r>
          </w:p>
        </w:tc>
        <w:tc>
          <w:tcPr>
            <w:tcW w:w="1700" w:type="dxa"/>
            <w:vAlign w:val="bottom"/>
          </w:tcPr>
          <w:p>
            <w:pPr>
              <w:spacing w:after="0"/>
              <w:rPr>
                <w:sz w:val="24"/>
                <w:szCs w:val="24"/>
                <w:color w:val="auto"/>
              </w:rPr>
            </w:pPr>
          </w:p>
        </w:tc>
        <w:tc>
          <w:tcPr>
            <w:tcW w:w="42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Jeffrey W. Church</w:t>
            </w:r>
          </w:p>
        </w:tc>
      </w:tr>
      <w:tr>
        <w:trPr>
          <w:trHeight w:val="195"/>
        </w:trPr>
        <w:tc>
          <w:tcPr>
            <w:tcW w:w="2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6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2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w w:val="99"/>
              </w:rPr>
              <w:t>Senior Vice President and Chief Financial</w:t>
            </w:r>
          </w:p>
        </w:tc>
      </w:tr>
      <w:tr>
        <w:trPr>
          <w:trHeight w:val="230"/>
        </w:trPr>
        <w:tc>
          <w:tcPr>
            <w:tcW w:w="2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60" w:type="dxa"/>
            <w:vAlign w:val="bottom"/>
          </w:tcPr>
          <w:p>
            <w:pPr>
              <w:ind w:left="48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2013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214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August 8, 2013</w:t>
            </w:r>
          </w:p>
        </w:tc>
        <w:tc>
          <w:tcPr>
            <w:tcW w:w="2160" w:type="dxa"/>
            <w:vAlign w:val="bottom"/>
          </w:tcPr>
          <w:p>
            <w:pPr>
              <w:ind w:left="1740"/>
              <w:spacing w:after="0"/>
              <w:rPr>
                <w:sz w:val="20"/>
                <w:szCs w:val="20"/>
                <w:color w:val="auto"/>
              </w:rPr>
            </w:pPr>
            <w:r>
              <w:rPr>
                <w:rFonts w:ascii="Arial" w:cs="Arial" w:eastAsia="Arial" w:hAnsi="Arial"/>
                <w:sz w:val="18"/>
                <w:szCs w:val="18"/>
                <w:color w:val="auto"/>
              </w:rPr>
              <w:t>By:</w:t>
            </w:r>
          </w:p>
        </w:tc>
        <w:tc>
          <w:tcPr>
            <w:tcW w:w="3720" w:type="dxa"/>
            <w:vAlign w:val="bottom"/>
            <w:gridSpan w:val="2"/>
          </w:tcPr>
          <w:p>
            <w:pPr>
              <w:ind w:left="140"/>
              <w:spacing w:after="0"/>
              <w:rPr>
                <w:sz w:val="20"/>
                <w:szCs w:val="20"/>
                <w:color w:val="auto"/>
              </w:rPr>
            </w:pPr>
            <w:r>
              <w:rPr>
                <w:rFonts w:ascii="Arial" w:cs="Arial" w:eastAsia="Arial" w:hAnsi="Arial"/>
                <w:sz w:val="18"/>
                <w:szCs w:val="18"/>
                <w:i w:val="1"/>
                <w:iCs w:val="1"/>
                <w:color w:val="auto"/>
              </w:rPr>
              <w:t>/s/ Michael H. Tardugno</w:t>
            </w:r>
          </w:p>
        </w:tc>
      </w:tr>
      <w:tr>
        <w:trPr>
          <w:trHeight w:val="195"/>
        </w:trPr>
        <w:tc>
          <w:tcPr>
            <w:tcW w:w="2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August 8, 2013</w:t>
            </w:r>
          </w:p>
        </w:tc>
        <w:tc>
          <w:tcPr>
            <w:tcW w:w="2160" w:type="dxa"/>
            <w:vAlign w:val="bottom"/>
          </w:tcPr>
          <w:p>
            <w:pPr>
              <w:ind w:left="1740"/>
              <w:spacing w:after="0"/>
              <w:rPr>
                <w:sz w:val="20"/>
                <w:szCs w:val="20"/>
                <w:color w:val="auto"/>
              </w:rPr>
            </w:pPr>
            <w:r>
              <w:rPr>
                <w:rFonts w:ascii="Arial" w:cs="Arial" w:eastAsia="Arial" w:hAnsi="Arial"/>
                <w:sz w:val="18"/>
                <w:szCs w:val="18"/>
                <w:color w:val="auto"/>
              </w:rPr>
              <w:t>By:</w:t>
            </w:r>
          </w:p>
        </w:tc>
        <w:tc>
          <w:tcPr>
            <w:tcW w:w="3720" w:type="dxa"/>
            <w:vAlign w:val="bottom"/>
            <w:gridSpan w:val="2"/>
          </w:tcPr>
          <w:p>
            <w:pPr>
              <w:ind w:left="140"/>
              <w:spacing w:after="0"/>
              <w:rPr>
                <w:sz w:val="20"/>
                <w:szCs w:val="20"/>
                <w:color w:val="auto"/>
              </w:rPr>
            </w:pPr>
            <w:r>
              <w:rPr>
                <w:rFonts w:ascii="Arial" w:cs="Arial" w:eastAsia="Arial" w:hAnsi="Arial"/>
                <w:sz w:val="18"/>
                <w:szCs w:val="18"/>
                <w:i w:val="1"/>
                <w:iCs w:val="1"/>
                <w:color w:val="auto"/>
              </w:rPr>
              <w:t>/s/ Jeffrey W. Church</w:t>
            </w:r>
          </w:p>
        </w:tc>
      </w:tr>
      <w:tr>
        <w:trPr>
          <w:trHeight w:val="195"/>
        </w:trPr>
        <w:tc>
          <w:tcPr>
            <w:tcW w:w="2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2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2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2019-12-05T21:02:14Z</dcterms:created>
  <dcterms:modified xsi:type="dcterms:W3CDTF">2019-12-05T21:02:14Z</dcterms:modified>
</cp:coreProperties>
</file>