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354330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June 29, 2026</w:t>
      </w:r>
    </w:p>
    <w:p>
      <w:pPr>
        <w:spacing w:after="0" w:line="2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Imunon, Inc.</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3220" w:type="dxa"/>
            <w:vAlign w:val="bottom"/>
          </w:tcPr>
          <w:p>
            <w:pPr>
              <w:jc w:val="center"/>
              <w:ind w:left="31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4220" w:type="dxa"/>
            <w:vAlign w:val="bottom"/>
            <w:gridSpan w:val="3"/>
          </w:tcPr>
          <w:p>
            <w:pPr>
              <w:jc w:val="center"/>
              <w:ind w:left="530"/>
              <w:spacing w:after="0"/>
              <w:rPr>
                <w:sz w:val="20"/>
                <w:szCs w:val="20"/>
                <w:color w:val="auto"/>
              </w:rPr>
            </w:pPr>
            <w:r>
              <w:rPr>
                <w:rFonts w:ascii="Times New Roman" w:cs="Times New Roman" w:eastAsia="Times New Roman" w:hAnsi="Times New Roman"/>
                <w:sz w:val="18"/>
                <w:szCs w:val="18"/>
                <w:b w:val="1"/>
                <w:bCs w:val="1"/>
                <w:color w:val="auto"/>
                <w:w w:val="97"/>
              </w:rPr>
              <w:t>001-15911</w:t>
            </w:r>
          </w:p>
        </w:tc>
        <w:tc>
          <w:tcPr>
            <w:tcW w:w="2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040" w:type="dxa"/>
            <w:vAlign w:val="bottom"/>
          </w:tcPr>
          <w:p>
            <w:pPr>
              <w:jc w:val="center"/>
              <w:ind w:right="470"/>
              <w:spacing w:after="0"/>
              <w:rPr>
                <w:sz w:val="20"/>
                <w:szCs w:val="20"/>
                <w:color w:val="auto"/>
              </w:rPr>
            </w:pPr>
            <w:r>
              <w:rPr>
                <w:rFonts w:ascii="Times New Roman" w:cs="Times New Roman" w:eastAsia="Times New Roman" w:hAnsi="Times New Roman"/>
                <w:sz w:val="18"/>
                <w:szCs w:val="18"/>
                <w:b w:val="1"/>
                <w:bCs w:val="1"/>
                <w:color w:val="auto"/>
              </w:rPr>
              <w:t>52-1256615</w:t>
            </w:r>
          </w:p>
        </w:tc>
      </w:tr>
      <w:tr>
        <w:trPr>
          <w:trHeight w:val="194"/>
        </w:trPr>
        <w:tc>
          <w:tcPr>
            <w:tcW w:w="3220" w:type="dxa"/>
            <w:vAlign w:val="bottom"/>
            <w:tcBorders>
              <w:top w:val="single" w:sz="8" w:color="auto"/>
            </w:tcBorders>
          </w:tcPr>
          <w:p>
            <w:pPr>
              <w:jc w:val="center"/>
              <w:ind w:left="310"/>
              <w:spacing w:after="0" w:line="194" w:lineRule="exact"/>
              <w:rPr>
                <w:sz w:val="20"/>
                <w:szCs w:val="20"/>
                <w:color w:val="auto"/>
              </w:rPr>
            </w:pPr>
            <w:r>
              <w:rPr>
                <w:rFonts w:ascii="Times New Roman" w:cs="Times New Roman" w:eastAsia="Times New Roman" w:hAnsi="Times New Roman"/>
                <w:sz w:val="18"/>
                <w:szCs w:val="18"/>
                <w:b w:val="1"/>
                <w:bCs w:val="1"/>
                <w:color w:val="auto"/>
              </w:rPr>
              <w:t>(State or other jurisdiction</w:t>
            </w:r>
          </w:p>
        </w:tc>
        <w:tc>
          <w:tcPr>
            <w:tcW w:w="40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3600" w:type="dxa"/>
            <w:vAlign w:val="bottom"/>
            <w:tcBorders>
              <w:top w:val="single" w:sz="8" w:color="auto"/>
            </w:tcBorders>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8"/>
              </w:rPr>
              <w:t>(Commission</w:t>
            </w:r>
          </w:p>
        </w:tc>
        <w:tc>
          <w:tcPr>
            <w:tcW w:w="200" w:type="dxa"/>
            <w:vAlign w:val="bottom"/>
          </w:tcPr>
          <w:p>
            <w:pPr>
              <w:spacing w:after="0"/>
              <w:rPr>
                <w:sz w:val="16"/>
                <w:szCs w:val="16"/>
                <w:color w:val="auto"/>
              </w:rPr>
            </w:pPr>
          </w:p>
        </w:tc>
        <w:tc>
          <w:tcPr>
            <w:tcW w:w="560" w:type="dxa"/>
            <w:vAlign w:val="bottom"/>
            <w:tcBorders>
              <w:top w:val="single" w:sz="8" w:color="auto"/>
            </w:tcBorders>
          </w:tcPr>
          <w:p>
            <w:pPr>
              <w:spacing w:after="0"/>
              <w:rPr>
                <w:sz w:val="16"/>
                <w:szCs w:val="16"/>
                <w:color w:val="auto"/>
              </w:rPr>
            </w:pPr>
          </w:p>
        </w:tc>
        <w:tc>
          <w:tcPr>
            <w:tcW w:w="3040" w:type="dxa"/>
            <w:vAlign w:val="bottom"/>
            <w:tcBorders>
              <w:top w:val="single" w:sz="8" w:color="auto"/>
            </w:tcBorders>
          </w:tcPr>
          <w:p>
            <w:pPr>
              <w:jc w:val="center"/>
              <w:ind w:right="470"/>
              <w:spacing w:after="0" w:line="194" w:lineRule="exact"/>
              <w:rPr>
                <w:sz w:val="20"/>
                <w:szCs w:val="20"/>
                <w:color w:val="auto"/>
              </w:rPr>
            </w:pPr>
            <w:r>
              <w:rPr>
                <w:rFonts w:ascii="Times New Roman" w:cs="Times New Roman" w:eastAsia="Times New Roman" w:hAnsi="Times New Roman"/>
                <w:sz w:val="18"/>
                <w:szCs w:val="18"/>
                <w:b w:val="1"/>
                <w:bCs w:val="1"/>
                <w:color w:val="auto"/>
                <w:w w:val="99"/>
              </w:rPr>
              <w:t>(IRS Employer</w:t>
            </w:r>
          </w:p>
        </w:tc>
      </w:tr>
      <w:tr>
        <w:trPr>
          <w:trHeight w:val="238"/>
        </w:trPr>
        <w:tc>
          <w:tcPr>
            <w:tcW w:w="3220" w:type="dxa"/>
            <w:vAlign w:val="bottom"/>
          </w:tcPr>
          <w:p>
            <w:pPr>
              <w:jc w:val="center"/>
              <w:ind w:left="310"/>
              <w:spacing w:after="0"/>
              <w:rPr>
                <w:sz w:val="20"/>
                <w:szCs w:val="20"/>
                <w:color w:val="auto"/>
              </w:rPr>
            </w:pPr>
            <w:r>
              <w:rPr>
                <w:rFonts w:ascii="Times New Roman" w:cs="Times New Roman" w:eastAsia="Times New Roman" w:hAnsi="Times New Roman"/>
                <w:sz w:val="18"/>
                <w:szCs w:val="18"/>
                <w:b w:val="1"/>
                <w:bCs w:val="1"/>
                <w:color w:val="auto"/>
                <w:w w:val="98"/>
              </w:rPr>
              <w:t>of incorporation)</w:t>
            </w:r>
          </w:p>
        </w:tc>
        <w:tc>
          <w:tcPr>
            <w:tcW w:w="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360" w:type="dxa"/>
            <w:vAlign w:val="bottom"/>
            <w:gridSpan w:val="3"/>
          </w:tcPr>
          <w:p>
            <w:pPr>
              <w:jc w:val="center"/>
              <w:ind w:right="760"/>
              <w:spacing w:after="0"/>
              <w:rPr>
                <w:sz w:val="20"/>
                <w:szCs w:val="20"/>
                <w:color w:val="auto"/>
              </w:rPr>
            </w:pPr>
            <w:r>
              <w:rPr>
                <w:rFonts w:ascii="Times New Roman" w:cs="Times New Roman" w:eastAsia="Times New Roman" w:hAnsi="Times New Roman"/>
                <w:sz w:val="18"/>
                <w:szCs w:val="18"/>
                <w:b w:val="1"/>
                <w:bCs w:val="1"/>
                <w:color w:val="auto"/>
              </w:rPr>
              <w:t>File Number)</w:t>
            </w:r>
          </w:p>
        </w:tc>
        <w:tc>
          <w:tcPr>
            <w:tcW w:w="3040" w:type="dxa"/>
            <w:vAlign w:val="bottom"/>
          </w:tcPr>
          <w:p>
            <w:pPr>
              <w:jc w:val="center"/>
              <w:ind w:right="470"/>
              <w:spacing w:after="0"/>
              <w:rPr>
                <w:sz w:val="20"/>
                <w:szCs w:val="20"/>
                <w:color w:val="auto"/>
              </w:rPr>
            </w:pPr>
            <w:r>
              <w:rPr>
                <w:rFonts w:ascii="Times New Roman" w:cs="Times New Roman" w:eastAsia="Times New Roman" w:hAnsi="Times New Roman"/>
                <w:sz w:val="18"/>
                <w:szCs w:val="18"/>
                <w:b w:val="1"/>
                <w:bCs w:val="1"/>
                <w:color w:val="auto"/>
                <w:w w:val="99"/>
              </w:rPr>
              <w:t>Identification No.)</w:t>
            </w:r>
          </w:p>
        </w:tc>
      </w:tr>
      <w:tr>
        <w:trPr>
          <w:trHeight w:val="439"/>
        </w:trPr>
        <w:tc>
          <w:tcPr>
            <w:tcW w:w="8200" w:type="dxa"/>
            <w:vAlign w:val="bottom"/>
            <w:gridSpan w:val="6"/>
          </w:tcPr>
          <w:p>
            <w:pPr>
              <w:jc w:val="center"/>
              <w:ind w:right="740"/>
              <w:spacing w:after="0"/>
              <w:rPr>
                <w:sz w:val="20"/>
                <w:szCs w:val="20"/>
                <w:color w:val="auto"/>
              </w:rPr>
            </w:pPr>
            <w:r>
              <w:rPr>
                <w:rFonts w:ascii="Times New Roman" w:cs="Times New Roman" w:eastAsia="Times New Roman" w:hAnsi="Times New Roman"/>
                <w:sz w:val="18"/>
                <w:szCs w:val="18"/>
                <w:b w:val="1"/>
                <w:bCs w:val="1"/>
                <w:color w:val="auto"/>
                <w:w w:val="99"/>
              </w:rPr>
              <w:t>997 Lenox Drive, Suite 100, Lawrenceville, NJ</w:t>
            </w:r>
          </w:p>
        </w:tc>
        <w:tc>
          <w:tcPr>
            <w:tcW w:w="3040" w:type="dxa"/>
            <w:vAlign w:val="bottom"/>
          </w:tcPr>
          <w:p>
            <w:pPr>
              <w:jc w:val="center"/>
              <w:ind w:right="450"/>
              <w:spacing w:after="0"/>
              <w:rPr>
                <w:sz w:val="20"/>
                <w:szCs w:val="20"/>
                <w:color w:val="auto"/>
              </w:rPr>
            </w:pPr>
            <w:r>
              <w:rPr>
                <w:rFonts w:ascii="Times New Roman" w:cs="Times New Roman" w:eastAsia="Times New Roman" w:hAnsi="Times New Roman"/>
                <w:sz w:val="18"/>
                <w:szCs w:val="18"/>
                <w:b w:val="1"/>
                <w:bCs w:val="1"/>
                <w:color w:val="auto"/>
                <w:w w:val="98"/>
              </w:rPr>
              <w:t>08648-2311</w:t>
            </w:r>
          </w:p>
        </w:tc>
      </w:tr>
      <w:tr>
        <w:trPr>
          <w:trHeight w:val="238"/>
        </w:trPr>
        <w:tc>
          <w:tcPr>
            <w:tcW w:w="7440" w:type="dxa"/>
            <w:vAlign w:val="bottom"/>
            <w:tcBorders>
              <w:top w:val="single" w:sz="8" w:color="auto"/>
            </w:tcBorders>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(Address of principal executive offices)</w:t>
            </w:r>
          </w:p>
        </w:tc>
        <w:tc>
          <w:tcPr>
            <w:tcW w:w="200" w:type="dxa"/>
            <w:vAlign w:val="bottom"/>
          </w:tcPr>
          <w:p>
            <w:pPr>
              <w:spacing w:after="0"/>
              <w:rPr>
                <w:sz w:val="20"/>
                <w:szCs w:val="20"/>
                <w:color w:val="auto"/>
              </w:rPr>
            </w:pPr>
          </w:p>
        </w:tc>
        <w:tc>
          <w:tcPr>
            <w:tcW w:w="560" w:type="dxa"/>
            <w:vAlign w:val="bottom"/>
            <w:tcBorders>
              <w:top w:val="single" w:sz="8" w:color="auto"/>
            </w:tcBorders>
          </w:tcPr>
          <w:p>
            <w:pPr>
              <w:spacing w:after="0"/>
              <w:rPr>
                <w:sz w:val="20"/>
                <w:szCs w:val="20"/>
                <w:color w:val="auto"/>
              </w:rPr>
            </w:pPr>
          </w:p>
        </w:tc>
        <w:tc>
          <w:tcPr>
            <w:tcW w:w="3040" w:type="dxa"/>
            <w:vAlign w:val="bottom"/>
            <w:tcBorders>
              <w:top w:val="single" w:sz="8" w:color="auto"/>
            </w:tcBorders>
          </w:tcPr>
          <w:p>
            <w:pPr>
              <w:jc w:val="center"/>
              <w:ind w:right="470"/>
              <w:spacing w:after="0"/>
              <w:rPr>
                <w:sz w:val="20"/>
                <w:szCs w:val="20"/>
                <w:color w:val="auto"/>
              </w:rPr>
            </w:pPr>
            <w:r>
              <w:rPr>
                <w:rFonts w:ascii="Times New Roman" w:cs="Times New Roman" w:eastAsia="Times New Roman" w:hAnsi="Times New Roman"/>
                <w:sz w:val="18"/>
                <w:szCs w:val="18"/>
                <w:b w:val="1"/>
                <w:bCs w:val="1"/>
                <w:color w:val="auto"/>
              </w:rPr>
              <w:t>(Zip Code)</w:t>
            </w:r>
          </w:p>
        </w:tc>
      </w:tr>
      <w:tr>
        <w:trPr>
          <w:trHeight w:val="387"/>
        </w:trPr>
        <w:tc>
          <w:tcPr>
            <w:tcW w:w="3220" w:type="dxa"/>
            <w:vAlign w:val="bottom"/>
          </w:tcPr>
          <w:p>
            <w:pPr>
              <w:spacing w:after="0"/>
              <w:rPr>
                <w:sz w:val="24"/>
                <w:szCs w:val="24"/>
                <w:color w:val="auto"/>
              </w:rPr>
            </w:pPr>
          </w:p>
        </w:tc>
        <w:tc>
          <w:tcPr>
            <w:tcW w:w="4220" w:type="dxa"/>
            <w:vAlign w:val="bottom"/>
            <w:gridSpan w:val="3"/>
          </w:tcPr>
          <w:p>
            <w:pPr>
              <w:jc w:val="center"/>
              <w:ind w:left="490"/>
              <w:spacing w:after="0"/>
              <w:rPr>
                <w:sz w:val="20"/>
                <w:szCs w:val="20"/>
                <w:color w:val="auto"/>
              </w:rPr>
            </w:pPr>
            <w:r>
              <w:rPr>
                <w:rFonts w:ascii="Times New Roman" w:cs="Times New Roman" w:eastAsia="Times New Roman" w:hAnsi="Times New Roman"/>
                <w:sz w:val="18"/>
                <w:szCs w:val="18"/>
                <w:b w:val="1"/>
                <w:bCs w:val="1"/>
                <w:color w:val="auto"/>
                <w:w w:val="99"/>
              </w:rPr>
              <w:t>(609) 896-9100</w:t>
            </w: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40" w:type="dxa"/>
            <w:vAlign w:val="bottom"/>
          </w:tcPr>
          <w:p>
            <w:pPr>
              <w:spacing w:after="0"/>
              <w:rPr>
                <w:sz w:val="24"/>
                <w:szCs w:val="24"/>
                <w:color w:val="auto"/>
              </w:rPr>
            </w:pPr>
          </w:p>
        </w:tc>
      </w:tr>
      <w:tr>
        <w:trPr>
          <w:trHeight w:val="238"/>
        </w:trPr>
        <w:tc>
          <w:tcPr>
            <w:tcW w:w="3220" w:type="dxa"/>
            <w:vAlign w:val="bottom"/>
          </w:tcPr>
          <w:p>
            <w:pPr>
              <w:spacing w:after="0"/>
              <w:rPr>
                <w:sz w:val="20"/>
                <w:szCs w:val="20"/>
                <w:color w:val="auto"/>
              </w:rPr>
            </w:pPr>
          </w:p>
        </w:tc>
        <w:tc>
          <w:tcPr>
            <w:tcW w:w="4980" w:type="dxa"/>
            <w:vAlign w:val="bottom"/>
            <w:gridSpan w:val="5"/>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(Registrant’s telephone number, including area code)</w:t>
            </w:r>
          </w:p>
        </w:tc>
        <w:tc>
          <w:tcPr>
            <w:tcW w:w="3040" w:type="dxa"/>
            <w:vAlign w:val="bottom"/>
          </w:tcPr>
          <w:p>
            <w:pPr>
              <w:spacing w:after="0"/>
              <w:rPr>
                <w:sz w:val="20"/>
                <w:szCs w:val="20"/>
                <w:color w:val="auto"/>
              </w:rPr>
            </w:pPr>
          </w:p>
        </w:tc>
      </w:tr>
    </w:tbl>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(Former name or former address, if changed since last report.)</w:t>
      </w:r>
    </w:p>
    <w:p>
      <w:pPr>
        <w:spacing w:after="0" w:line="207"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62" w:lineRule="exact"/>
        <w:rPr>
          <w:sz w:val="24"/>
          <w:szCs w:val="24"/>
          <w:color w:val="auto"/>
        </w:rPr>
      </w:pPr>
    </w:p>
    <w:p>
      <w:pPr>
        <w:ind w:left="660" w:hanging="328"/>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660" w:hanging="328"/>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660" w:hanging="328"/>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3580" w:right="2540" w:hanging="3248"/>
        <w:spacing w:after="0" w:line="508" w:lineRule="auto"/>
        <w:tabs>
          <w:tab w:leader="none" w:pos="661"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5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4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Trading symbol(s)</w:t>
            </w:r>
          </w:p>
        </w:tc>
        <w:tc>
          <w:tcPr>
            <w:tcW w:w="4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28"/>
        </w:trPr>
        <w:tc>
          <w:tcPr>
            <w:tcW w:w="42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$0.01 per share</w:t>
            </w:r>
          </w:p>
        </w:tc>
        <w:tc>
          <w:tcPr>
            <w:tcW w:w="240" w:type="dxa"/>
            <w:vAlign w:val="bottom"/>
          </w:tcPr>
          <w:p>
            <w:pPr>
              <w:spacing w:after="0"/>
              <w:rPr>
                <w:sz w:val="19"/>
                <w:szCs w:val="19"/>
                <w:color w:val="auto"/>
              </w:rPr>
            </w:pPr>
          </w:p>
        </w:tc>
        <w:tc>
          <w:tcPr>
            <w:tcW w:w="22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IMNN</w:t>
            </w:r>
          </w:p>
        </w:tc>
        <w:tc>
          <w:tcPr>
            <w:tcW w:w="220" w:type="dxa"/>
            <w:vAlign w:val="bottom"/>
          </w:tcPr>
          <w:p>
            <w:pPr>
              <w:spacing w:after="0"/>
              <w:rPr>
                <w:sz w:val="19"/>
                <w:szCs w:val="19"/>
                <w:color w:val="auto"/>
              </w:rPr>
            </w:pPr>
          </w:p>
        </w:tc>
        <w:tc>
          <w:tcPr>
            <w:tcW w:w="42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Nasdaq Capital Market</w:t>
            </w:r>
          </w:p>
        </w:tc>
      </w:tr>
    </w:tbl>
    <w:p>
      <w:pPr>
        <w:spacing w:after="0" w:line="179"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as defined in Rule 405 of the Securities Act of 1933 (§ 230.405 of this chapter) or Rule 12b-2 of the Securities Exchange Act of 1934 (§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462915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40" w:right="339" w:bottom="1440" w:gutter="0" w:footer="0" w:header="0"/>
        </w:sectPr>
      </w:pPr>
    </w:p>
    <w:bookmarkStart w:id="1" w:name="page2"/>
    <w:bookmarkEnd w:id="1"/>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Item 5.02 Departure of Directors or Certain Officers; Election of Directors; Appointment of Certain Officers; Compensatory Arrangements of Certain Officers.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Retirement of interim Chief Financial Officer</w:t>
      </w:r>
    </w:p>
    <w:p>
      <w:pPr>
        <w:spacing w:after="0" w:line="229"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18"/>
          <w:szCs w:val="18"/>
          <w:color w:val="auto"/>
        </w:rPr>
        <w:t>On June 29, 2026, Jeffrey Church informed Imunon, Inc. (the “Company”) of his intent to retire from the position of interim Chief Financial Officer (a position he has held since January of 2026), effective July 1, 2026 (the “Retirement Date”). To help ensure a smooth transition of his responsibilities to his successor, Mr. Church and the Company agreed that he will continue in a consulting role with the Company. The Company and Mr. Church amended the Consulting Agreement, effective July 1, 2026, pursuant to which, the Company agreed to pay Mr. Church a monthly retainer of $10,000 (that may be terminated upon 2 business days’ notice). Mr. Church’s departure is due to retirement and is without any disagreements with management.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Appointment of New Chief Financial Officer</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a result of Mr. Church’s retirement, effective July 1, 2026, the Company appointed Josh Blacher to serve as the Company’s new interim Chief Financial Officer under a master services agreement (the “Agreement”), dated June 24, 2026, between the Company and Danforth Health, Inc., a financial advisory services firm (“Danforth”). Mr. Blacher will serve as the Company’s principal financial officer and principal accounting officer.</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Mr. Blacher, age 54, currently serves as an employee of Danforth since September 2022, where he has worked as a chief financial officer in a consulting capacity for a number of life sciences companies as well as Managing Partner of Columbus Circle Capital LLC since August 2019. In his capacity as a consultant of Danforth, he has served as Chief Financial Officer of BullFrog AI Holdings, Inc. (Nasdaq: BFRG) since December 2024, among others. During his tenure at Columbus Circle Capital, Mr. Blacher has served as chief financial officer at several public and private companies. Prior to his tenure at Columbus Circle Capital, Mr. Blacher served as Chief Business Officer at Inmed Pharmaceuticals (Nasdaq: INM) from April 2018 to August 2019, as Chief Financial Officer of Therapix Biosciences (Nasdaq: TRPX) from April 2017 to April 2018, and as Chief Financial Officer at Galmed Pharmaceuticals (Nasdaq: GLMD) from October 2014 to March 2017. Earlier in his career, Mr. Blacher served in senior capacities at Teva Pharmaceuticals, Deutsche Asset Management and Morgan Stanley. Mr. Blacher holds a Bachelor of Arts in Economics from Yeshiva University and a Master of Business Administration in Finance from Columbia Business School.</w:t>
      </w:r>
    </w:p>
    <w:p>
      <w:pPr>
        <w:spacing w:after="0" w:line="18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Under the Agreement, the Company will pay Danforth $475 per hour for Mr. Blacher’s service as the Company’s Chief Financial Officer. The foregoing description of the Agreement is not complete and is qualified in its entirety by reference to the Agreement, which is filed herewith as Exhibit 10.1 and incorporated by reference herein.</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selection of Mr. Blacher to serve as principal financial officer and principal accounting officer was not pursuant to any arrangement or understanding between him and any other person. Mr. Blacher has no family relationship with any director or executive officer of the Company, and he has no direct or indirect material interest in any transaction required to be disclosed pursuant to Item 404(a) of Regulation S-K of the Securities Exchange Act of 1934, as amended.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 Exhibits.</w:t>
            </w:r>
          </w:p>
        </w:tc>
        <w:tc>
          <w:tcPr>
            <w:tcW w:w="7600" w:type="dxa"/>
            <w:vAlign w:val="bottom"/>
          </w:tcPr>
          <w:p>
            <w:pPr>
              <w:spacing w:after="0"/>
              <w:rPr>
                <w:sz w:val="20"/>
                <w:szCs w:val="20"/>
                <w:color w:val="auto"/>
              </w:rPr>
            </w:pPr>
          </w:p>
        </w:tc>
        <w:tc>
          <w:tcPr>
            <w:tcW w:w="2540" w:type="dxa"/>
            <w:vAlign w:val="bottom"/>
          </w:tcPr>
          <w:p>
            <w:pPr>
              <w:spacing w:after="0"/>
              <w:rPr>
                <w:sz w:val="20"/>
                <w:szCs w:val="20"/>
                <w:color w:val="auto"/>
              </w:rPr>
            </w:pPr>
          </w:p>
        </w:tc>
      </w:tr>
      <w:tr>
        <w:trPr>
          <w:trHeight w:val="410"/>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7600" w:type="dxa"/>
            <w:vAlign w:val="bottom"/>
          </w:tcPr>
          <w:p>
            <w:pPr>
              <w:spacing w:after="0"/>
              <w:rPr>
                <w:sz w:val="24"/>
                <w:szCs w:val="24"/>
                <w:color w:val="auto"/>
              </w:rPr>
            </w:pPr>
          </w:p>
        </w:tc>
        <w:tc>
          <w:tcPr>
            <w:tcW w:w="2540" w:type="dxa"/>
            <w:vAlign w:val="bottom"/>
          </w:tcPr>
          <w:p>
            <w:pPr>
              <w:spacing w:after="0"/>
              <w:rPr>
                <w:sz w:val="24"/>
                <w:szCs w:val="24"/>
                <w:color w:val="auto"/>
              </w:rPr>
            </w:pPr>
          </w:p>
        </w:tc>
      </w:tr>
      <w:tr>
        <w:trPr>
          <w:trHeight w:val="238"/>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w:t>
            </w:r>
          </w:p>
        </w:tc>
        <w:tc>
          <w:tcPr>
            <w:tcW w:w="10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385"/>
        </w:trPr>
        <w:tc>
          <w:tcPr>
            <w:tcW w:w="9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10.1</w:t>
            </w:r>
          </w:p>
        </w:tc>
        <w:tc>
          <w:tcPr>
            <w:tcW w:w="120" w:type="dxa"/>
            <w:vAlign w:val="bottom"/>
          </w:tcPr>
          <w:p>
            <w:pPr>
              <w:spacing w:after="0"/>
              <w:rPr>
                <w:sz w:val="24"/>
                <w:szCs w:val="24"/>
                <w:color w:val="auto"/>
              </w:rPr>
            </w:pPr>
          </w:p>
        </w:tc>
        <w:tc>
          <w:tcPr>
            <w:tcW w:w="1014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0000EE"/>
              </w:rPr>
              <w:t>Master Services Agreement, dated June 24, 2026, by and between Imunon, Inc. and Danforth Health, Inc.</w:t>
            </w:r>
          </w:p>
        </w:tc>
      </w:tr>
      <w:tr>
        <w:trPr>
          <w:trHeight w:val="236"/>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tcPr>
          <w:p>
            <w:pPr>
              <w:spacing w:after="0"/>
              <w:rPr>
                <w:sz w:val="20"/>
                <w:szCs w:val="20"/>
                <w:color w:val="auto"/>
              </w:rPr>
            </w:pPr>
          </w:p>
        </w:tc>
        <w:tc>
          <w:tcPr>
            <w:tcW w:w="7600" w:type="dxa"/>
            <w:vAlign w:val="bottom"/>
            <w:tcBorders>
              <w:top w:val="single" w:sz="8" w:color="0000EE"/>
            </w:tcBorders>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c>
          <w:tcPr>
            <w:tcW w:w="2540" w:type="dxa"/>
            <w:vAlign w:val="bottom"/>
          </w:tcPr>
          <w:p>
            <w:pPr>
              <w:spacing w:after="0"/>
              <w:rPr>
                <w:sz w:val="20"/>
                <w:szCs w:val="20"/>
                <w:color w:val="auto"/>
              </w:rPr>
            </w:pPr>
          </w:p>
        </w:tc>
      </w:tr>
      <w:tr>
        <w:trPr>
          <w:trHeight w:val="432"/>
        </w:trPr>
        <w:tc>
          <w:tcPr>
            <w:tcW w:w="9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600" w:type="dxa"/>
            <w:vAlign w:val="bottom"/>
            <w:tcBorders>
              <w:bottom w:val="single" w:sz="8" w:color="auto"/>
            </w:tcBorders>
          </w:tcPr>
          <w:p>
            <w:pPr>
              <w:spacing w:after="0"/>
              <w:rPr>
                <w:sz w:val="24"/>
                <w:szCs w:val="24"/>
                <w:color w:val="auto"/>
              </w:rPr>
            </w:pPr>
          </w:p>
        </w:tc>
        <w:tc>
          <w:tcPr>
            <w:tcW w:w="25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4"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80" w:type="dxa"/>
            <w:vAlign w:val="bottom"/>
          </w:tcPr>
          <w:p>
            <w:pPr>
              <w:spacing w:after="0"/>
              <w:rPr>
                <w:sz w:val="20"/>
                <w:szCs w:val="20"/>
                <w:color w:val="auto"/>
              </w:rPr>
            </w:pPr>
          </w:p>
        </w:tc>
        <w:tc>
          <w:tcPr>
            <w:tcW w:w="7660" w:type="dxa"/>
            <w:vAlign w:val="bottom"/>
            <w:gridSpan w:val="2"/>
          </w:tcPr>
          <w:p>
            <w:pPr>
              <w:ind w:left="2060"/>
              <w:spacing w:after="0"/>
              <w:rPr>
                <w:sz w:val="20"/>
                <w:szCs w:val="20"/>
                <w:color w:val="auto"/>
              </w:rPr>
            </w:pPr>
            <w:r>
              <w:rPr>
                <w:rFonts w:ascii="Times New Roman" w:cs="Times New Roman" w:eastAsia="Times New Roman" w:hAnsi="Times New Roman"/>
                <w:sz w:val="18"/>
                <w:szCs w:val="18"/>
                <w:b w:val="1"/>
                <w:bCs w:val="1"/>
                <w:color w:val="auto"/>
              </w:rPr>
              <w:t>IMUNON INC.</w:t>
            </w:r>
          </w:p>
        </w:tc>
      </w:tr>
      <w:tr>
        <w:trPr>
          <w:trHeight w:val="432"/>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Dated: June 30, 2026</w:t>
            </w:r>
          </w:p>
        </w:tc>
        <w:tc>
          <w:tcPr>
            <w:tcW w:w="7660" w:type="dxa"/>
            <w:vAlign w:val="bottom"/>
            <w:gridSpan w:val="2"/>
          </w:tcPr>
          <w:p>
            <w:pPr>
              <w:ind w:left="206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Susan Eylward</w:t>
            </w:r>
          </w:p>
        </w:tc>
      </w:tr>
      <w:tr>
        <w:trPr>
          <w:trHeight w:val="191"/>
        </w:trPr>
        <w:tc>
          <w:tcPr>
            <w:tcW w:w="358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52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Susan Eylward</w:t>
            </w:r>
          </w:p>
        </w:tc>
      </w:tr>
      <w:tr>
        <w:trPr>
          <w:trHeight w:val="234"/>
        </w:trPr>
        <w:tc>
          <w:tcPr>
            <w:tcW w:w="358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General Counsel and Corporate Secretary</w:t>
            </w:r>
          </w:p>
        </w:tc>
      </w:tr>
      <w:tr>
        <w:trPr>
          <w:trHeight w:val="432"/>
        </w:trPr>
        <w:tc>
          <w:tcPr>
            <w:tcW w:w="3580" w:type="dxa"/>
            <w:vAlign w:val="bottom"/>
            <w:tcBorders>
              <w:bottom w:val="single" w:sz="8" w:color="auto"/>
            </w:tcBorders>
          </w:tcPr>
          <w:p>
            <w:pPr>
              <w:spacing w:after="0"/>
              <w:rPr>
                <w:sz w:val="24"/>
                <w:szCs w:val="24"/>
                <w:color w:val="auto"/>
              </w:rPr>
            </w:pPr>
          </w:p>
        </w:tc>
        <w:tc>
          <w:tcPr>
            <w:tcW w:w="2380" w:type="dxa"/>
            <w:vAlign w:val="bottom"/>
            <w:tcBorders>
              <w:bottom w:val="single" w:sz="8" w:color="auto"/>
            </w:tcBorders>
          </w:tcPr>
          <w:p>
            <w:pPr>
              <w:spacing w:after="0"/>
              <w:rPr>
                <w:sz w:val="24"/>
                <w:szCs w:val="24"/>
                <w:color w:val="auto"/>
              </w:rPr>
            </w:pPr>
          </w:p>
        </w:tc>
        <w:tc>
          <w:tcPr>
            <w:tcW w:w="52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4" w:right="339" w:bottom="1440" w:gutter="0" w:footer="0" w:header="0"/>
        </w:sectPr>
      </w:pPr>
    </w:p>
    <w:bookmarkStart w:id="3" w:name="page4"/>
    <w:bookmarkEnd w:id="3"/>
    <w:p>
      <w:pPr>
        <w:ind w:left="9000"/>
        <w:spacing w:after="0"/>
        <w:rPr>
          <w:sz w:val="20"/>
          <w:szCs w:val="20"/>
          <w:color w:val="auto"/>
        </w:rPr>
      </w:pPr>
      <w:r>
        <w:rPr>
          <w:rFonts w:ascii="Times New Roman" w:cs="Times New Roman" w:eastAsia="Times New Roman" w:hAnsi="Times New Roman"/>
          <w:sz w:val="21"/>
          <w:szCs w:val="21"/>
          <w:b w:val="1"/>
          <w:bCs w:val="1"/>
          <w:color w:val="auto"/>
        </w:rPr>
        <w:t>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175260</wp:posOffset>
            </wp:positionV>
            <wp:extent cx="7132320" cy="90443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9044305"/>
                    </a:xfrm>
                    <a:prstGeom prst="rect">
                      <a:avLst/>
                    </a:prstGeom>
                    <a:noFill/>
                  </pic:spPr>
                </pic:pic>
              </a:graphicData>
            </a:graphic>
          </wp:anchor>
        </w:drawing>
      </w:r>
    </w:p>
    <w:p>
      <w:pPr>
        <w:sectPr>
          <w:pgSz w:w="11900" w:h="16838" w:orient="portrait"/>
          <w:cols w:equalWidth="0" w:num="1">
            <w:col w:w="10120"/>
          </w:cols>
          <w:pgMar w:left="1440" w:top="351" w:right="339" w:bottom="1440" w:gutter="0" w:footer="0" w:header="0"/>
        </w:sectPr>
      </w:pPr>
    </w:p>
    <w:bookmarkStart w:id="4" w:name="page5"/>
    <w:bookmarkEnd w:id="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90443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90443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918146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91814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904430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90443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904430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90443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90697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90697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906970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90697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90443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90443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90443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90443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90697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90697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90697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90697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90697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90697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90443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90443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90443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904430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2026-06-30T15:53:11Z</dcterms:created>
  <dcterms:modified xsi:type="dcterms:W3CDTF">2026-06-30T15:53:11Z</dcterms:modified>
</cp:coreProperties>
</file>