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1" w:lineRule="exact"/>
        <w:rPr>
          <w:sz w:val="24"/>
          <w:szCs w:val="24"/>
          <w:color w:val="auto"/>
        </w:rPr>
      </w:pPr>
    </w:p>
    <w:p>
      <w:pPr>
        <w:ind w:left="4100" w:right="1980" w:hanging="3707"/>
        <w:spacing w:after="0" w:line="501" w:lineRule="auto"/>
        <w:tabs>
          <w:tab w:leader="none" w:pos="76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2017</w:t>
      </w: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rFonts w:ascii="MS PGothic" w:cs="MS PGothic" w:eastAsia="MS PGothic" w:hAnsi="MS PGothic"/>
          <w:sz w:val="18"/>
          <w:szCs w:val="18"/>
          <w:color w:val="auto"/>
        </w:rPr>
      </w:pPr>
    </w:p>
    <w:p>
      <w:pPr>
        <w:ind w:left="3420" w:right="1940" w:hanging="2883"/>
        <w:spacing w:after="0" w:line="501" w:lineRule="auto"/>
        <w:tabs>
          <w:tab w:leader="none" w:pos="778"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ind w:left="434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001-15911</w:t>
      </w:r>
    </w:p>
    <w:p>
      <w:pPr>
        <w:spacing w:after="0" w:line="22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420" w:type="dxa"/>
        <w:tblCellMar>
          <w:top w:w="0" w:type="dxa"/>
          <w:left w:w="0" w:type="dxa"/>
          <w:bottom w:w="0" w:type="dxa"/>
          <w:right w:w="0" w:type="dxa"/>
        </w:tblCellMar>
      </w:tblPr>
      <w:tr>
        <w:trPr>
          <w:trHeight w:val="234"/>
        </w:trPr>
        <w:tc>
          <w:tcPr>
            <w:tcW w:w="5200" w:type="dxa"/>
            <w:vAlign w:val="bottom"/>
          </w:tcPr>
          <w:p>
            <w:pPr>
              <w:ind w:left="1680"/>
              <w:spacing w:after="0"/>
              <w:rPr>
                <w:sz w:val="20"/>
                <w:szCs w:val="20"/>
                <w:color w:val="auto"/>
              </w:rPr>
            </w:pPr>
            <w:r>
              <w:rPr>
                <w:rFonts w:ascii="Arial" w:cs="Arial" w:eastAsia="Arial" w:hAnsi="Arial"/>
                <w:sz w:val="18"/>
                <w:szCs w:val="18"/>
                <w:b w:val="1"/>
                <w:bCs w:val="1"/>
                <w:color w:val="auto"/>
              </w:rPr>
              <w:t>Delaware</w:t>
            </w:r>
          </w:p>
        </w:tc>
        <w:tc>
          <w:tcPr>
            <w:tcW w:w="5400" w:type="dxa"/>
            <w:vAlign w:val="bottom"/>
            <w:gridSpan w:val="2"/>
          </w:tcPr>
          <w:p>
            <w:pPr>
              <w:jc w:val="right"/>
              <w:ind w:right="2610"/>
              <w:spacing w:after="0"/>
              <w:rPr>
                <w:sz w:val="20"/>
                <w:szCs w:val="20"/>
                <w:color w:val="auto"/>
              </w:rPr>
            </w:pPr>
            <w:r>
              <w:rPr>
                <w:rFonts w:ascii="Arial" w:cs="Arial" w:eastAsia="Arial" w:hAnsi="Arial"/>
                <w:sz w:val="18"/>
                <w:szCs w:val="18"/>
                <w:b w:val="1"/>
                <w:bCs w:val="1"/>
                <w:color w:val="auto"/>
              </w:rPr>
              <w:t>52-1256615</w:t>
            </w:r>
          </w:p>
        </w:tc>
      </w:tr>
      <w:tr>
        <w:trPr>
          <w:trHeight w:val="224"/>
        </w:trPr>
        <w:tc>
          <w:tcPr>
            <w:tcW w:w="52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(State or other jurisdiction of incorporation or organization)</w:t>
            </w:r>
          </w:p>
        </w:tc>
        <w:tc>
          <w:tcPr>
            <w:tcW w:w="200" w:type="dxa"/>
            <w:vAlign w:val="bottom"/>
          </w:tcPr>
          <w:p>
            <w:pPr>
              <w:spacing w:after="0"/>
              <w:rPr>
                <w:sz w:val="19"/>
                <w:szCs w:val="19"/>
                <w:color w:val="auto"/>
              </w:rPr>
            </w:pPr>
          </w:p>
        </w:tc>
        <w:tc>
          <w:tcPr>
            <w:tcW w:w="5200" w:type="dxa"/>
            <w:vAlign w:val="bottom"/>
            <w:tcBorders>
              <w:top w:val="single" w:sz="8" w:color="auto"/>
            </w:tcBorders>
          </w:tcPr>
          <w:p>
            <w:pPr>
              <w:jc w:val="right"/>
              <w:ind w:right="1370"/>
              <w:spacing w:after="0"/>
              <w:rPr>
                <w:sz w:val="20"/>
                <w:szCs w:val="20"/>
                <w:color w:val="auto"/>
              </w:rPr>
            </w:pPr>
            <w:r>
              <w:rPr>
                <w:rFonts w:ascii="Arial" w:cs="Arial" w:eastAsia="Arial" w:hAnsi="Arial"/>
                <w:sz w:val="18"/>
                <w:szCs w:val="18"/>
                <w:color w:val="auto"/>
              </w:rPr>
              <w:t>(I.R.S. Employer Identification Number)</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997 Lenox Drive, Suite 100 Lawrenceville</w:t>
      </w:r>
      <w:r>
        <w:rPr>
          <w:rFonts w:ascii="Arial" w:cs="Arial" w:eastAsia="Arial" w:hAnsi="Arial"/>
          <w:sz w:val="18"/>
          <w:szCs w:val="18"/>
          <w:color w:val="auto"/>
        </w:rPr>
        <w:t>,</w:t>
      </w:r>
      <w:r>
        <w:rPr>
          <w:rFonts w:ascii="Arial" w:cs="Arial" w:eastAsia="Arial" w:hAnsi="Arial"/>
          <w:sz w:val="18"/>
          <w:szCs w:val="18"/>
          <w:b w:val="1"/>
          <w:bCs w:val="1"/>
          <w:color w:val="auto"/>
        </w:rPr>
        <w:t xml:space="preserve"> NJ 08648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29" w:right="239" w:bottom="1440" w:gutter="0" w:footer="0" w:header="0"/>
        </w:sectPr>
      </w:pPr>
    </w:p>
    <w:p>
      <w:pPr>
        <w:spacing w:after="0" w:line="149" w:lineRule="exact"/>
        <w:rPr>
          <w:sz w:val="24"/>
          <w:szCs w:val="24"/>
          <w:color w:val="auto"/>
        </w:rPr>
      </w:pPr>
    </w:p>
    <w:p>
      <w:pPr>
        <w:ind w:left="4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6520" w:space="720"/>
            <w:col w:w="1380" w:space="720"/>
            <w:col w:w="2080"/>
          </w:cols>
          <w:pgMar w:left="240" w:top="229" w:right="239" w:bottom="1440" w:gutter="0" w:footer="0" w:header="0"/>
          <w:type w:val="continuous"/>
        </w:sectPr>
      </w:pPr>
    </w:p>
    <w:p>
      <w:pPr>
        <w:spacing w:after="0" w:line="48" w:lineRule="exact"/>
        <w:rPr>
          <w:sz w:val="24"/>
          <w:szCs w:val="24"/>
          <w:color w:val="auto"/>
        </w:rPr>
      </w:pPr>
    </w:p>
    <w:p>
      <w:pPr>
        <w:ind w:left="4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920" w:space="320"/>
            <w:col w:w="4280" w:space="720"/>
            <w:col w:w="1960" w:space="420"/>
            <w:col w:w="1800"/>
          </w:cols>
          <w:pgMar w:left="240" w:top="229" w:right="239" w:bottom="1440" w:gutter="0" w:footer="0" w:header="0"/>
          <w:type w:val="continuous"/>
        </w:sectPr>
      </w:pPr>
    </w:p>
    <w:p>
      <w:pPr>
        <w:spacing w:after="0" w:line="48" w:lineRule="exact"/>
        <w:rPr>
          <w:sz w:val="24"/>
          <w:szCs w:val="24"/>
          <w:color w:val="auto"/>
        </w:rPr>
      </w:pPr>
    </w:p>
    <w:p>
      <w:pPr>
        <w:ind w:left="4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2360" w:space="180"/>
            <w:col w:w="8880"/>
          </w:cols>
          <w:pgMar w:left="240" w:top="229" w:right="239" w:bottom="1440" w:gutter="0" w:footer="0" w:header="0"/>
          <w:type w:val="continuous"/>
        </w:sectPr>
      </w:pPr>
    </w:p>
    <w:p>
      <w:pPr>
        <w:spacing w:after="0" w:line="4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As of August 11, 2017, the Registrant had 8,351,322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01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CELSION CORPORATION</w:t>
            </w:r>
          </w:p>
        </w:tc>
        <w:tc>
          <w:tcPr>
            <w:tcW w:w="5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101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QUARTERLY REPORT ON</w:t>
            </w:r>
          </w:p>
        </w:tc>
        <w:tc>
          <w:tcPr>
            <w:tcW w:w="56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10120" w:type="dxa"/>
            <w:vAlign w:val="bottom"/>
          </w:tcPr>
          <w:p>
            <w:pPr>
              <w:ind w:left="4480"/>
              <w:spacing w:after="0"/>
              <w:rPr>
                <w:sz w:val="20"/>
                <w:szCs w:val="20"/>
                <w:color w:val="auto"/>
              </w:rPr>
            </w:pPr>
            <w:r>
              <w:rPr>
                <w:rFonts w:ascii="Arial" w:cs="Arial" w:eastAsia="Arial" w:hAnsi="Arial"/>
                <w:sz w:val="18"/>
                <w:szCs w:val="18"/>
                <w:b w:val="1"/>
                <w:bCs w:val="1"/>
                <w:color w:val="auto"/>
              </w:rPr>
              <w:t>FORM 10-Q</w:t>
            </w:r>
          </w:p>
        </w:tc>
        <w:tc>
          <w:tcPr>
            <w:tcW w:w="560" w:type="dxa"/>
            <w:vAlign w:val="bottom"/>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1012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r>
      <w:tr>
        <w:trPr>
          <w:trHeight w:val="432"/>
        </w:trPr>
        <w:tc>
          <w:tcPr>
            <w:tcW w:w="740" w:type="dxa"/>
            <w:vAlign w:val="bottom"/>
          </w:tcPr>
          <w:p>
            <w:pPr>
              <w:spacing w:after="0"/>
              <w:rPr>
                <w:sz w:val="24"/>
                <w:szCs w:val="24"/>
                <w:color w:val="auto"/>
              </w:rPr>
            </w:pPr>
          </w:p>
        </w:tc>
        <w:tc>
          <w:tcPr>
            <w:tcW w:w="10120" w:type="dxa"/>
            <w:vAlign w:val="bottom"/>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2"/>
              </w:rPr>
              <w:t>Page(s)</w:t>
            </w:r>
          </w:p>
        </w:tc>
      </w:tr>
      <w:tr>
        <w:trPr>
          <w:trHeight w:val="210"/>
        </w:trPr>
        <w:tc>
          <w:tcPr>
            <w:tcW w:w="10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shd w:val="clear" w:color="auto" w:fill="CCEEFF"/>
          </w:tcPr>
          <w:p>
            <w:pPr>
              <w:spacing w:after="0"/>
              <w:rPr>
                <w:sz w:val="18"/>
                <w:szCs w:val="18"/>
                <w:color w:val="auto"/>
              </w:rPr>
            </w:pPr>
          </w:p>
        </w:tc>
      </w:tr>
      <w:tr>
        <w:trPr>
          <w:trHeight w:val="216"/>
        </w:trPr>
        <w:tc>
          <w:tcPr>
            <w:tcW w:w="1086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Item 1.   Financial Statements (Unaudited)</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740" w:type="dxa"/>
            <w:vAlign w:val="bottom"/>
          </w:tcPr>
          <w:p>
            <w:pPr>
              <w:spacing w:after="0"/>
              <w:rPr>
                <w:sz w:val="18"/>
                <w:szCs w:val="18"/>
                <w:color w:val="auto"/>
              </w:rPr>
            </w:pPr>
          </w:p>
        </w:tc>
        <w:tc>
          <w:tcPr>
            <w:tcW w:w="10120" w:type="dxa"/>
            <w:vAlign w:val="bottom"/>
          </w:tcPr>
          <w:p>
            <w:pPr>
              <w:ind w:left="80"/>
              <w:spacing w:after="0"/>
              <w:rPr>
                <w:sz w:val="20"/>
                <w:szCs w:val="20"/>
                <w:color w:val="auto"/>
              </w:rPr>
            </w:pPr>
            <w:r>
              <w:rPr>
                <w:rFonts w:ascii="Arial" w:cs="Arial" w:eastAsia="Arial" w:hAnsi="Arial"/>
                <w:sz w:val="18"/>
                <w:szCs w:val="18"/>
                <w:color w:val="auto"/>
              </w:rPr>
              <w:t>Condensed Consolidated Balance Sheets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740" w:type="dxa"/>
            <w:vAlign w:val="bottom"/>
            <w:shd w:val="clear" w:color="auto" w:fill="CCEEFF"/>
          </w:tcPr>
          <w:p>
            <w:pPr>
              <w:spacing w:after="0"/>
              <w:rPr>
                <w:sz w:val="18"/>
                <w:szCs w:val="18"/>
                <w:color w:val="auto"/>
              </w:rPr>
            </w:pPr>
          </w:p>
        </w:tc>
        <w:tc>
          <w:tcPr>
            <w:tcW w:w="10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Condensed Consolidated Statements of Operations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740" w:type="dxa"/>
            <w:vAlign w:val="bottom"/>
          </w:tcPr>
          <w:p>
            <w:pPr>
              <w:spacing w:after="0"/>
              <w:rPr>
                <w:sz w:val="18"/>
                <w:szCs w:val="18"/>
                <w:color w:val="auto"/>
              </w:rPr>
            </w:pPr>
          </w:p>
        </w:tc>
        <w:tc>
          <w:tcPr>
            <w:tcW w:w="10120" w:type="dxa"/>
            <w:vAlign w:val="bottom"/>
          </w:tcPr>
          <w:p>
            <w:pPr>
              <w:ind w:left="80"/>
              <w:spacing w:after="0"/>
              <w:rPr>
                <w:sz w:val="20"/>
                <w:szCs w:val="20"/>
                <w:color w:val="auto"/>
              </w:rPr>
            </w:pPr>
            <w:r>
              <w:rPr>
                <w:rFonts w:ascii="Arial" w:cs="Arial" w:eastAsia="Arial" w:hAnsi="Arial"/>
                <w:sz w:val="18"/>
                <w:szCs w:val="18"/>
                <w:color w:val="auto"/>
              </w:rPr>
              <w:t>Condensed Consolidated Statements of Comprehensive Loss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740" w:type="dxa"/>
            <w:vAlign w:val="bottom"/>
            <w:shd w:val="clear" w:color="auto" w:fill="CCEEFF"/>
          </w:tcPr>
          <w:p>
            <w:pPr>
              <w:spacing w:after="0"/>
              <w:rPr>
                <w:sz w:val="18"/>
                <w:szCs w:val="18"/>
                <w:color w:val="auto"/>
              </w:rPr>
            </w:pPr>
          </w:p>
        </w:tc>
        <w:tc>
          <w:tcPr>
            <w:tcW w:w="10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Condensed Consolidated Statements of Cash Flows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740" w:type="dxa"/>
            <w:vAlign w:val="bottom"/>
          </w:tcPr>
          <w:p>
            <w:pPr>
              <w:spacing w:after="0"/>
              <w:rPr>
                <w:sz w:val="18"/>
                <w:szCs w:val="18"/>
                <w:color w:val="auto"/>
              </w:rPr>
            </w:pPr>
          </w:p>
        </w:tc>
        <w:tc>
          <w:tcPr>
            <w:tcW w:w="10120" w:type="dxa"/>
            <w:vAlign w:val="bottom"/>
          </w:tcPr>
          <w:p>
            <w:pPr>
              <w:ind w:left="80"/>
              <w:spacing w:after="0"/>
              <w:rPr>
                <w:sz w:val="20"/>
                <w:szCs w:val="20"/>
                <w:color w:val="auto"/>
              </w:rPr>
            </w:pPr>
            <w:r>
              <w:rPr>
                <w:rFonts w:ascii="Arial" w:cs="Arial" w:eastAsia="Arial" w:hAnsi="Arial"/>
                <w:sz w:val="18"/>
                <w:szCs w:val="18"/>
                <w:color w:val="auto"/>
              </w:rPr>
              <w:t>Notes to Condensed Consolidated Financial Statements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108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10860" w:type="dxa"/>
            <w:vAlign w:val="bottom"/>
            <w:gridSpan w:val="2"/>
          </w:tcPr>
          <w:p>
            <w:pPr>
              <w:ind w:left="4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08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10860" w:type="dxa"/>
            <w:vAlign w:val="bottom"/>
            <w:gridSpan w:val="2"/>
          </w:tcPr>
          <w:p>
            <w:pPr>
              <w:ind w:left="4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08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10860" w:type="dxa"/>
            <w:vAlign w:val="bottom"/>
            <w:gridSpan w:val="2"/>
          </w:tcPr>
          <w:p>
            <w:pPr>
              <w:ind w:left="40"/>
              <w:spacing w:after="0"/>
              <w:rPr>
                <w:sz w:val="20"/>
                <w:szCs w:val="20"/>
                <w:color w:val="auto"/>
              </w:rPr>
            </w:pPr>
            <w:r>
              <w:rPr>
                <w:rFonts w:ascii="Arial" w:cs="Arial" w:eastAsia="Arial" w:hAnsi="Arial"/>
                <w:sz w:val="18"/>
                <w:szCs w:val="18"/>
                <w:color w:val="auto"/>
              </w:rPr>
              <w:t>Item 4.   Controls and Procedures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08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10860" w:type="dxa"/>
            <w:vAlign w:val="bottom"/>
            <w:gridSpan w:val="2"/>
          </w:tcPr>
          <w:p>
            <w:pPr>
              <w:ind w:left="40"/>
              <w:spacing w:after="0"/>
              <w:rPr>
                <w:sz w:val="20"/>
                <w:szCs w:val="20"/>
                <w:color w:val="auto"/>
              </w:rPr>
            </w:pPr>
            <w:r>
              <w:rPr>
                <w:rFonts w:ascii="Arial" w:cs="Arial" w:eastAsia="Arial" w:hAnsi="Arial"/>
                <w:sz w:val="18"/>
                <w:szCs w:val="18"/>
                <w:b w:val="1"/>
                <w:bCs w:val="1"/>
                <w:color w:val="auto"/>
              </w:rPr>
              <w:t>PART II: OTHER INFORMATION</w:t>
            </w:r>
          </w:p>
        </w:tc>
        <w:tc>
          <w:tcPr>
            <w:tcW w:w="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10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740" w:type="dxa"/>
            <w:vAlign w:val="bottom"/>
          </w:tcPr>
          <w:p>
            <w:pPr>
              <w:ind w:left="40"/>
              <w:spacing w:after="0"/>
              <w:rPr>
                <w:sz w:val="20"/>
                <w:szCs w:val="20"/>
                <w:color w:val="auto"/>
              </w:rPr>
            </w:pPr>
            <w:r>
              <w:rPr>
                <w:rFonts w:ascii="Arial" w:cs="Arial" w:eastAsia="Arial" w:hAnsi="Arial"/>
                <w:sz w:val="18"/>
                <w:szCs w:val="18"/>
                <w:color w:val="auto"/>
              </w:rPr>
              <w:t>Item 1.</w:t>
            </w:r>
          </w:p>
        </w:tc>
        <w:tc>
          <w:tcPr>
            <w:tcW w:w="1012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1A.</w:t>
            </w:r>
          </w:p>
        </w:tc>
        <w:tc>
          <w:tcPr>
            <w:tcW w:w="10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740" w:type="dxa"/>
            <w:vAlign w:val="bottom"/>
          </w:tcPr>
          <w:p>
            <w:pPr>
              <w:ind w:left="40"/>
              <w:spacing w:after="0"/>
              <w:rPr>
                <w:sz w:val="20"/>
                <w:szCs w:val="20"/>
                <w:color w:val="auto"/>
              </w:rPr>
            </w:pPr>
            <w:r>
              <w:rPr>
                <w:rFonts w:ascii="Arial" w:cs="Arial" w:eastAsia="Arial" w:hAnsi="Arial"/>
                <w:sz w:val="18"/>
                <w:szCs w:val="18"/>
                <w:color w:val="auto"/>
              </w:rPr>
              <w:t>Item 2.</w:t>
            </w:r>
          </w:p>
        </w:tc>
        <w:tc>
          <w:tcPr>
            <w:tcW w:w="10120" w:type="dxa"/>
            <w:vAlign w:val="bottom"/>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3.</w:t>
            </w:r>
          </w:p>
        </w:tc>
        <w:tc>
          <w:tcPr>
            <w:tcW w:w="10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Defaults Upon Senior Securities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740" w:type="dxa"/>
            <w:vAlign w:val="bottom"/>
          </w:tcPr>
          <w:p>
            <w:pPr>
              <w:ind w:left="40"/>
              <w:spacing w:after="0"/>
              <w:rPr>
                <w:sz w:val="20"/>
                <w:szCs w:val="20"/>
                <w:color w:val="auto"/>
              </w:rPr>
            </w:pPr>
            <w:r>
              <w:rPr>
                <w:rFonts w:ascii="Arial" w:cs="Arial" w:eastAsia="Arial" w:hAnsi="Arial"/>
                <w:sz w:val="18"/>
                <w:szCs w:val="18"/>
                <w:color w:val="auto"/>
              </w:rPr>
              <w:t>Item 4.</w:t>
            </w:r>
          </w:p>
        </w:tc>
        <w:tc>
          <w:tcPr>
            <w:tcW w:w="10120" w:type="dxa"/>
            <w:vAlign w:val="bottom"/>
          </w:tcPr>
          <w:p>
            <w:pPr>
              <w:ind w:left="260"/>
              <w:spacing w:after="0"/>
              <w:rPr>
                <w:sz w:val="20"/>
                <w:szCs w:val="20"/>
                <w:color w:val="auto"/>
              </w:rPr>
            </w:pPr>
            <w:r>
              <w:rPr>
                <w:rFonts w:ascii="Arial" w:cs="Arial" w:eastAsia="Arial" w:hAnsi="Arial"/>
                <w:sz w:val="18"/>
                <w:szCs w:val="18"/>
                <w:color w:val="auto"/>
              </w:rPr>
              <w:t>Mine Safety Disclosures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5.</w:t>
            </w:r>
          </w:p>
        </w:tc>
        <w:tc>
          <w:tcPr>
            <w:tcW w:w="10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740" w:type="dxa"/>
            <w:vAlign w:val="bottom"/>
          </w:tcPr>
          <w:p>
            <w:pPr>
              <w:ind w:left="40"/>
              <w:spacing w:after="0"/>
              <w:rPr>
                <w:sz w:val="20"/>
                <w:szCs w:val="20"/>
                <w:color w:val="auto"/>
              </w:rPr>
            </w:pPr>
            <w:r>
              <w:rPr>
                <w:rFonts w:ascii="Arial" w:cs="Arial" w:eastAsia="Arial" w:hAnsi="Arial"/>
                <w:sz w:val="18"/>
                <w:szCs w:val="18"/>
                <w:color w:val="auto"/>
              </w:rPr>
              <w:t>Item 6.</w:t>
            </w:r>
          </w:p>
        </w:tc>
        <w:tc>
          <w:tcPr>
            <w:tcW w:w="10120" w:type="dxa"/>
            <w:vAlign w:val="bottom"/>
          </w:tcPr>
          <w:p>
            <w:pPr>
              <w:ind w:left="260"/>
              <w:spacing w:after="0"/>
              <w:rPr>
                <w:sz w:val="20"/>
                <w:szCs w:val="20"/>
                <w:color w:val="auto"/>
              </w:rPr>
            </w:pPr>
            <w:r>
              <w:rPr>
                <w:rFonts w:ascii="Arial" w:cs="Arial" w:eastAsia="Arial" w:hAnsi="Arial"/>
                <w:sz w:val="18"/>
                <w:szCs w:val="18"/>
                <w:color w:val="auto"/>
              </w:rPr>
              <w:t>Exhibits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08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34"/>
        </w:trPr>
        <w:tc>
          <w:tcPr>
            <w:tcW w:w="10860" w:type="dxa"/>
            <w:vAlign w:val="bottom"/>
            <w:gridSpan w:val="2"/>
          </w:tcPr>
          <w:p>
            <w:pPr>
              <w:ind w:left="40"/>
              <w:spacing w:after="0"/>
              <w:rPr>
                <w:sz w:val="20"/>
                <w:szCs w:val="20"/>
                <w:color w:val="auto"/>
              </w:rPr>
            </w:pPr>
            <w:r>
              <w:rPr>
                <w:rFonts w:ascii="Arial" w:cs="Arial" w:eastAsia="Arial" w:hAnsi="Arial"/>
                <w:sz w:val="18"/>
                <w:szCs w:val="18"/>
                <w:b w:val="1"/>
                <w:bCs w:val="1"/>
                <w:color w:val="auto"/>
              </w:rPr>
              <w:t>SIGNATURES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46</w:t>
            </w:r>
          </w:p>
        </w:tc>
      </w:tr>
    </w:tbl>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its wholly-owned subsidiaries CLSN Laboratories, Inc., also a Delaware corporation, and Celsion GmbH, a limited liability company in Zug Switzerland.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Celsion brand and product names, including but not limited to Celsion® and ThermoDox®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Pr>
          <w:p>
            <w:pPr>
              <w:jc w:val="center"/>
              <w:ind w:left="347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40" w:type="dxa"/>
            <w:vAlign w:val="bottom"/>
          </w:tcPr>
          <w:p>
            <w:pPr>
              <w:jc w:val="center"/>
              <w:ind w:left="3330"/>
              <w:spacing w:after="0"/>
              <w:rPr>
                <w:sz w:val="20"/>
                <w:szCs w:val="20"/>
                <w:color w:val="auto"/>
              </w:rPr>
            </w:pPr>
            <w:r>
              <w:rPr>
                <w:rFonts w:ascii="Arial" w:cs="Arial" w:eastAsia="Arial" w:hAnsi="Arial"/>
                <w:sz w:val="18"/>
                <w:szCs w:val="18"/>
                <w:b w:val="1"/>
                <w:bCs w:val="1"/>
                <w:color w:val="auto"/>
              </w:rPr>
              <w:t>CELSION CORPORATION</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40" w:type="dxa"/>
            <w:vAlign w:val="bottom"/>
          </w:tcPr>
          <w:p>
            <w:pPr>
              <w:jc w:val="center"/>
              <w:ind w:left="3370"/>
              <w:spacing w:after="0"/>
              <w:rPr>
                <w:sz w:val="20"/>
                <w:szCs w:val="20"/>
                <w:color w:val="auto"/>
              </w:rPr>
            </w:pPr>
            <w:r>
              <w:rPr>
                <w:rFonts w:ascii="Arial" w:cs="Arial" w:eastAsia="Arial" w:hAnsi="Arial"/>
                <w:sz w:val="18"/>
                <w:szCs w:val="18"/>
                <w:b w:val="1"/>
                <w:bCs w:val="1"/>
                <w:color w:val="auto"/>
                <w:w w:val="99"/>
              </w:rPr>
              <w:t>CONDENSED CONSOLIDATED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98"/>
              </w:rPr>
              <w:t>BALANCE SHEETS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3,629,038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2,624,162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securities – available for sale, at fair value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Accrued interest receivable on investment securities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Advances, deposits and other current assets</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109,947</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204,408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Subtotal current assets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3,738,985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4,512,578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 xml:space="preserve">Property and equipment </w:t>
            </w:r>
            <w:r>
              <w:rPr>
                <w:rFonts w:ascii="Arial" w:cs="Arial" w:eastAsia="Arial" w:hAnsi="Arial"/>
                <w:sz w:val="18"/>
                <w:szCs w:val="18"/>
                <w:color w:val="auto"/>
                <w:w w:val="96"/>
              </w:rPr>
              <w:t>(at cost, less accumulated depreciation and amortization of $2,740,422 and</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256,562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462,836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$2,513,022, respectively)</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22,766,491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22,766,491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intangible assets, net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1,022,924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1,976,101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Security deposit on letter of credit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Patent licensing fees and other assets, net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Subtotal other assets</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25,660,619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25,874,277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29,656,166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30,849,691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jc w:val="center"/>
              <w:ind w:left="3270"/>
              <w:spacing w:after="0"/>
              <w:rPr>
                <w:sz w:val="20"/>
                <w:szCs w:val="20"/>
                <w:color w:val="auto"/>
              </w:rPr>
            </w:pPr>
            <w:r>
              <w:rPr>
                <w:rFonts w:ascii="Arial" w:cs="Arial" w:eastAsia="Arial" w:hAnsi="Arial"/>
                <w:sz w:val="18"/>
                <w:szCs w:val="18"/>
                <w:b w:val="1"/>
                <w:bCs w:val="1"/>
                <w:color w:val="auto"/>
                <w:w w:val="87"/>
              </w:rPr>
              <w:t>See accompanying notes to the financial statements.</w:t>
            </w: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860" w:type="dxa"/>
            <w:vAlign w:val="bottom"/>
            <w:gridSpan w:val="2"/>
          </w:tcPr>
          <w:p>
            <w:pPr>
              <w:jc w:val="center"/>
              <w:ind w:left="3470"/>
              <w:spacing w:after="0"/>
              <w:rPr>
                <w:sz w:val="20"/>
                <w:szCs w:val="20"/>
                <w:color w:val="auto"/>
              </w:rPr>
            </w:pPr>
            <w:r>
              <w:rPr>
                <w:rFonts w:ascii="Arial" w:cs="Arial" w:eastAsia="Arial" w:hAnsi="Arial"/>
                <w:sz w:val="18"/>
                <w:szCs w:val="18"/>
                <w:color w:val="auto"/>
                <w:w w:val="99"/>
              </w:rPr>
              <w:t>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8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CELSION CORPORATION</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CONDENSED CONSOLIDATED</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8"/>
              </w:rPr>
              <w:t>BALANCE SHEETS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3"/>
              </w:rPr>
              <w:t>(Continued)</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payable ─ trade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3,544,583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2,878,978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2,911,891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2,483,756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Notes payable - current portion</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2,560,553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 –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Subtotal current liabilities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6,956,474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8,423,287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Earn-out milestone liability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13,764,205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13,188,226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 – non-current portion</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liabilities – non-current</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23,007,519</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24,123,865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Preferred Stock - $0.01 par value (100,000 shares authorized and no shares issued or outstanding at June 30,</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2017 and December 31, 2016, respectively)</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 $0.01 par value (112,500,000 shares authorized; 5,914,560 and 2,230,452 shares issued at</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w w:val="92"/>
              </w:rPr>
              <w:t>June 30, 2017 and December 31, 2016, respectively, and 5,914,226 and 2,230,118 shares outstanding at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June 30, 2017 and December 31, 2016, respectively)</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59,149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22,305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258,104,403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248,168,421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(251,429,717)</w:t>
            </w: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(241,379,712)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6,733,835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6,811,014</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Treasury stock, at cost (334 shares at June 30, 2017 and December 31, 2016)</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(85,188)</w:t>
            </w: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(85,188)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6,648,647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6,725,826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29,656,166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30,849,691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jc w:val="center"/>
              <w:ind w:left="3210"/>
              <w:spacing w:after="0"/>
              <w:rPr>
                <w:sz w:val="20"/>
                <w:szCs w:val="20"/>
                <w:color w:val="auto"/>
              </w:rPr>
            </w:pPr>
            <w:r>
              <w:rPr>
                <w:rFonts w:ascii="Arial" w:cs="Arial" w:eastAsia="Arial" w:hAnsi="Arial"/>
                <w:sz w:val="18"/>
                <w:szCs w:val="18"/>
                <w:b w:val="1"/>
                <w:bCs w:val="1"/>
                <w:color w:val="auto"/>
                <w:w w:val="87"/>
              </w:rPr>
              <w:t>See accompanying notes to the financial statements</w:t>
            </w: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8120" w:type="dxa"/>
            <w:vAlign w:val="bottom"/>
            <w:gridSpan w:val="2"/>
          </w:tcPr>
          <w:p>
            <w:pPr>
              <w:jc w:val="center"/>
              <w:ind w:left="321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60" w:type="dxa"/>
            <w:vAlign w:val="bottom"/>
            <w:gridSpan w:val="5"/>
          </w:tcPr>
          <w:p>
            <w:pPr>
              <w:jc w:val="center"/>
              <w:ind w:left="4030"/>
              <w:spacing w:after="0"/>
              <w:rPr>
                <w:sz w:val="20"/>
                <w:szCs w:val="20"/>
                <w:color w:val="auto"/>
              </w:rPr>
            </w:pPr>
            <w:r>
              <w:rPr>
                <w:rFonts w:ascii="Arial" w:cs="Arial" w:eastAsia="Arial" w:hAnsi="Arial"/>
                <w:sz w:val="18"/>
                <w:szCs w:val="18"/>
                <w:b w:val="1"/>
                <w:bCs w:val="1"/>
                <w:color w:val="auto"/>
              </w:rPr>
              <w:t>CELSION CORPORATION</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7260" w:type="dxa"/>
            <w:vAlign w:val="bottom"/>
            <w:gridSpan w:val="5"/>
          </w:tcPr>
          <w:p>
            <w:pPr>
              <w:jc w:val="center"/>
              <w:ind w:left="4030"/>
              <w:spacing w:after="0"/>
              <w:rPr>
                <w:sz w:val="20"/>
                <w:szCs w:val="20"/>
                <w:color w:val="auto"/>
              </w:rPr>
            </w:pPr>
            <w:r>
              <w:rPr>
                <w:rFonts w:ascii="Arial" w:cs="Arial" w:eastAsia="Arial" w:hAnsi="Arial"/>
                <w:sz w:val="18"/>
                <w:szCs w:val="18"/>
                <w:b w:val="1"/>
                <w:bCs w:val="1"/>
                <w:color w:val="auto"/>
                <w:w w:val="99"/>
              </w:rPr>
              <w:t>CONDENSED CONSOLIDATED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5"/>
          </w:tcPr>
          <w:p>
            <w:pPr>
              <w:jc w:val="center"/>
              <w:ind w:left="4050"/>
              <w:spacing w:after="0"/>
              <w:rPr>
                <w:sz w:val="20"/>
                <w:szCs w:val="20"/>
                <w:color w:val="auto"/>
              </w:rPr>
            </w:pPr>
            <w:r>
              <w:rPr>
                <w:rFonts w:ascii="Arial" w:cs="Arial" w:eastAsia="Arial" w:hAnsi="Arial"/>
                <w:sz w:val="18"/>
                <w:szCs w:val="18"/>
                <w:b w:val="1"/>
                <w:bCs w:val="1"/>
                <w:color w:val="auto"/>
                <w:w w:val="98"/>
              </w:rPr>
              <w:t>STATEMENTS OF OPERATIONS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3"/>
              </w:rPr>
              <w:t>Three Months</w:t>
            </w:r>
          </w:p>
        </w:tc>
        <w:tc>
          <w:tcPr>
            <w:tcW w:w="180" w:type="dxa"/>
            <w:vAlign w:val="bottom"/>
          </w:tcPr>
          <w:p>
            <w:pPr>
              <w:spacing w:after="0"/>
              <w:rPr>
                <w:sz w:val="24"/>
                <w:szCs w:val="24"/>
                <w:color w:val="auto"/>
              </w:rPr>
            </w:pPr>
          </w:p>
        </w:tc>
        <w:tc>
          <w:tcPr>
            <w:tcW w:w="25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90"/>
              </w:rPr>
              <w:t>Ended</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Ended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20" w:type="dxa"/>
            <w:vAlign w:val="bottom"/>
            <w:vMerge w:val="restart"/>
          </w:tcPr>
          <w:p>
            <w:pPr>
              <w:spacing w:after="0"/>
              <w:rPr>
                <w:sz w:val="24"/>
                <w:szCs w:val="24"/>
                <w:color w:val="auto"/>
              </w:rPr>
            </w:pPr>
          </w:p>
        </w:tc>
        <w:tc>
          <w:tcPr>
            <w:tcW w:w="520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3,046,631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3,336,372</w:t>
            </w:r>
          </w:p>
        </w:tc>
        <w:tc>
          <w:tcPr>
            <w:tcW w:w="180" w:type="dxa"/>
            <w:vAlign w:val="bottom"/>
          </w:tcPr>
          <w:p>
            <w:pPr>
              <w:spacing w:after="0"/>
              <w:rPr>
                <w:sz w:val="18"/>
                <w:szCs w:val="18"/>
                <w:color w:val="auto"/>
              </w:rPr>
            </w:pPr>
          </w:p>
        </w:tc>
        <w:tc>
          <w:tcPr>
            <w:tcW w:w="1220" w:type="dxa"/>
            <w:vAlign w:val="bottom"/>
            <w:gridSpan w:val="2"/>
          </w:tcPr>
          <w:p>
            <w:pPr>
              <w:jc w:val="right"/>
              <w:ind w:right="175"/>
              <w:spacing w:after="0"/>
              <w:rPr>
                <w:sz w:val="20"/>
                <w:szCs w:val="20"/>
                <w:color w:val="auto"/>
              </w:rPr>
            </w:pPr>
            <w:r>
              <w:rPr>
                <w:rFonts w:ascii="Arial" w:cs="Arial" w:eastAsia="Arial" w:hAnsi="Arial"/>
                <w:sz w:val="18"/>
                <w:szCs w:val="18"/>
                <w:color w:val="auto"/>
              </w:rPr>
              <w:t>6,521,907</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6,777,543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1,649,110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1,529,305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3,117,232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3,391,830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ind w:left="800"/>
              <w:spacing w:after="0"/>
              <w:rPr>
                <w:sz w:val="20"/>
                <w:szCs w:val="20"/>
                <w:color w:val="auto"/>
              </w:rPr>
            </w:pPr>
            <w:r>
              <w:rPr>
                <w:rFonts w:ascii="Arial" w:cs="Arial" w:eastAsia="Arial" w:hAnsi="Arial"/>
                <w:sz w:val="18"/>
                <w:szCs w:val="18"/>
                <w:b w:val="1"/>
                <w:bCs w:val="1"/>
                <w:color w:val="auto"/>
              </w:rPr>
              <w:t>Total operating expenses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4,695,741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4,865,677</w:t>
            </w:r>
          </w:p>
        </w:tc>
        <w:tc>
          <w:tcPr>
            <w:tcW w:w="180" w:type="dxa"/>
            <w:vAlign w:val="bottom"/>
          </w:tcPr>
          <w:p>
            <w:pPr>
              <w:spacing w:after="0"/>
              <w:rPr>
                <w:sz w:val="18"/>
                <w:szCs w:val="18"/>
                <w:color w:val="auto"/>
              </w:rPr>
            </w:pPr>
          </w:p>
        </w:tc>
        <w:tc>
          <w:tcPr>
            <w:tcW w:w="1220" w:type="dxa"/>
            <w:vAlign w:val="bottom"/>
            <w:gridSpan w:val="2"/>
          </w:tcPr>
          <w:p>
            <w:pPr>
              <w:jc w:val="right"/>
              <w:ind w:right="175"/>
              <w:spacing w:after="0"/>
              <w:rPr>
                <w:sz w:val="20"/>
                <w:szCs w:val="20"/>
                <w:color w:val="auto"/>
              </w:rPr>
            </w:pPr>
            <w:r>
              <w:rPr>
                <w:rFonts w:ascii="Arial" w:cs="Arial" w:eastAsia="Arial" w:hAnsi="Arial"/>
                <w:sz w:val="18"/>
                <w:szCs w:val="18"/>
                <w:color w:val="auto"/>
              </w:rPr>
              <w:t>9,639,139</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10,169,373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9"/>
              </w:rPr>
              <w:t>(4,570,741)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(4,740,677)</w:t>
            </w:r>
          </w:p>
        </w:tc>
        <w:tc>
          <w:tcPr>
            <w:tcW w:w="180" w:type="dxa"/>
            <w:vAlign w:val="bottom"/>
          </w:tcPr>
          <w:p>
            <w:pPr>
              <w:spacing w:after="0"/>
              <w:rPr>
                <w:sz w:val="18"/>
                <w:szCs w:val="18"/>
                <w:color w:val="auto"/>
              </w:rPr>
            </w:pPr>
          </w:p>
        </w:tc>
        <w:tc>
          <w:tcPr>
            <w:tcW w:w="1220" w:type="dxa"/>
            <w:vAlign w:val="bottom"/>
            <w:gridSpan w:val="2"/>
          </w:tcPr>
          <w:p>
            <w:pPr>
              <w:jc w:val="right"/>
              <w:ind w:right="115"/>
              <w:spacing w:after="0"/>
              <w:rPr>
                <w:sz w:val="20"/>
                <w:szCs w:val="20"/>
                <w:color w:val="auto"/>
              </w:rPr>
            </w:pPr>
            <w:r>
              <w:rPr>
                <w:rFonts w:ascii="Arial" w:cs="Arial" w:eastAsia="Arial" w:hAnsi="Arial"/>
                <w:sz w:val="18"/>
                <w:szCs w:val="18"/>
                <w:color w:val="auto"/>
              </w:rPr>
              <w:t>(9,389,139)</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(9,919,373)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(Loss) gain from change in valuation of earn-out milestone liability</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(292,228)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408,684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(575,979)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Investment income, net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4,358</w:t>
            </w:r>
          </w:p>
        </w:tc>
        <w:tc>
          <w:tcPr>
            <w:tcW w:w="180" w:type="dxa"/>
            <w:vAlign w:val="bottom"/>
          </w:tcPr>
          <w:p>
            <w:pPr>
              <w:spacing w:after="0"/>
              <w:rPr>
                <w:sz w:val="18"/>
                <w:szCs w:val="18"/>
                <w:color w:val="auto"/>
              </w:rPr>
            </w:pPr>
          </w:p>
        </w:tc>
        <w:tc>
          <w:tcPr>
            <w:tcW w:w="1220" w:type="dxa"/>
            <w:vAlign w:val="bottom"/>
            <w:gridSpan w:val="2"/>
          </w:tcPr>
          <w:p>
            <w:pPr>
              <w:jc w:val="right"/>
              <w:ind w:right="175"/>
              <w:spacing w:after="0"/>
              <w:rPr>
                <w:sz w:val="20"/>
                <w:szCs w:val="20"/>
                <w:color w:val="auto"/>
              </w:rPr>
            </w:pPr>
            <w:r>
              <w:rPr>
                <w:rFonts w:ascii="Arial" w:cs="Arial" w:eastAsia="Arial" w:hAnsi="Arial"/>
                <w:sz w:val="18"/>
                <w:szCs w:val="18"/>
                <w:color w:val="auto"/>
              </w:rPr>
              <w:t>3,417</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(203,353)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(91,756)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Other income (expense)</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20" w:type="dxa"/>
            <w:vAlign w:val="bottom"/>
            <w:gridSpan w:val="2"/>
          </w:tcPr>
          <w:p>
            <w:pPr>
              <w:jc w:val="right"/>
              <w:ind w:right="175"/>
              <w:spacing w:after="0"/>
              <w:rPr>
                <w:sz w:val="20"/>
                <w:szCs w:val="20"/>
                <w:color w:val="auto"/>
              </w:rPr>
            </w:pPr>
            <w:r>
              <w:rPr>
                <w:rFonts w:ascii="Arial" w:cs="Arial" w:eastAsia="Arial" w:hAnsi="Arial"/>
                <w:sz w:val="18"/>
                <w:szCs w:val="18"/>
                <w:color w:val="auto"/>
              </w:rPr>
              <w:t>3,452</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 other (expense) income, net</w:t>
            </w:r>
          </w:p>
        </w:tc>
        <w:tc>
          <w:tcPr>
            <w:tcW w:w="7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(319,128)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209,694</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(660,866</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(328,077)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(4,889,869)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(4,530,983)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w w:val="97"/>
              </w:rPr>
              <w:t>(10,050,005)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(10,247,450)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Deemed dividend related to warrant modification</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(345,685)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(345,685)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(5,235,554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(4,530,983</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(10,395,690</w:t>
            </w: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(10,247,450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b w:val="1"/>
                <w:bCs w:val="1"/>
                <w:color w:val="auto"/>
              </w:rPr>
              <w:t>Basic and diluted</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(0.79)</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15"/>
              <w:spacing w:after="0"/>
              <w:rPr>
                <w:sz w:val="20"/>
                <w:szCs w:val="20"/>
                <w:color w:val="auto"/>
              </w:rPr>
            </w:pPr>
            <w:r>
              <w:rPr>
                <w:rFonts w:ascii="Arial" w:cs="Arial" w:eastAsia="Arial" w:hAnsi="Arial"/>
                <w:sz w:val="18"/>
                <w:szCs w:val="18"/>
                <w:color w:val="auto"/>
              </w:rPr>
              <w:t>(1.75)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Basic and diluted</w:t>
            </w: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6,628,778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1,723,147</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5,948,570</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1,696,590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91"/>
              </w:rPr>
              <w:t>Three Months</w:t>
            </w:r>
          </w:p>
        </w:tc>
        <w:tc>
          <w:tcPr>
            <w:tcW w:w="242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0"/>
              </w:rPr>
              <w:t>Ended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center"/>
              <w:ind w:left="630"/>
              <w:spacing w:after="0"/>
              <w:rPr>
                <w:sz w:val="20"/>
                <w:szCs w:val="20"/>
                <w:color w:val="auto"/>
              </w:rPr>
            </w:pPr>
            <w:r>
              <w:rPr>
                <w:rFonts w:ascii="Arial" w:cs="Arial" w:eastAsia="Arial" w:hAnsi="Arial"/>
                <w:sz w:val="18"/>
                <w:szCs w:val="18"/>
                <w:b w:val="1"/>
                <w:bCs w:val="1"/>
                <w:color w:val="auto"/>
                <w:w w:val="90"/>
              </w:rPr>
              <w:t>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gain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w w:val="94"/>
              </w:rPr>
              <w:t>Realized loss on investment securities recognized in investment income,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investment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(4,889,869)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(4,530,983)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(10,050,005)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(10,247,450)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(4,889,869)  $</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(4,530,983)  $</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(10,050,005)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(10,243,592)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9"/>
              </w:rPr>
              <w:t>Six Months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0"/>
              </w:rPr>
              <w:t>Ended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(10,050,005)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(10,247,450)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Non-cash items included in net loss: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341,058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fair value of earn-out milestone liability</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575,979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costs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804,592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Shares issued out of treasury</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Amortization of deferred finance charges and debt discount associated with notes payable</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35,370</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Change in deferred rent liability</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24,488</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realized on sale of investment securities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Net changes in:</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interest on short term investments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Arial" w:cs="Arial" w:eastAsia="Arial" w:hAnsi="Arial"/>
                <w:sz w:val="18"/>
                <w:szCs w:val="18"/>
                <w:color w:val="auto"/>
              </w:rPr>
              <w:t>Advances, deposits and other current assets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94,461</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(311,222)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665,605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Arial" w:cs="Arial" w:eastAsia="Arial" w:hAnsi="Arial"/>
                <w:sz w:val="18"/>
                <w:szCs w:val="18"/>
                <w:color w:val="auto"/>
              </w:rPr>
              <w:t>Accrued liabilities</w:t>
            </w:r>
          </w:p>
        </w:tc>
        <w:tc>
          <w:tcPr>
            <w:tcW w:w="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428,135</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Net cash (used in) operating activities:</w:t>
            </w:r>
          </w:p>
        </w:tc>
        <w:tc>
          <w:tcPr>
            <w:tcW w:w="6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(7,326,309)</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(8,994,181)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Proceeds from sale and maturity of investment securities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10,799,890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investment securities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Refund of security for letter of credit</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(21,126)</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tcPr>
          <w:p>
            <w:pPr>
              <w:ind w:left="960"/>
              <w:spacing w:after="0"/>
              <w:rPr>
                <w:sz w:val="20"/>
                <w:szCs w:val="20"/>
                <w:color w:val="auto"/>
              </w:rPr>
            </w:pPr>
            <w:r>
              <w:rPr>
                <w:rFonts w:ascii="Arial" w:cs="Arial" w:eastAsia="Arial" w:hAnsi="Arial"/>
                <w:sz w:val="18"/>
                <w:szCs w:val="18"/>
                <w:b w:val="1"/>
                <w:bCs w:val="1"/>
                <w:color w:val="auto"/>
              </w:rPr>
              <w:t>Net cash provided by investing activities</w:t>
            </w: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1,758,874</w:t>
            </w: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8,597,132</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common stock equity, net of issuance costs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4,252,948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Proceeds from exercise of common stock warrants, net of issuance costs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4,915,286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payment and end of term charges on note payable</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(2,595,923)</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(1,990,670)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tcPr>
          <w:p>
            <w:pPr>
              <w:ind w:left="960"/>
              <w:spacing w:after="0"/>
              <w:rPr>
                <w:sz w:val="20"/>
                <w:szCs w:val="20"/>
                <w:color w:val="auto"/>
              </w:rPr>
            </w:pPr>
            <w:r>
              <w:rPr>
                <w:rFonts w:ascii="Arial" w:cs="Arial" w:eastAsia="Arial" w:hAnsi="Arial"/>
                <w:sz w:val="18"/>
                <w:szCs w:val="18"/>
                <w:b w:val="1"/>
                <w:bCs w:val="1"/>
                <w:color w:val="auto"/>
              </w:rPr>
              <w:t>Net cash provided by financing activities</w:t>
            </w: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6,572,311</w:t>
            </w: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3,439,694</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1,004,876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3,042,645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6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2,624,162</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9,265,144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3,629,038</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12,307,789</w:t>
            </w:r>
          </w:p>
        </w:tc>
        <w:tc>
          <w:tcPr>
            <w:tcW w:w="0" w:type="dxa"/>
            <w:vAlign w:val="bottom"/>
          </w:tcPr>
          <w:p>
            <w:pPr>
              <w:spacing w:after="0"/>
              <w:rPr>
                <w:sz w:val="1"/>
                <w:szCs w:val="1"/>
                <w:color w:val="auto"/>
              </w:rPr>
            </w:pPr>
          </w:p>
        </w:tc>
      </w:tr>
      <w:tr>
        <w:trPr>
          <w:trHeight w:val="20"/>
        </w:trPr>
        <w:tc>
          <w:tcPr>
            <w:tcW w:w="7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paid</w:t>
            </w: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56,386</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301,996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2017 AND 2016</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Business Description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Celsion Corporation, a Delaware corporation based in Lawrenceville, New Jersey, its wholly-owned subsidiaries CLSN Laboratories, Inc., also a Delaware corporation, and Celsion GmbH, a limited liability company in Zug Switzerland, referred to herein as “Celsion”, “we”, or “the Company”, as the context requires, is a fully-integrated development stage oncology drug company focused on developing a portfolio of innovative cancer treatments, including directed chemotherapies, DNA-mediated immunotherapy and RNA based therapies. Our lead product candidate is ThermoDox®, a proprietary dosage form of doxorubicin based on a heat-activated liposomal platform technology, currently in a Phase III clinical trial for the treatment of non-resectable hepatocellular carcinoma (“HCC”) also known as primary liver cancer, and a Phase II clinical trial for recurrent chest wall breast cancer. Our pipeline also includes GEN-1, a DNA-based immunotherapy currently in a Phase I clinical trial for the localized treatment of ovarian cancer and pre-clinical development for brain cancer. GEN-1 is based on a platform technology for the development of treatments using novel nucleic acid-based immunotherapies and other anti-cancer DNA or RNA therapies. We are working to develop and commercialize more efficient, effective and targeted oncology therapies based on our technologies, with the goal of developing novel therapeutics that maximize efficacy while minimizing side effects common to many cancer treatments.</w:t>
      </w:r>
    </w:p>
    <w:p>
      <w:pPr>
        <w:spacing w:after="0" w:line="16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Celsion Corporation, CLSN Laboratories, Inc. and Celsion GmbH, have been prepared in accordance with generally accepted accounting principles in the United States (GAAP) for interim financial information and with the instructions to Form 10-Q and Article 10 of Regulation S-X. All intercompany balances and transactions have been eliminated. Certain information and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and six month periods ended June 30, 2017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2016 filed with the Securities and Exchange Commission (SEC) on March 24, 2017.</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more fully described in Note 9, the Company effected a 1-for-14 reverse stock split of its common stock on May 26, 2017 which was made effective for trading purposes as of the commencement of trading on May 30, 2017. All prior period shares of common stock have been adjusted to reflect the 1-for-14 reverse stock split.</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Financial Condition and Going Concern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Food and Drug Administration (FDA). We have not generated significant revenue and have incurred significant net losses in each year since our inception. We have incurred approximately $251 million of cumulated net losses. As of June 30, 2017, we had approximately $3.6 million in cash and cash equivalents. In July 2017, we completed a $5 million registered direct equity offering of shares of common stock, or pre-funded warrants in lieu thereof, and a concurrent private placement of warrants to purchase common stock with several institutional healthcare investors.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produce, and market and sell its new product candidates. There can be no assurance that the Company will be able to commercialize its technology successfully or that profitability will ever be achieved. The Company expects that its operating results will fluctuate significantly in the future and will depend on a number of factors, many of which are outside the Company’s control. The Company will need substantial additional funding in order to complete the development, testing and commercialization of its oncology product candidates and we have made a significant commitment to heat-activated liposome research and development projects. It is our intention at least to maintain the pace and scope of these development activities.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have been prepared on the going concern basis. In making this assessment, management conducted a comprehensive review of the Company’s business plan including, but not limited to:</w:t>
      </w:r>
    </w:p>
    <w:p>
      <w:pPr>
        <w:spacing w:after="0" w:line="170" w:lineRule="exact"/>
        <w:rPr>
          <w:sz w:val="20"/>
          <w:szCs w:val="20"/>
          <w:color w:val="auto"/>
        </w:rPr>
      </w:pPr>
    </w:p>
    <w:p>
      <w:pPr>
        <w:ind w:left="440" w:hanging="21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financial position for the three and six months periods ended June 30, 2017;</w:t>
      </w:r>
    </w:p>
    <w:p>
      <w:pPr>
        <w:spacing w:after="0" w:line="23" w:lineRule="exact"/>
        <w:rPr>
          <w:rFonts w:ascii="Arial" w:cs="Arial" w:eastAsia="Arial" w:hAnsi="Arial"/>
          <w:sz w:val="18"/>
          <w:szCs w:val="18"/>
          <w:color w:val="auto"/>
        </w:rPr>
      </w:pPr>
    </w:p>
    <w:p>
      <w:pPr>
        <w:ind w:left="440" w:hanging="21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events and transaction the Company has entered into since December 31, 2016;</w:t>
      </w:r>
    </w:p>
    <w:p>
      <w:pPr>
        <w:spacing w:after="0" w:line="9" w:lineRule="exact"/>
        <w:rPr>
          <w:rFonts w:ascii="Arial" w:cs="Arial" w:eastAsia="Arial" w:hAnsi="Arial"/>
          <w:sz w:val="18"/>
          <w:szCs w:val="18"/>
          <w:color w:val="auto"/>
        </w:rPr>
      </w:pPr>
    </w:p>
    <w:p>
      <w:pPr>
        <w:ind w:left="440" w:right="1060" w:hanging="216"/>
        <w:spacing w:after="0" w:line="250"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capitalization structure including common stock outstanding and common stock issuable on exercise of warrants and equity awards, and other common stock issuable under equity plans; and</w:t>
      </w:r>
    </w:p>
    <w:p>
      <w:pPr>
        <w:ind w:left="440" w:hanging="21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support of the Company’s stockholders.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uncertainties involved in our business, we are unable to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 Our estimated future capital requirements are uncertain and could change materially as a result of many factors, including the progress of our research, development, clinical, manufacturing, and commercialization activities.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has determined the Company has suffered recurring losses from operations and has an accumulated deficit that raises substantial doubt about our ability to continue as a going concern for the next twelve months from our issuance date. The financial statements do not include any adjustments that might result from the outcome of the uncertainty.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fundamental component of the ability to continue as a going concern is the Company’s ability to raise capital as required, as to which no assurances can be provided. To address the additional funding requirements of the Company, management has undertaken the following initiatives:</w:t>
      </w:r>
    </w:p>
    <w:p>
      <w:pPr>
        <w:spacing w:after="0" w:line="147" w:lineRule="exact"/>
        <w:rPr>
          <w:sz w:val="20"/>
          <w:szCs w:val="20"/>
          <w:color w:val="auto"/>
        </w:rPr>
      </w:pPr>
    </w:p>
    <w:p>
      <w:pPr>
        <w:ind w:left="440" w:right="820" w:hanging="216"/>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February 2017, the Company raised approximately $5.0 million in gross proceeds through a public offering of its common stock and warrants to purchase common stock;</w:t>
      </w:r>
    </w:p>
    <w:p>
      <w:pPr>
        <w:spacing w:after="0" w:line="170" w:lineRule="exact"/>
        <w:rPr>
          <w:rFonts w:ascii="Arial" w:cs="Arial" w:eastAsia="Arial" w:hAnsi="Arial"/>
          <w:sz w:val="18"/>
          <w:szCs w:val="18"/>
          <w:color w:val="auto"/>
        </w:rPr>
      </w:pPr>
    </w:p>
    <w:p>
      <w:pPr>
        <w:ind w:left="440" w:right="820" w:hanging="216"/>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first six months of 2017, the Company raised approximately $5.1 million in gross proceeds through the exercise of warrants to purchase common stock;</w:t>
      </w:r>
    </w:p>
    <w:p>
      <w:pPr>
        <w:spacing w:after="0" w:line="170" w:lineRule="exact"/>
        <w:rPr>
          <w:rFonts w:ascii="Arial" w:cs="Arial" w:eastAsia="Arial" w:hAnsi="Arial"/>
          <w:sz w:val="18"/>
          <w:szCs w:val="18"/>
          <w:color w:val="auto"/>
        </w:rPr>
      </w:pPr>
    </w:p>
    <w:p>
      <w:pPr>
        <w:ind w:left="440" w:right="820" w:hanging="216"/>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July 2017, the Company raised approximately $5.0 million in gross proceeds through a registered direct offering of its common stock and warrants to purchase common stock;</w:t>
      </w:r>
    </w:p>
    <w:p>
      <w:pPr>
        <w:spacing w:after="0" w:line="170" w:lineRule="exact"/>
        <w:rPr>
          <w:rFonts w:ascii="Arial" w:cs="Arial" w:eastAsia="Arial" w:hAnsi="Arial"/>
          <w:sz w:val="18"/>
          <w:szCs w:val="18"/>
          <w:color w:val="auto"/>
        </w:rPr>
      </w:pPr>
    </w:p>
    <w:p>
      <w:pPr>
        <w:ind w:left="440" w:right="820" w:hanging="216"/>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shareholders approved an increase of its authorized shares sufficient to allow for the funding of its clinical programs at its Annual Meeting of Stockholders on May 16, 2017;</w:t>
      </w:r>
    </w:p>
    <w:p>
      <w:pPr>
        <w:spacing w:after="0" w:line="170" w:lineRule="exact"/>
        <w:rPr>
          <w:rFonts w:ascii="Arial" w:cs="Arial" w:eastAsia="Arial" w:hAnsi="Arial"/>
          <w:sz w:val="18"/>
          <w:szCs w:val="18"/>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$7.5 million under a controlled equity offering facility;</w:t>
      </w:r>
    </w:p>
    <w:p>
      <w:pPr>
        <w:spacing w:after="0" w:line="225" w:lineRule="exact"/>
        <w:rPr>
          <w:rFonts w:ascii="Arial" w:cs="Arial" w:eastAsia="Arial" w:hAnsi="Arial"/>
          <w:sz w:val="18"/>
          <w:szCs w:val="18"/>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assessed its current expenditures and has reduced the current spending requirements where necessary;</w:t>
      </w:r>
    </w:p>
    <w:p>
      <w:pPr>
        <w:spacing w:after="0" w:line="225" w:lineRule="exact"/>
        <w:rPr>
          <w:rFonts w:ascii="Arial" w:cs="Arial" w:eastAsia="Arial" w:hAnsi="Arial"/>
          <w:sz w:val="18"/>
          <w:szCs w:val="18"/>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will pursue additional capital funding in the public and private markets through equity sales and/or debt facilities;</w:t>
      </w:r>
    </w:p>
    <w:p>
      <w:pPr>
        <w:spacing w:after="0" w:line="225" w:lineRule="exact"/>
        <w:rPr>
          <w:rFonts w:ascii="Arial" w:cs="Arial" w:eastAsia="Arial" w:hAnsi="Arial"/>
          <w:sz w:val="18"/>
          <w:szCs w:val="18"/>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will pursue possible partnerships and collaborations; and</w:t>
      </w:r>
    </w:p>
    <w:p>
      <w:pPr>
        <w:spacing w:after="0" w:line="225" w:lineRule="exact"/>
        <w:rPr>
          <w:rFonts w:ascii="Arial" w:cs="Arial" w:eastAsia="Arial" w:hAnsi="Arial"/>
          <w:sz w:val="18"/>
          <w:szCs w:val="18"/>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will pursue potential out licensing for its drug candidates.</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continue as a going concern may depend on our ability to raise additional capital, attain further operating efficiencies, reduce expenditures, and, ultimately, to generate revenue. There are no assurances that these future funding and operating efforts will be successful. If management is unsuccessful in these efforts, our current capital is not sufficient to fund our operations for the next twelve months.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spacing w:after="0"/>
        <w:tabs>
          <w:tab w:leader="none" w:pos="8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FASB issued Accounting Standards Update No. 2014-09 “Revenue from Contracts with Customers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ASU 2014-09 was originally going to be effective on January 1, 2017; however, the FASB issued ASU 2015-14, “Revenue from Contracts with Customers (Topic</w:t>
      </w:r>
    </w:p>
    <w:p>
      <w:pPr>
        <w:spacing w:after="0" w:line="2" w:lineRule="exact"/>
        <w:rPr>
          <w:sz w:val="20"/>
          <w:szCs w:val="20"/>
          <w:color w:val="auto"/>
        </w:rPr>
      </w:pPr>
    </w:p>
    <w:p>
      <w:pPr>
        <w:jc w:val="both"/>
        <w:ind w:firstLine="8"/>
        <w:spacing w:after="0" w:line="268" w:lineRule="auto"/>
        <w:tabs>
          <w:tab w:leader="none" w:pos="381" w:val="left"/>
        </w:tabs>
        <w:numPr>
          <w:ilvl w:val="0"/>
          <w:numId w:val="4"/>
        </w:numPr>
        <w:rPr>
          <w:rFonts w:ascii="Arial" w:cs="Arial" w:eastAsia="Arial" w:hAnsi="Arial"/>
          <w:sz w:val="17"/>
          <w:szCs w:val="17"/>
          <w:color w:val="auto"/>
        </w:rPr>
      </w:pPr>
      <w:r>
        <w:rPr>
          <w:rFonts w:ascii="Arial" w:cs="Arial" w:eastAsia="Arial" w:hAnsi="Arial"/>
          <w:sz w:val="17"/>
          <w:szCs w:val="17"/>
          <w:color w:val="auto"/>
        </w:rPr>
        <w:t>— Deferral of the Effective Date,” which deferred the effective date of ASU 2014-09 by one year to January 1, 2018. In March 2016, the FASB issued ASU No. 2016-8, “Revenue from Contracts with Customers (Topic 606): Principal versus Agent Considerations. The amendments in this ASU do not change the core principle of ASU No. 2014-09 but the amendments clarify the implementation guidance on reporting revenue gross versus net. The effective date for the amendments in this ASU is the same as the effective date of ASU No. 2014-09. In April 2016, the FASB issued ASU No. 2016-10, “Revenue from Contracts with Customers (Identifying Performance Obligations and Licensing),” to clarify the implementation guidance on identifying performance obligations and licensing. The standard allows for either “full retrospective” adoption, meaning the standard is applied to all of the periods presented, or “modified retrospective” adoption, meaning the standard is applied only to the most current period presented in the financial statements. The Company is currently evaluating the impact of adopting these standards and at this point, nothing has come to the Company’s attention that would indicate the adoption of these standards will have a material impact on the Company’s consolidated financial statements.</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January 2016, the FASB issued Accounting Standards Update No. 2016-01, Recognition and Measurement of Financial Assets and Financial Liabilities, which requires that most equity investments be measured at fair value, with subsequent changes in fair value recognized in net income (other than those accounted for under the equity method of accounting). This guidance is effective for fiscal years, and interim periods within those years, beginning after December 15, 2017. The Company is currently assessing the impact of the adoption of this guidance on its consolidated financial statements and disclosures.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is effective for fiscal years beginning after December 15, 2018, including interim reporting periods within that reporting period. Early adoption is permitted. The Company is currently evaluating the impact the adoption of this guidance will have on its consolidated financial statements and disclosures.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2016, the FASB issued Accounting Standards Update No. 2016-09, Compensation – Stock Compensation (Topic 718). The new standard simplifies several aspects of the accounting for employee share-based payment transactions, including the accounting for income taxes, forfeitures, and statutory tax withholding requirements, as well as classification in the statement of cash flows. The new standard is effective for public companies for annual reporting periods beginning after December 15, 2016, including interim periods within those annual reporting periods; however, early adoption is allowed. The Company adopted this standard in January 2017 and made the election to account for award forfeitures as they occur. The adoption of this standard did not have a material impact on the Company’s consolidated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the FASB issued Accounting Standard Update No. 2016-15, Statement of Cash Flows (Topic 230): Classification of Certain Cash Receipts and Cash Payments. This update clarifies how certain cash receipts and payments should be presented in the statement of cash flows and is effective for interim and annual reporting periods beginning after December 15, 2017, with early adoption permitted. The Company does not believe that this guidance will have an impact on the consolidated financial statements and related disclosures.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the FASB issued Accounting Standard Update No. 2016-18, Statement of Cash Flows (Topic 230): Restricted Cash. This update amends the guidance in ASC 230, including providing additional guidance related to transfers between cash and restricted cash and how entities present, in their statement of cash flows, the cash receipts and cash payments that directly affect the restricted cash accounts. This guidance is effective for annual reporting periods beginning after December 15, 2017, and interim periods within those years, with early adoption permitted. The Company is currently evaluating the impact of adoption on its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In January 2017, the FASB issued Accounting Standard Update No. 2017-01, Business Combinations (Topic 805): Clarifying the Definition of a Business, which clarifies the definition of a business with the objective of adding guidance to assist entities with evaluating whether transactions should be accounted for as acquisitions (or disposals) of assets or businesses. This guidance is effective for annual reporting periods beginning after December 15, 2018, and interim periods within those years, with early adoption permitted. The Company is currently evaluating the impact of adoption on its consolidated financial statements.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2017, the FASB issued Accounting Standard Update No. 2017-04, Intangibles-Goodwill and Other, Simplifying the Test for Goodwill impairment, which eliminates Step 2 from the goodwill impairment test. Under the revised test,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ASU is effective for any interim or annual impairment tests for fiscal years beginning after December 15, 2019, with early adoption permitted. The Company is currently evaluating the impact of adoption on its consolidated financial statements.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total number of shares of common stock issuable upon exercise of warrants and equity awards was 1,284,154 shares for the three and six month periods ended June 30, 2017. For the three and six month periods ended June 30, 2017, diluted loss per common share was the same as basic loss per common share as all options and all warrants that were convertible into shares of the Company’s common stock were excluded from the calculation of diluted earnings attributable to common shareholders per common share as their effect would have been anti-dilutive.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six month periods ended June 30, 2016, the total number of shares of common stock issuable upon exercise of warrants and equity awards was 1,395,290 shares. The Pre-funded Series B Warrants (as more fully described in Note 9 of these financial statements) convertible into shares of the Company’s common stock totaling 150,000 shares was considered issued in calculating basic loss per share. For the three and six month periods ended June 30, 2016, diluted loss per common share was the same as basic loss per common share as the other 1,245,290 warrants and equity awards that were convertible into shares of the Company’s common stock were excluded from the calculation of diluted loss per common share as their effect would have been anti-dilutive.</w:t>
      </w:r>
    </w:p>
    <w:p>
      <w:pPr>
        <w:spacing w:after="0" w:line="1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Fair Value of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FASB Accounting Standards Codification (ASC) Section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 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7"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Quoted prices (unadjusted) or identical assets or liabilities in active markets that the entity has the ability to access as of the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and</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Significant unobservable inputs that reflect a reporting entity’s own assumptions that market participants would use in pricing an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Cash and cash equivalents, other current assets, accounts payable and other accrued liabilities are reflected in the balance sheet at their estimated fair values primarily due to their short-term nature. There were no transfers of assets of liabilities between Level 1 and Level 2 and no transfers in or out of Level 3 during the six months ended June 30, 2017 except for the change in the earn-out milestone liability included in earnings (Note 11).</w:t>
      </w:r>
    </w:p>
    <w:p>
      <w:pPr>
        <w:sectPr>
          <w:pgSz w:w="11900" w:h="16838" w:orient="portrait"/>
          <w:cols w:equalWidth="0" w:num="1">
            <w:col w:w="11420"/>
          </w:cols>
          <w:pgMar w:left="240" w:top="584"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measured at fair value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1"/>
              </w:rPr>
              <w:t>Recurring items as of December 31, 2016 Investment securities,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available for sale</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7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3"/>
              </w:rPr>
              <w:t>Recurring items as of June 30, 2017 Earn-out milestone liability</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(Note 11)</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720" w:type="dxa"/>
            <w:vAlign w:val="bottom"/>
          </w:tcPr>
          <w:p>
            <w:pPr>
              <w:spacing w:after="0"/>
              <w:rPr>
                <w:sz w:val="20"/>
                <w:szCs w:val="20"/>
                <w:color w:val="auto"/>
              </w:rPr>
            </w:pPr>
            <w:r>
              <w:rPr>
                <w:rFonts w:ascii="Arial" w:cs="Arial" w:eastAsia="Arial" w:hAnsi="Arial"/>
                <w:sz w:val="18"/>
                <w:szCs w:val="18"/>
                <w:color w:val="auto"/>
                <w:w w:val="96"/>
              </w:rPr>
              <w:t>Recurring items as of December 31, 2016 Earn-out milestone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liability (Note 11)</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1"/>
              </w:rPr>
              <w:t>Quoted Prices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Total Fair</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In Active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Significant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Value on</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Markets For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Significant</w:t>
            </w:r>
          </w:p>
        </w:tc>
      </w:tr>
      <w:tr>
        <w:trPr>
          <w:trHeight w:val="216"/>
        </w:trPr>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the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Identical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Observable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0"/>
              </w:rPr>
              <w:t>Unobservable</w:t>
            </w:r>
          </w:p>
        </w:tc>
      </w:tr>
      <w:tr>
        <w:trPr>
          <w:trHeight w:val="216"/>
        </w:trPr>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Balance</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Assets/Liabilities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Inputs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Inputs</w:t>
            </w:r>
          </w:p>
        </w:tc>
      </w:tr>
      <w:tr>
        <w:trPr>
          <w:trHeight w:val="234"/>
        </w:trPr>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Sheet</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r>
      <w:tr>
        <w:trPr>
          <w:trHeight w:val="601"/>
        </w:trPr>
        <w:tc>
          <w:tcPr>
            <w:tcW w:w="1040" w:type="dxa"/>
            <w:vAlign w:val="bottom"/>
          </w:tcPr>
          <w:p>
            <w:pPr>
              <w:jc w:val="right"/>
              <w:ind w:right="130"/>
              <w:spacing w:after="0"/>
              <w:rPr>
                <w:sz w:val="20"/>
                <w:szCs w:val="20"/>
                <w:color w:val="auto"/>
              </w:rPr>
            </w:pPr>
            <w:r>
              <w:rPr>
                <w:rFonts w:ascii="Arial" w:cs="Arial" w:eastAsia="Arial" w:hAnsi="Arial"/>
                <w:sz w:val="18"/>
                <w:szCs w:val="18"/>
                <w:color w:val="auto"/>
                <w:w w:val="99"/>
              </w:rPr>
              <w:t>1,680,000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1,680,000</w:t>
            </w:r>
          </w:p>
        </w:tc>
        <w:tc>
          <w:tcPr>
            <w:tcW w:w="2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804"/>
        </w:trPr>
        <w:tc>
          <w:tcPr>
            <w:tcW w:w="1040" w:type="dxa"/>
            <w:vAlign w:val="bottom"/>
          </w:tcPr>
          <w:p>
            <w:pPr>
              <w:jc w:val="right"/>
              <w:ind w:right="130"/>
              <w:spacing w:after="0"/>
              <w:rPr>
                <w:sz w:val="20"/>
                <w:szCs w:val="20"/>
                <w:color w:val="auto"/>
              </w:rPr>
            </w:pPr>
            <w:r>
              <w:rPr>
                <w:rFonts w:ascii="Arial" w:cs="Arial" w:eastAsia="Arial" w:hAnsi="Arial"/>
                <w:sz w:val="18"/>
                <w:szCs w:val="18"/>
                <w:color w:val="auto"/>
                <w:w w:val="88"/>
              </w:rPr>
              <w:t>13,764,205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13,764,205</w:t>
            </w:r>
          </w:p>
        </w:tc>
      </w:tr>
      <w:tr>
        <w:trPr>
          <w:trHeight w:val="20"/>
        </w:trPr>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588"/>
        </w:trPr>
        <w:tc>
          <w:tcPr>
            <w:tcW w:w="1040" w:type="dxa"/>
            <w:vAlign w:val="bottom"/>
          </w:tcPr>
          <w:p>
            <w:pPr>
              <w:jc w:val="right"/>
              <w:ind w:right="130"/>
              <w:spacing w:after="0"/>
              <w:rPr>
                <w:sz w:val="20"/>
                <w:szCs w:val="20"/>
                <w:color w:val="auto"/>
              </w:rPr>
            </w:pPr>
            <w:r>
              <w:rPr>
                <w:rFonts w:ascii="Arial" w:cs="Arial" w:eastAsia="Arial" w:hAnsi="Arial"/>
                <w:sz w:val="18"/>
                <w:szCs w:val="18"/>
                <w:color w:val="auto"/>
                <w:w w:val="88"/>
              </w:rPr>
              <w:t>13,188,226</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13,188,226</w:t>
            </w:r>
          </w:p>
        </w:tc>
      </w:tr>
      <w:tr>
        <w:trPr>
          <w:trHeight w:val="20"/>
        </w:trPr>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-1379855</wp:posOffset>
            </wp:positionV>
            <wp:extent cx="687768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77685" cy="146050"/>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-985520</wp:posOffset>
            </wp:positionV>
            <wp:extent cx="823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-968375</wp:posOffset>
            </wp:positionV>
            <wp:extent cx="687768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77685" cy="1460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-685165</wp:posOffset>
            </wp:positionV>
            <wp:extent cx="687768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7685" cy="27432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-273685</wp:posOffset>
            </wp:positionV>
            <wp:extent cx="6877685"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77685"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380"/>
            <w:col w:w="6120"/>
          </w:cols>
          <w:pgMar w:left="240" w:top="584" w:right="239" w:bottom="1440" w:gutter="0" w:footer="0" w:header="0"/>
          <w:type w:val="continuous"/>
        </w:sectPr>
      </w:pPr>
    </w:p>
    <w:p>
      <w:pPr>
        <w:spacing w:after="0" w:line="26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Other accrued liabilities at June 30, 2017 and December 31, 2016 include the following: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Amounts due to contract research organizations and other contractual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8776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Accrued payroll and related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87768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interest on notes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87768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Note Payable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4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r>
      <w:tr>
        <w:trPr>
          <w:trHeight w:val="195"/>
        </w:trPr>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804,762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1,115,193</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1,841,208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1,066,751</w:t>
            </w:r>
          </w:p>
        </w:tc>
      </w:tr>
      <w:tr>
        <w:trPr>
          <w:trHeight w:val="216"/>
        </w:trPr>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259,550</w:t>
            </w:r>
          </w:p>
        </w:tc>
      </w:tr>
      <w:tr>
        <w:trPr>
          <w:trHeight w:val="216"/>
        </w:trPr>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22,241</w:t>
            </w:r>
          </w:p>
        </w:tc>
      </w:tr>
      <w:tr>
        <w:trPr>
          <w:trHeight w:val="230"/>
        </w:trPr>
        <w:tc>
          <w:tcPr>
            <w:tcW w:w="1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20,021</w:t>
            </w: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2,911,891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2,483,756</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200" w:space="720"/>
            <w:col w:w="3500"/>
          </w:cols>
          <w:pgMar w:left="240" w:top="584" w:right="239" w:bottom="1440" w:gutter="0" w:footer="0" w:header="0"/>
          <w:type w:val="continuous"/>
        </w:sectPr>
      </w:pPr>
    </w:p>
    <w:p>
      <w:pPr>
        <w:spacing w:after="0" w:line="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obligations under the Hercules Credit Agreement were in the form of secured indebtedness bearing interest at a calculated prime-based variable rate (11.25% per annum since inception through December 17, 2015 and 11.50% since). Payments under the loan agreement were interest only for the first twelve months after loan closing, followed by a 30-month amortization period of principal and interest through the scheduled maturity date of June 1, 2017. In connection with the Hercules Credit Agreement, the Company incurred cash expenses of $122,378. Also in connection with the Hercules Credit Facility, the Company paid loan origination fees of $230,000. Collectively, these deferred fees have been classified as a direct deduction from the debt liability consistent with the presentation of a debt discount and are being amortized as interest expense using the effective interest method over the life of the loan.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3" w:name="page14"/>
    <w:bookmarkEnd w:id="13"/>
    <w:p>
      <w:pPr>
        <w:jc w:val="both"/>
        <w:spacing w:after="0" w:line="269" w:lineRule="auto"/>
        <w:rPr>
          <w:sz w:val="20"/>
          <w:szCs w:val="20"/>
          <w:color w:val="auto"/>
        </w:rPr>
      </w:pPr>
      <w:r>
        <w:rPr>
          <w:rFonts w:ascii="Arial" w:cs="Arial" w:eastAsia="Arial" w:hAnsi="Arial"/>
          <w:sz w:val="17"/>
          <w:szCs w:val="17"/>
          <w:color w:val="auto"/>
        </w:rPr>
        <w:t>As a fee in connection with the Hercules Credit Agreement, the Company issued Hercules a warrant for a total of 6,963 shares of the Company’s common stock (the Hercules Warrant) at a per share exercise price of $50.26, exercisable for cash or by net exercise from November 25, 2013. Upon the closing of the second tranche on June 10, 2014, this warrant became exercisable for an additional 6,963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 year anniversary of the registration statement for such stock, whichever is earlier. The common stock issuable pursuant to the Hercules Warrant was filed pursuant to Rule 415 under the Securities Act of 1933 on the Prospectus for Registration Statement No. 333-193936 and was declared effective on September 30, 2014. The Company valued the Hercules Warrants issued using the Black-Scholes option pricing model and recorded a total of $476,261 as a direct deductions from the debt liability consistent with the presentation of a debt discount and are being amortized as interest expense using the effective interest method over the life of the loan. Also in connection with each of the $5.0 million tranches, the Company is required to pay an end of term charge equal to 3.5% of each original loan amount at time of maturity. Therefore, these amounts totaling $350,000 were amortized as interest expense using the effective interest method over the life of the loan.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loan balance and end of term charges on the Hercules Credit Agreement was paid in full in June 2017.</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 periods ended June 30, 2017 and 2016, the Company incurred $11,731 and $136,438 in interest expense, respectively, and amortized $17,685 and $66,915, respectively as interest expense for deferred fees, debt discount and end of term charges in connection with the Hercules Credit Agreement. For the six month periods ended June 30, 2017 and 2016, the Company incurred $56,386 and $301,996 in interest expense, respectively, and amortized $35,370 and $145,586, respectively as interest expense for deferred fees, debt discount and end of term charges in connection with the Hercules Credit Agreement.</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Hercules Credit Agreement contains customary covenants, including covenants that limit or restrict the Company’s ability to grant liens, incur indebtedness, make certain restricted payments, merge or consolidate and make dispositions of assets. Upon the occurrence of an event of default under the Hercules Credit Agreement, the lenders may cease making loans, terminate the Hercules Credit Agreement, declare all amounts outstanding to be immediately due and payable and foreclose on or liquidate the Company’s assets that comprise the lenders’ collateral. The Hercules Credit Agreement specifies a number of events of default (some of which are subject to applicable grace or cure periods), including, among other things, non-payment defaults, covenant defaults, a material adverse effect on the Company or its assets, cross-defaults to other material indebtedness, bankruptcy and insolvency defaults and material judgment defaults. The Company has maintained compliance with these covenants.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Stockholders’ Equity</w:t>
      </w:r>
    </w:p>
    <w:p>
      <w:pPr>
        <w:spacing w:after="0" w:line="2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September 2015, the Company filed with the Securities and Exchange Commission (the SEC) a $75 million shelf registration statement on Form S-3 (the 2015 Shelf Registration Statement) (File No. 333-206789) that allows the Company to issue any combination of common stock, preferred stock or warrants to purchase common stock or preferred stock. This shelf registration was declared effective on September 25, 2015.</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2016 Annual Meeting of Stockholders of the Company in June 2016, the Company’s stockholders of the Company approved an increase in the number of the authorized shares of the Company’s common stock from 75,000,000 shares to 112,500,000 shares. The number of the authorized shares of preferred stock remained at 100,000 shares. The aggregate number of shares of all classes of stock that the Company may issue, after giving effect to such amendment as approved by the stockholders, is 112,600,000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Reverse Stock Split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26, 2017, the Company effected a 14-for-1 reverse stock split of its common stock which was made effective for trading purposes as of the commencement of trading on May 30, 2017. As of that date, each 14 shares of issued and outstanding common stock and equivalents was consolidated into one shares of common stock. In addition, at the market open on May 30, 2017, the Company’s common stock started trading under a new CUSIP number 15117N503 although the Company’s ticker symbol, CLSN, remained unchanged.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reverse stock split was previously approved by the Company’s stockholders at the 2017 Annual Meeting held on May 16, 2017, and the Company subsequently filed a Certificate of Amendment to its Certificate of Incorporation to effect the stock consolidation. The primary reasons for the reverse stock split and the amendment are:</w:t>
      </w:r>
    </w:p>
    <w:p>
      <w:pPr>
        <w:spacing w:after="0" w:line="18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increase the market price of the Company’s common stock making it more attractive to a broader range of institutional and other investors, and</w:t>
      </w:r>
    </w:p>
    <w:p>
      <w:pPr>
        <w:spacing w:after="0" w:line="46"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provide the Company with additional capital resources and flexibility sufficient to execute its business plans including the establishment of strategic relationships with other companies and to ensure its ability to raise additional capital as necessary.</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Immediately prior to the reverse stock split, the Company had 56,982,418 shares of common stock outstanding which consolidated into 4,070,172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number of outstanding options and warrants were adjusted accordingly, with outstanding options being reduced from approximately 2.4 million to approximately 0.2 million and outstanding warrants being reduced from approximately 33.5 million to approximately 2.4 million.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auto"/>
        </w:rPr>
        <w:t>February 14, 2017 Public Offering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February 14, 2017, the Company entered into a securities purchase agreement whereby it sold, in a public offering (the February 14, 2017 Public Offering), an aggregate of 1,384,704 shares of common stock of the Company at an offering price of $3.22 per share. In addition, the Company sold Series</w:t>
      </w:r>
    </w:p>
    <w:p>
      <w:pPr>
        <w:jc w:val="both"/>
        <w:ind w:firstLine="8"/>
        <w:spacing w:after="0" w:line="269" w:lineRule="auto"/>
        <w:tabs>
          <w:tab w:leader="none" w:pos="310" w:val="left"/>
        </w:tabs>
        <w:numPr>
          <w:ilvl w:val="0"/>
          <w:numId w:val="6"/>
        </w:numPr>
        <w:rPr>
          <w:rFonts w:ascii="Arial" w:cs="Arial" w:eastAsia="Arial" w:hAnsi="Arial"/>
          <w:sz w:val="17"/>
          <w:szCs w:val="17"/>
          <w:color w:val="auto"/>
        </w:rPr>
      </w:pPr>
      <w:r>
        <w:rPr>
          <w:rFonts w:ascii="Arial" w:cs="Arial" w:eastAsia="Arial" w:hAnsi="Arial"/>
          <w:sz w:val="17"/>
          <w:szCs w:val="17"/>
          <w:color w:val="auto"/>
        </w:rPr>
        <w:t>Warrants (the Series AA Warrants) to purchase up to 1,177,790 shares of common stock and Pre-Funded Series BB Warrants (the Pre-Funded Series BB Warrants) to purchase up to 185,713 shares of common stock. The Series AA Warrants have an exercise price of $3.22 per share, have a five year life and are immediately exercisable. The Pre-Funded Series BB Warrants were offered at $3.08 per share, are immediately exercisable for $0.01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before the deduction of the placement agent fees and offering expenses (excluding any proceeds from the exercise of the warrants) in the February 14, 2017 Public Offering.</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February 14, 2017 Public Offering, the Company filed with the Securities and Exchange Commission a registration statement on Form S-1 (Registration No. 333-215321) on December 23, 2016, as amended by Pre-Effective Amendment No. 1 filed with the Commission on January 20, 2017, as further amended by Pre-Effective Amendment No. 2 filed with the Commission on February 13, 2017, as further amended by Pre-Effective Amendment No. 3 filed with the Commission on February 13, 2017 and as further amended by Pre-Effective Amendment No. 4 filed with the Commission on February 14, 2017 for the registration of the securities issued and sold under the Securities Act of 1933, as amended.</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first half of 2017, all 185,713 of the Series BB Pre-Funded warrants were exercised in full. During the first half of 2017, we received approximately $2.1 million from the exercise of Series AA Warrants to purchase 636,713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December 2016 Common Stock Offering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20, 2016, the Company entered into a securities purchase agreement with certain investors, pursuant to which the Company sold and issued on December 23, 2016, in a registered direct offering, an aggregate of 367,346 shares of the Company’s common stock at an offering price of $4.90 per share for gross proceeds of approximately $1.8 million before the deduction of the placement agent fee and offering expenses (the “December 2016 Offering”). In a concurrent private placement (the “Private Placement Transaction”), the Company agreed to issue to the investors certain warrants at an exercise price of $6.44 per share (the December 2016 Warrants). The December 2016 Warrants are exercisable to purchase common stock for an aggregate of 367,343 shares of common stock. The warrants are initially exercisable six months following issuance and terminate five and one-half years following the date of issuance. The December 2016 Warrants may be exercised from time to time beginning on June 20, 2017 and expire on June 20, 2022. On April 5, 2017, the Company filed a registration statement on Form S-1 for the resale of any share of common stock issued upon exercise of the December 2016 Warrants on Form S-1 (File No. 333-217156) which was declared effective by the SEC on April 19, 2017.</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private placement of the December 2016 Warrants was structured to comply with the requirements of Section 4(a)(2) under the Securities Act and Rule 506(b) promulgated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2016 Common Stock Offering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13, 2016, the Company entered into a securities purchase agreement with investors, pursuant to which the Company issued and sold, in a registered direct offering, an aggregate of 165,126 shares of common stock, par value $0.01 per share, of the Company at an offering price of $19.04 per share for gross proceeds of approximately $6.0 million before the deduction of the placement agent fee and offering expenses. In a concurrent private placement, the Company issued to the investor Series A warrants (the “June 2016 Series A Warrants”), each to purchase 0.5 share of the Company’s common stock, Series C warrants (the “June 2016 Series C Warrants”), each to purchase one share of the Company’s common stock, and Series D warrants (the “June 2016 Series D Warrants”), each to purchase 0.5 share of the Company’s common stock (collectively, the “June 2016 Warrants”). The June 2016 Series A Warrants are initially exercisable six months following issuance and terminate five and one-half years following issuance. The June 2016 Series C Warrants are initially exercisable six months following issuance and terminate one year following issuance. The June 2016 Series D Warrants only become exercisable ratably upon the exercise of the June 2016 Series C Warrants, are initially exercisable six months following issuance, and terminate five and one-half years following issuance. The June 2016 Warrants have an exercise price of $19.60 per share and are exercisable to purchase an aggregate of 630,252 shares of Common Stock. On October 31, 2016, the Company filed a registration statement on Form S-1 for the resale of any share of common stock issued upon exercise of the warrants on Form S-1 (File No. 333-212353) which was declared effective by the SEC on November 16, 2016.</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private placement of the June 2016 Warrants was structured to comply with the requirements of Section 4(a)(2) under the Securities Act and Rule 506(b) promulgated thereunder.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auto"/>
        </w:rPr>
        <w:t>Reduced Exercise Price of Warrants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22, 2013, the Company entered into a securities purchase agreement with certain investors pursuant to which the Company agreed, among other things, to issue warrants (the “2013 Warrants”) to purchase up to 95,811 shares of our common stock at an exercise price of $74.34 per share to such investors in a registered direct offering. On January 15, 2014, the Company entered into a securities purchase agreement with certain investors pursuant to which the Company agreed, among other things, to issue warrants (the “2014 Warrants”) to purchase up to 64,348 shares of our common stock at an exercise price of $57.40 per share to such investors in a registered direct offering. On June 9, 2017, the Company entered into warrant exercise agreements (the “Exercise Agreements”) with certain holders of the 2013 Warrants, the 2014 Warrants and the June 2016 Warrants (the “Exercising Holders”), which Exercising Holders own, in the aggregate, warrants exercisable for 790,411 shares of our common stock. Pursuant to the Exercise Agreements, the Exercising Holders and the Company agreed that the Exercising Holders would exercise their 2013 Warrants, the 2014 Warrants and the June 2016 Warrants with respect to 790,411 shares of our common stock underlying such warrants for a reduced exercise price equal to $2.70 per share. The Company received aggregate gross proceeds of approximately $2.1 million from the exercise of the 2013 Warrants, the 2014 Warrants and the June 2016 Warrants by the Exercising Holders.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reduced exercise price of the 2013 Warrants, the 2014 Warrants and the June 2016 Series C Warrants increased the fair value of the warrants by approximately $0.2 million. This increase in fair value is recorded as a deemed dividend in additional paid in capital due to the retained deficit increased the net loss available to common shareholders on the consolidate statement of operations.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27, 2015 entered into a securities purchase agreement with certain investors pursuant to which the Company agreed, among other things, to issue warrants (the “2015 Warrants”) to purchase up to 139,284 shares of the Company’s common stock at an exercise price of $36.40 per share, to such investors in a registered direct offering. Between June 22, 2017 through June 26, 2017, the Company and holders of the 2015 Warrants and the December 2016 Warrants (the Exercising Investors) entered into agreements whereby the Company agreed that the Exercising investors would exercise their 2015 Warrants and the June 2016 Warrants with respect to 506,630 shares of our common stock underlying such warrants for a reduced exercise price equal to $1.65 per share. The Company received aggregate gross proceeds of approximately $0.8 million from the exercise of the 2015 Warrants and the June 2016 Warrants by the Exercising Investors.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reduced exercise price of the 2015 Warrants increased the fair value of the warrants by approximately $0.1 million. This increase in fair value is recorded as a deemed dividend in additional paid in capital due to the retained deficit increased the net loss available to common shareholders on the consolidate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 2013, the Company entered into a Controlled Equity Offering SM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June 30, 2017, the Company sold and issued an aggregate of 1,479,535 shares of common stock under the ATM Agreement, receiving approximately $7.6 million in gross proceeds.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In connection with the February common stock offering, the Company agreed to not sell any ATM Shares until June 23, 2017.</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 2015, we filed a prospectus supplement to the base prospectus that forms a part of the 2015 Shelf Registration Statement, pursuant to which we may offer and sell up to $7.5 million of shares of common stock from time to time under the ATM Agreement of the $17.4 million remaining under the ATM Agreement.</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Celsion Corporation 2007 Stock Incentive Plan (the 2007 Plan), as adopted and amended, permits the granting of 688,531shares of stock as equity awards in the form of incentive stock options, nonqualified stock options, restricted stock, restricted stock units, stock appreciation rights, phantom stock, and performance awards, or in any combination of the foregoing.</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2007, the Company adopted the Celsion Corporation 2007 Stock Incentive Plan (the 2007 Plan) under which 15,873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June 7, 2012, June 20, 2014, and May 16, 2017 the stockholders approved amendments to the Plan. The only material difference between the original Plan and the amended Plan was the number of shares of common stock available for issuance under the amended Plan which was increased by 15,873 to a total of 31,746 shares in 2010, by 35,714 to a total of 67,460 shares in 2012, by 178,571 to a total of 246,031 shares in 2014 and by 442,500 to a total of 688,531 shares in 2017.</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Prior to the adoption of the 2007 Plan, the Company adopted two stock plans for directors, officers and employees (one in 2001 and another in 2004) under which 21,164 shares collectively were reserved for future issuance under both of these plans. As these plans have been superseded by the 2007 Plan, any options previously granted which expire, forfeit, or cancel under these plans will be rolled into the 2007 Plan.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 summary of the Company’s stock option and restricted stock awards for the six months ended June 30, 2017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Restricted Stock</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Stock Options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Awards</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6"/>
                <w:szCs w:val="16"/>
                <w:color w:val="auto"/>
              </w:rPr>
            </w:pPr>
          </w:p>
        </w:tc>
        <w:tc>
          <w:tcPr>
            <w:tcW w:w="130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7"/>
              </w:rPr>
              <w:t>Contractual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Non-vested</w:t>
            </w: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Average</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Terms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Restricted</w:t>
            </w: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Grant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Date</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Awards</w:t>
            </w: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Equity Awards</w:t>
            </w:r>
          </w:p>
        </w:tc>
        <w:tc>
          <w:tcPr>
            <w:tcW w:w="120" w:type="dxa"/>
            <w:vAlign w:val="bottom"/>
          </w:tcPr>
          <w:p>
            <w:pPr>
              <w:spacing w:after="0"/>
              <w:rPr>
                <w:sz w:val="20"/>
                <w:szCs w:val="20"/>
                <w:color w:val="auto"/>
              </w:rPr>
            </w:pPr>
          </w:p>
        </w:tc>
        <w:tc>
          <w:tcPr>
            <w:tcW w:w="11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4"/>
              </w:rPr>
              <w:t>Outstanding</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Price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4"/>
              </w:rPr>
              <w:t>Outstanding</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3"/>
              </w:rPr>
              <w:t>Equity awards outstanding at December 31, 2016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37.42</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Equity awards granted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513,464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Equity awards forfeited, cancelled or expired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26.18</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130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June 30, 2017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680,942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Aggregate intrinsic value of outstanding awards at</w:t>
            </w:r>
          </w:p>
        </w:tc>
        <w:tc>
          <w:tcPr>
            <w:tcW w:w="36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6,882</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June 30,2017</w:t>
            </w:r>
          </w:p>
        </w:tc>
        <w:tc>
          <w:tcPr>
            <w:tcW w:w="36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exercisable at June 30, 2017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405,075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Aggregate intrinsic value of awards exercisable at</w:t>
            </w:r>
          </w:p>
        </w:tc>
        <w:tc>
          <w:tcPr>
            <w:tcW w:w="36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June 30, 2017</w:t>
            </w:r>
          </w:p>
        </w:tc>
        <w:tc>
          <w:tcPr>
            <w:tcW w:w="36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used the following assumptions for determining the fair value of options granted during the six month periods of 2017 and 2016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276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5"/>
              </w:rPr>
              <w:t>Six Months Ended June 30,</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73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90.4%</w:t>
            </w:r>
          </w:p>
        </w:tc>
        <w:tc>
          <w:tcPr>
            <w:tcW w:w="9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89.1%</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2760" w:type="dxa"/>
            <w:vAlign w:val="bottom"/>
            <w:gridSpan w:val="3"/>
          </w:tcPr>
          <w:p>
            <w:pPr>
              <w:jc w:val="right"/>
              <w:ind w:right="1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76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 free interest rate is derived from values assigned to U.S. Treasury bonds with terms that approximate the expected option lives in effect at the time of grant. The model incorporates exercise, pre-vesting and post-vesting forfeiture assumptions based on analysis of historical data. The expiration of each option granted in fiscal 2017 and 2016 was used as the expected life.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cost related to employee stock options and restricted stock awards totaled $676,918 and $283,186 for the three months ended June 30, 2017 and 2016, respectively. Total compensation cost related to employee stock options and restricted stock awards totaled $804,592 and $898,520 for the six months ended June 30, 2017 and 2016, respectively. No compensation cost related to share-based payments arrangements was capitalized as part of the cost of any asset as of June 30, 2017 and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both"/>
        <w:ind w:right="40"/>
        <w:spacing w:after="0" w:line="259" w:lineRule="auto"/>
        <w:rPr>
          <w:sz w:val="20"/>
          <w:szCs w:val="20"/>
          <w:color w:val="auto"/>
        </w:rPr>
      </w:pPr>
      <w:r>
        <w:rPr>
          <w:rFonts w:ascii="Arial" w:cs="Arial" w:eastAsia="Arial" w:hAnsi="Arial"/>
          <w:sz w:val="18"/>
          <w:szCs w:val="18"/>
          <w:color w:val="auto"/>
        </w:rPr>
        <w:t>As of June 30, 2017, there was $0.6 million of total unrecognized compensation cost related to non-vested share-based compensation arrangements. That cost is expected to be recognized over a weighted-average period of 1.4 years. The weighted average grant-date fair value was $2.32 and $15.93 per share for the options granted during the six months ended June 30, 2017 and 2016, respectively. The weighted average grant-date fair value was $18.62 for the restricted stock awards granted during six months ended June 30, 2016.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Collectively, for all of the Company’s stock option plans there were a total of 24,951 equity awards available for future issuance as of June 30, 2017.</w:t>
      </w:r>
    </w:p>
    <w:p>
      <w:pPr>
        <w:spacing w:after="0" w:line="23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Earn-out Milestone Liability</w:t>
      </w:r>
    </w:p>
    <w:p>
      <w:pPr>
        <w:spacing w:after="0" w:line="22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condensed consolidated financial statements.</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June 30, 2017, March 31, 2017 and December 31, 2016, the Company fair valued these milestones at $13.8 million, $13.5 million and $13.2 million, respectively, and recognized a non-cash charge of $292,228 and $575,979 during the three and six months ended June 30, 2017 as a result of the change in the fair value of these milestones from the beginning of each period respectively.</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June 30, 2016, March 31, 2016 and December 31, 2015, the Company fair valued these milestones at $13.8 million, $14.2 million and $13.9 million, respectively, and recognized a non-cash benefit of $408,684 and $106,028 during the three and six month periods ended June 30, 2016, respectively, as a result of the change in the fair value of these milestones from the beginning of each period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earn-out milestone liability for 2017:</w:t>
      </w:r>
    </w:p>
    <w:p>
      <w:pPr>
        <w:spacing w:after="0" w:line="240"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9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13,188,226</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Non-cash charge from the adjustment for the change in fair value included in net loss</w:t>
            </w:r>
          </w:p>
        </w:tc>
        <w:tc>
          <w:tcPr>
            <w:tcW w:w="15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575,979</w:t>
            </w:r>
          </w:p>
        </w:tc>
        <w:tc>
          <w:tcPr>
            <w:tcW w:w="100" w:type="dxa"/>
            <w:vAlign w:val="bottom"/>
          </w:tcPr>
          <w:p>
            <w:pPr>
              <w:spacing w:after="0"/>
              <w:rPr>
                <w:sz w:val="18"/>
                <w:szCs w:val="18"/>
                <w:color w:val="auto"/>
              </w:rPr>
            </w:pPr>
          </w:p>
        </w:tc>
      </w:tr>
      <w:tr>
        <w:trPr>
          <w:trHeight w:val="25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1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13,764,205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6"/>
          </w:tcPr>
          <w:p>
            <w:pPr>
              <w:spacing w:after="0"/>
              <w:rPr>
                <w:sz w:val="20"/>
                <w:szCs w:val="20"/>
                <w:color w:val="auto"/>
              </w:rPr>
            </w:pPr>
            <w:r>
              <w:rPr>
                <w:rFonts w:ascii="Arial" w:cs="Arial" w:eastAsia="Arial" w:hAnsi="Arial"/>
                <w:sz w:val="18"/>
                <w:szCs w:val="18"/>
                <w:color w:val="auto"/>
                <w:w w:val="94"/>
              </w:rPr>
              <w:t>The following is a schedule of the Company’s risk-adjustment assessment of each milestone:</w:t>
            </w:r>
          </w:p>
        </w:tc>
        <w:tc>
          <w:tcPr>
            <w:tcW w:w="1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8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1"/>
              </w:rPr>
              <w:t>Estimated Time</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88"/>
              </w:rPr>
              <w:t>Risk-adjustment Assessment</w:t>
            </w: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Discount</w:t>
            </w:r>
          </w:p>
        </w:tc>
        <w:tc>
          <w:tcPr>
            <w:tcW w:w="268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87"/>
              </w:rPr>
              <w:t>to Achieve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Borders>
              <w:bottom w:val="single" w:sz="8" w:color="auto"/>
            </w:tcBorders>
          </w:tcPr>
          <w:p>
            <w:pPr>
              <w:ind w:left="170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0"/>
                <w:szCs w:val="20"/>
                <w:color w:val="auto"/>
              </w:rPr>
            </w:pPr>
          </w:p>
        </w:tc>
        <w:tc>
          <w:tcPr>
            <w:tcW w:w="310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8"/>
              </w:rPr>
              <w:t>of each Milestone</w:t>
            </w:r>
          </w:p>
        </w:tc>
        <w:tc>
          <w:tcPr>
            <w:tcW w:w="1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Rate</w:t>
            </w:r>
          </w:p>
        </w:tc>
        <w:tc>
          <w:tcPr>
            <w:tcW w:w="1540" w:type="dxa"/>
            <w:vAlign w:val="bottom"/>
            <w:tcBorders>
              <w:bottom w:val="single" w:sz="8" w:color="auto"/>
            </w:tcBorders>
            <w:gridSpan w:val="2"/>
          </w:tcPr>
          <w:p>
            <w:pPr>
              <w:jc w:val="center"/>
              <w:ind w:left="890"/>
              <w:spacing w:after="0"/>
              <w:rPr>
                <w:sz w:val="20"/>
                <w:szCs w:val="20"/>
                <w:color w:val="auto"/>
              </w:rPr>
            </w:pPr>
            <w:r>
              <w:rPr>
                <w:rFonts w:ascii="Arial" w:cs="Arial" w:eastAsia="Arial" w:hAnsi="Arial"/>
                <w:sz w:val="18"/>
                <w:szCs w:val="18"/>
                <w:b w:val="1"/>
                <w:bCs w:val="1"/>
                <w:color w:val="auto"/>
                <w:w w:val="88"/>
              </w:rPr>
              <w:t>(years)</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June 30, 2017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1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80%</w:t>
            </w:r>
          </w:p>
        </w:tc>
        <w:tc>
          <w:tcPr>
            <w:tcW w:w="16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11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85"/>
              </w:rPr>
              <w:t>2.00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March 31, 2017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ind w:left="80"/>
              <w:spacing w:after="0"/>
              <w:rPr>
                <w:sz w:val="20"/>
                <w:szCs w:val="20"/>
                <w:color w:val="auto"/>
              </w:rPr>
            </w:pPr>
            <w:r>
              <w:rPr>
                <w:rFonts w:ascii="Arial" w:cs="Arial" w:eastAsia="Arial" w:hAnsi="Arial"/>
                <w:sz w:val="18"/>
                <w:szCs w:val="18"/>
                <w:color w:val="auto"/>
              </w:rPr>
              <w:t>to</w:t>
            </w:r>
          </w:p>
        </w:tc>
        <w:tc>
          <w:tcPr>
            <w:tcW w:w="1460" w:type="dxa"/>
            <w:vAlign w:val="bottom"/>
          </w:tcPr>
          <w:p>
            <w:pPr>
              <w:ind w:left="80"/>
              <w:spacing w:after="0"/>
              <w:rPr>
                <w:sz w:val="20"/>
                <w:szCs w:val="20"/>
                <w:color w:val="auto"/>
              </w:rPr>
            </w:pPr>
            <w:r>
              <w:rPr>
                <w:rFonts w:ascii="Arial" w:cs="Arial" w:eastAsia="Arial" w:hAnsi="Arial"/>
                <w:sz w:val="18"/>
                <w:szCs w:val="18"/>
                <w:color w:val="auto"/>
              </w:rPr>
              <w:t>80%</w:t>
            </w:r>
          </w:p>
        </w:tc>
        <w:tc>
          <w:tcPr>
            <w:tcW w:w="1640" w:type="dxa"/>
            <w:vAlign w:val="bottom"/>
          </w:tcPr>
          <w:p>
            <w:pPr>
              <w:jc w:val="right"/>
              <w:ind w:right="730"/>
              <w:spacing w:after="0"/>
              <w:rPr>
                <w:sz w:val="20"/>
                <w:szCs w:val="20"/>
                <w:color w:val="auto"/>
              </w:rPr>
            </w:pPr>
            <w:r>
              <w:rPr>
                <w:rFonts w:ascii="Arial" w:cs="Arial" w:eastAsia="Arial" w:hAnsi="Arial"/>
                <w:sz w:val="18"/>
                <w:szCs w:val="18"/>
                <w:color w:val="auto"/>
              </w:rPr>
              <w:t>9%</w:t>
            </w:r>
          </w:p>
        </w:tc>
        <w:tc>
          <w:tcPr>
            <w:tcW w:w="1160" w:type="dxa"/>
            <w:vAlign w:val="bottom"/>
          </w:tcPr>
          <w:p>
            <w:pPr>
              <w:jc w:val="right"/>
              <w:spacing w:after="0"/>
              <w:rPr>
                <w:sz w:val="20"/>
                <w:szCs w:val="20"/>
                <w:color w:val="auto"/>
              </w:rPr>
            </w:pPr>
            <w:r>
              <w:rPr>
                <w:rFonts w:ascii="Arial" w:cs="Arial" w:eastAsia="Arial" w:hAnsi="Arial"/>
                <w:sz w:val="18"/>
                <w:szCs w:val="18"/>
                <w:color w:val="auto"/>
              </w:rPr>
              <w:t>1.75</w:t>
            </w:r>
          </w:p>
        </w:tc>
        <w:tc>
          <w:tcPr>
            <w:tcW w:w="380" w:type="dxa"/>
            <w:vAlign w:val="bottom"/>
          </w:tcPr>
          <w:p>
            <w:pPr>
              <w:ind w:left="80"/>
              <w:spacing w:after="0"/>
              <w:rPr>
                <w:sz w:val="20"/>
                <w:szCs w:val="20"/>
                <w:color w:val="auto"/>
              </w:rPr>
            </w:pPr>
            <w:r>
              <w:rPr>
                <w:rFonts w:ascii="Arial" w:cs="Arial" w:eastAsia="Arial" w:hAnsi="Arial"/>
                <w:sz w:val="18"/>
                <w:szCs w:val="18"/>
                <w:color w:val="auto"/>
              </w:rPr>
              <w:t>to</w:t>
            </w:r>
          </w:p>
        </w:tc>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2.25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1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80%</w:t>
            </w:r>
          </w:p>
        </w:tc>
        <w:tc>
          <w:tcPr>
            <w:tcW w:w="16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11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85"/>
              </w:rPr>
              <w:t>2.50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1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75%</w:t>
            </w:r>
          </w:p>
        </w:tc>
        <w:tc>
          <w:tcPr>
            <w:tcW w:w="16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11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85"/>
              </w:rPr>
              <w:t>2.00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March 31, 2016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ind w:left="80"/>
              <w:spacing w:after="0"/>
              <w:rPr>
                <w:sz w:val="20"/>
                <w:szCs w:val="20"/>
                <w:color w:val="auto"/>
              </w:rPr>
            </w:pPr>
            <w:r>
              <w:rPr>
                <w:rFonts w:ascii="Arial" w:cs="Arial" w:eastAsia="Arial" w:hAnsi="Arial"/>
                <w:sz w:val="18"/>
                <w:szCs w:val="18"/>
                <w:color w:val="auto"/>
              </w:rPr>
              <w:t>to</w:t>
            </w:r>
          </w:p>
        </w:tc>
        <w:tc>
          <w:tcPr>
            <w:tcW w:w="1460" w:type="dxa"/>
            <w:vAlign w:val="bottom"/>
          </w:tcPr>
          <w:p>
            <w:pPr>
              <w:ind w:left="80"/>
              <w:spacing w:after="0"/>
              <w:rPr>
                <w:sz w:val="20"/>
                <w:szCs w:val="20"/>
                <w:color w:val="auto"/>
              </w:rPr>
            </w:pPr>
            <w:r>
              <w:rPr>
                <w:rFonts w:ascii="Arial" w:cs="Arial" w:eastAsia="Arial" w:hAnsi="Arial"/>
                <w:sz w:val="18"/>
                <w:szCs w:val="18"/>
                <w:color w:val="auto"/>
              </w:rPr>
              <w:t>75%</w:t>
            </w:r>
          </w:p>
        </w:tc>
        <w:tc>
          <w:tcPr>
            <w:tcW w:w="1640" w:type="dxa"/>
            <w:vAlign w:val="bottom"/>
          </w:tcPr>
          <w:p>
            <w:pPr>
              <w:jc w:val="right"/>
              <w:ind w:right="730"/>
              <w:spacing w:after="0"/>
              <w:rPr>
                <w:sz w:val="20"/>
                <w:szCs w:val="20"/>
                <w:color w:val="auto"/>
              </w:rPr>
            </w:pPr>
            <w:r>
              <w:rPr>
                <w:rFonts w:ascii="Arial" w:cs="Arial" w:eastAsia="Arial" w:hAnsi="Arial"/>
                <w:sz w:val="18"/>
                <w:szCs w:val="18"/>
                <w:color w:val="auto"/>
              </w:rPr>
              <w:t>9%</w:t>
            </w:r>
          </w:p>
        </w:tc>
        <w:tc>
          <w:tcPr>
            <w:tcW w:w="1160" w:type="dxa"/>
            <w:vAlign w:val="bottom"/>
          </w:tcPr>
          <w:p>
            <w:pPr>
              <w:jc w:val="right"/>
              <w:spacing w:after="0"/>
              <w:rPr>
                <w:sz w:val="20"/>
                <w:szCs w:val="20"/>
                <w:color w:val="auto"/>
              </w:rPr>
            </w:pPr>
            <w:r>
              <w:rPr>
                <w:rFonts w:ascii="Arial" w:cs="Arial" w:eastAsia="Arial" w:hAnsi="Arial"/>
                <w:sz w:val="18"/>
                <w:szCs w:val="18"/>
                <w:color w:val="auto"/>
              </w:rPr>
              <w:t>0.25</w:t>
            </w:r>
          </w:p>
        </w:tc>
        <w:tc>
          <w:tcPr>
            <w:tcW w:w="380" w:type="dxa"/>
            <w:vAlign w:val="bottom"/>
          </w:tcPr>
          <w:p>
            <w:pPr>
              <w:ind w:left="80"/>
              <w:spacing w:after="0"/>
              <w:rPr>
                <w:sz w:val="20"/>
                <w:szCs w:val="20"/>
                <w:color w:val="auto"/>
              </w:rPr>
            </w:pPr>
            <w:r>
              <w:rPr>
                <w:rFonts w:ascii="Arial" w:cs="Arial" w:eastAsia="Arial" w:hAnsi="Arial"/>
                <w:sz w:val="18"/>
                <w:szCs w:val="18"/>
                <w:color w:val="auto"/>
              </w:rPr>
              <w:t>to</w:t>
            </w:r>
          </w:p>
        </w:tc>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2.25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1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75%</w:t>
            </w:r>
          </w:p>
        </w:tc>
        <w:tc>
          <w:tcPr>
            <w:tcW w:w="16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11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85"/>
              </w:rPr>
              <w:t>2.50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ind w:left="80"/>
              <w:spacing w:after="0"/>
              <w:rPr>
                <w:sz w:val="20"/>
                <w:szCs w:val="20"/>
                <w:color w:val="auto"/>
              </w:rPr>
            </w:pPr>
            <w:r>
              <w:rPr>
                <w:rFonts w:ascii="Arial" w:cs="Arial" w:eastAsia="Arial" w:hAnsi="Arial"/>
                <w:sz w:val="18"/>
                <w:szCs w:val="18"/>
                <w:color w:val="auto"/>
              </w:rPr>
              <w:t>16</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7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Note 12.</w:t>
            </w:r>
          </w:p>
        </w:tc>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Warrants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Common Stock Warrants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gridSpan w:val="3"/>
          </w:tcPr>
          <w:p>
            <w:pPr>
              <w:spacing w:after="0"/>
              <w:rPr>
                <w:sz w:val="20"/>
                <w:szCs w:val="20"/>
                <w:color w:val="auto"/>
              </w:rPr>
            </w:pPr>
            <w:r>
              <w:rPr>
                <w:rFonts w:ascii="Arial" w:cs="Arial" w:eastAsia="Arial" w:hAnsi="Arial"/>
                <w:sz w:val="18"/>
                <w:szCs w:val="18"/>
                <w:color w:val="auto"/>
              </w:rPr>
              <w:t>Following is a summary of all warrant activity for the six months ended June 30, 2017:</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Warrants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97"/>
              </w:rPr>
              <w:t>Warrants</w:t>
            </w:r>
          </w:p>
        </w:tc>
        <w:tc>
          <w:tcPr>
            <w:tcW w:w="6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Issued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at December 31, 2016</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1,487,958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Warrants issued during the six months ended June 30, 2017 (see Note 9)</w:t>
            </w: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1,363,503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exercised during the six months ended June 30, 2017 (see Note 9)</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(2,251,606)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gridSpan w:val="2"/>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spacing w:after="0"/>
              <w:rPr>
                <w:sz w:val="18"/>
                <w:szCs w:val="18"/>
                <w:color w:val="auto"/>
              </w:rPr>
            </w:pPr>
          </w:p>
        </w:tc>
        <w:tc>
          <w:tcPr>
            <w:tcW w:w="142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at June 30, 2017</w:t>
            </w:r>
          </w:p>
        </w:tc>
        <w:tc>
          <w:tcPr>
            <w:tcW w:w="3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599,855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60" w:type="dxa"/>
            <w:vAlign w:val="bottom"/>
            <w:tcBorders>
              <w:top w:val="single" w:sz="8" w:color="CCEEFF"/>
            </w:tcBorders>
            <w:gridSpan w:val="2"/>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June 30, 2017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Borders>
              <w:top w:val="single" w:sz="8" w:color="CCEEFF"/>
            </w:tcBorders>
            <w:gridSpan w:val="2"/>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at June 30, 2017 (in years)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7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Note 13.</w:t>
            </w:r>
          </w:p>
        </w:tc>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Contingent Liabilities and Commitments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has a term of 66 months and provides for 6 months of rent free, with the first monthly rent payment of approximately $23,000 due and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Lease term has expired. In connection with three $50,000 reductions of the standby letter of credit in April 2013 and 2014 and 2015, the Company reduced the escrow deposit by $50,000 each time. In late 2015, Lenox Drive Office Park LLC, purchased the real estate and office building and assumed the lease. This lease was set to expire on April 30, 2017. In April 2017, the Company and the landlord amended the Lease effective May 1, 2017. The Lease amendment extended the term for an additional 64 months, reduced the premises to 7,565 square feet, reduced the monthly rent, provided four months free rent and reduced the escrow deposit to $50,000. The monthly rent will range from approximately $18,900 in the first year to approximately $20,500 in the final year of the amendment. The Company also has a one-time option to cancel the lease as of the 40th month after the commencement date of the Lease amendment.</w:t>
      </w:r>
    </w:p>
    <w:p>
      <w:pPr>
        <w:spacing w:after="0" w:line="1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EGEN Asset Purchase agreement in June 2014, the Company assumed the existing lease with another landlord for an 11,500 square foot premises located in Huntsville Alabama. This lease has a remaining term of seven months with rent payments of approximately $23,200 per month.</w:t>
      </w:r>
    </w:p>
    <w:p>
      <w:pPr>
        <w:spacing w:after="0" w:line="1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Technology Development and Licensing Agreements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7, 2012 the Company entered into a long 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During the first quarter of 2015, Hisun completed the successful manufacture of three registration batches of ThermoDox® and the Company accrued $685,787 for the aggregate development costs and fees associated with these batches in March 2015. This amount was paid in April 2015.</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jc w:val="both"/>
        <w:spacing w:after="0" w:line="253" w:lineRule="auto"/>
        <w:rPr>
          <w:sz w:val="20"/>
          <w:szCs w:val="20"/>
          <w:color w:val="auto"/>
        </w:rPr>
      </w:pPr>
      <w:r>
        <w:rPr>
          <w:rFonts w:ascii="Arial" w:cs="Arial" w:eastAsia="Arial" w:hAnsi="Arial"/>
          <w:sz w:val="18"/>
          <w:szCs w:val="18"/>
          <w:color w:val="auto"/>
        </w:rPr>
        <w:t>On January 18, 2013, we entered into a technology development contract with Hisun, pursuant to which Hisun paid us a non-refundable research and development fee of $5 million to support our development of ThermoDox ®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 ® based on findings of the ongoing post-study analysis of the HEAT Study data.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660" w:right="500" w:hanging="314"/>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70" w:lineRule="exact"/>
        <w:rPr>
          <w:rFonts w:ascii="Arial" w:cs="Arial" w:eastAsia="Arial" w:hAnsi="Arial"/>
          <w:sz w:val="18"/>
          <w:szCs w:val="18"/>
          <w:b w:val="1"/>
          <w:bCs w:val="1"/>
          <w:color w:val="auto"/>
        </w:rPr>
      </w:pPr>
    </w:p>
    <w:p>
      <w:pPr>
        <w:ind w:left="660" w:right="500" w:hanging="314"/>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spacing w:after="0" w:line="170" w:lineRule="exact"/>
        <w:rPr>
          <w:rFonts w:ascii="Arial" w:cs="Arial" w:eastAsia="Arial" w:hAnsi="Arial"/>
          <w:sz w:val="18"/>
          <w:szCs w:val="18"/>
          <w:b w:val="1"/>
          <w:bCs w:val="1"/>
          <w:color w:val="auto"/>
        </w:rPr>
      </w:pPr>
    </w:p>
    <w:p>
      <w:pPr>
        <w:ind w:left="660" w:right="500" w:hanging="314"/>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U.S., and for potential future studies of GEN-1 in China. GEN-1 is currently being evaluated by Celsion in first line ovarian cancer patients.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460" w:right="540" w:hanging="222"/>
        <w:spacing w:after="0" w:line="277"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460" w:hanging="22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225" w:lineRule="exact"/>
        <w:rPr>
          <w:rFonts w:ascii="Arial" w:cs="Arial" w:eastAsia="Arial" w:hAnsi="Arial"/>
          <w:sz w:val="18"/>
          <w:szCs w:val="18"/>
          <w:b w:val="1"/>
          <w:bCs w:val="1"/>
          <w:color w:val="auto"/>
        </w:rPr>
      </w:pPr>
    </w:p>
    <w:p>
      <w:pPr>
        <w:ind w:left="460" w:right="520" w:hanging="222"/>
        <w:spacing w:after="0" w:line="277"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460" w:right="540" w:hanging="222"/>
        <w:spacing w:after="0" w:line="277"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CFDA for site approval; and</w:t>
      </w:r>
    </w:p>
    <w:p>
      <w:pPr>
        <w:spacing w:after="0" w:line="170" w:lineRule="exact"/>
        <w:rPr>
          <w:rFonts w:ascii="Arial" w:cs="Arial" w:eastAsia="Arial" w:hAnsi="Arial"/>
          <w:sz w:val="18"/>
          <w:szCs w:val="18"/>
          <w:b w:val="1"/>
          <w:bCs w:val="1"/>
          <w:color w:val="auto"/>
        </w:rPr>
      </w:pPr>
    </w:p>
    <w:p>
      <w:pPr>
        <w:ind w:left="460" w:right="520" w:hanging="222"/>
        <w:spacing w:after="0" w:line="277"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CFDA. A local China partner affords Celsion access to accelerated CFDA review and potential regulatory exclusivity for the approved indication.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6, 2017, the Company entered into a securities purchase agreement with several investors, pursuant to which the Company agreed to issue and sell, in a registered direct offering, an aggregate of 2,050,000 shares of common stock of the Company at an offering price of $2.07 per share for gross proceeds of $4,243,500 before the deduction of the placement agent fee and offering expenses. In addition, the Company sold Pre-Funded Series CCC Warrants to purchase 385,000 shares of common stock (and the shares of common stock issuable upon exercise of the Pre-Funded Series CCC Warrants), in lieu of shares of common stock to the extent that the purchase of common stock would cause the beneficial ownership of the Purchaser, together with its affiliates and certain related parties, to exceed 9.99% of our common stock. The Pre-Funded Series CCC Warrants were sold at an offering price of $2.06 per share for gross proceeds of $793,100, are immediately exercisable for $0.01 per share of common stock and do not have an expiration date. In a concurrent private placement, the Company agreed to issue to each investor, for each share of common stock and pre-funded warrant purchased in the offering, a Series AAA Warrant and Series BBB Warrant, each to purchase one share of common stock. The Series AAA Warrants are initially exercisable six months following issuance, and terminate five and one-half years following issuance. The Series AAA Warrants have an exercise price of $2.07 per share and are exercisable to purchase an aggregate of 2,435,000 shares of common stock. The Series BBB Warrants are immediately exercisable following issuance, and terminate twelve months following issuance. The Series BBB Warrants have an exercise price of $4.75 per share and are exercisable to purchase an aggregate of 2,435,000 shares of common stock. Subject to limited exceptions, a holder of a Series AAA and Series BBB Warrant will not have the right to exercise any portion of its warrants if the holder, together with its affiliates, would beneficially own in excess of 9.99% of the number of shares of common stock outstanding immediately after giving effect to such exercise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the Company’s Annual Report on Form 10-K for the fiscal year ended December 31, 2016 filed with the Securities and Exchange Commission (SEC) on March 24, 2017,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Celsion is a fully-integrated development stage oncology drug company focused on advancing a portfolio of innovative cancer treatments, including directed chemotherapies, DNA-mediated immunotherapy and RNA based therapies. Our lead product candidate is ThermoDox®, a proprietary heat-activated liposomal encapsulation of doxorubicin, currently in a Phase III clinical trial for the treatment of primary liver cancer (the OPTIMA Study) and a Phase II clinical trial for the treatment of recurrent chest wall breast cancer (the DIGNITY Study). Second in our pipeline is GEN-1, a DNA-mediated immunotherapy for the localized treatment of ovarian and brain cancers. We have two platform technologies providing the basis for the future development of a range of therapeutics for difficult-to-treat forms of cancer including: Lysolipid Thermally Sensitive Liposomes, a heat sensitive liposomal based dosage form that targets disease with known therapeutics in the presence of mild heat and TheraPlas, a novel nucleic acid-based treatment for local transfection of therapeutic plasmids. With these technologies we are working to develop and commercialize more efficient, effective and targeted oncology therapies that maximize efficacy while minimizing side-effects common to cancer treatments.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ThermoDox®</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ThermoDox ® is being evaluated in a Phase III clinical trial for primary liver cancer, which we call the OPTIMA Study, which was initiated in 2014 and a Phase II clinical trial for recurrent chest wall breast cancer, the DIGNITY Study. ThermoDox®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The OPTIMA Study. </w:t>
      </w:r>
      <w:r>
        <w:rPr>
          <w:rFonts w:ascii="Arial" w:cs="Arial" w:eastAsia="Arial" w:hAnsi="Arial"/>
          <w:sz w:val="18"/>
          <w:szCs w:val="18"/>
          <w:color w:val="auto"/>
        </w:rPr>
        <w:t>The OPTIMA Study represents an evaluation of ThermoDox® in combination with a first line therapy, radio frequency ablation (RFA),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newly diagnosed, intermediate stage HCC patients. HCC incidence globally is approximately 850,000 new cases per year and is the third largest cancer indication globally. Approximately 30% of newly diagnosed patients can be addressed with RFA alone.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spacing w:after="0" w:line="257" w:lineRule="auto"/>
        <w:rPr>
          <w:sz w:val="20"/>
          <w:szCs w:val="20"/>
          <w:color w:val="auto"/>
        </w:rPr>
      </w:pPr>
      <w:r>
        <w:rPr>
          <w:rFonts w:ascii="Arial" w:cs="Arial" w:eastAsia="Arial" w:hAnsi="Arial"/>
          <w:sz w:val="18"/>
          <w:szCs w:val="18"/>
          <w:color w:val="auto"/>
        </w:rPr>
        <w:t>On February 24, 2014, we announced that the United States Food and Drug Administration (the “FDA”), after its customary 30-day review period,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called the HEAT Study, which is described below. The OPTIMA Study is supported by a hypothesis developed from an overall survival analysis of a large subgroup of patients from the HEAT Study.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initiated the OPTIMA Study in the first half of 2014. The OPTIMA Study was designed with extensive input from globally recognized hepatocellular carcinoma (“HCC”) researchers and expert clinicians and after receiving formal written consultation from the FDA. The OPTIMA Study is expected to enroll up to 550 patients globally at up to 70 sites in the United States, Canada, Europe Union, China and other countries in the Asia-Pacific region, and will evaluate ThermoDox® in combination with standardized RFA, which will require a minimum of 45 minutes across all investigators and clinical sites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 (DMC).</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16, 2015, we announced that we had received the clinical trial application approval from the China Food and Drug Administration (the “CFDA”) to conduct the OPTIMA Study in China. This clinical trial application approval will allow Celsion to enroll patients at up to 20 clinical sites in China. On April 26, 2016, we announced that the first patient in China had been enrolled in the OPTIMA Study. Results from the OPTIMA Study, if successful, will provide the basis for a global registration filing and marketing approval.</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7, 2017, the Company announced that the independent Data Monitoring Committee (DMC) for the Company's OPTIMA Study completed a regularly scheduled review of the first 50% of patients enrolled in the trial and has unanimously recommended that the OPTIMA Study continue according to protocol to its final data readout. The DMC reviewed study data at regular intervals, with the primary responsibilities of ensuring the safety of all patients enrolled in the study, the quality of the data collected, and the continued scientific validity of the study design. As part of its review of the first 275 patients, the DMC monitored a quality matrix relating to the total clinical data set, confirming the timely collection of data, that all data are current as well as other data collection and quality criteria.</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hosted an Investigators Meeting with physicians in South East Asia and key opinion leaders on July 22-23, 2017 in Bangkok, Thailand. A second Investigators Meeting is being planned for October 2017 with physicians in China. The Company has initiated approximately 70 clinical sites in 14 countries with plans to activate up to 8 additional clinical trial sites in China or Vietnam by the end of 2017. In addition, the Company announced that patient enrollment in the 550 patient Phase III global study has reached over 60%. Based on current enrollment rates, the Company expects to complete enrollment of the study by mid-2018.</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Post-hoc data analysis from the Company’s earlier Phase III HEAT Study suggest that ThermoDox® may substantially improve OS, when compared to the control group, in patients if their lesions undergo a 45 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the Company announced updated results from its final retrospective OS analysis of the data from the HEAT Study.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group has been reached which translates into a two year survival benefit over the optimized RFA group (projected to be greater than 80 months for the ThermoDox® plus optimized RFA group compared to less than 60 months projection for the optimized RFA only group).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Additional findings from this most recent analysis specific to the Chinese patient cohort of 223 patients are summarized below:</w:t>
      </w:r>
    </w:p>
    <w:p>
      <w:pPr>
        <w:spacing w:after="0" w:line="225" w:lineRule="exact"/>
        <w:rPr>
          <w:sz w:val="20"/>
          <w:szCs w:val="20"/>
          <w:color w:val="auto"/>
        </w:rPr>
      </w:pPr>
    </w:p>
    <w:p>
      <w:pPr>
        <w:ind w:left="560" w:right="560" w:hanging="214"/>
        <w:spacing w:after="0" w:line="27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population of 154 patients with a single lesion who received optimized RFA treatment for 45 minutes or more showed a 53% risk improvement in OS (HR = 0.66) when treated with ThermoDox® plus optimized RFA.</w:t>
      </w:r>
    </w:p>
    <w:p>
      <w:pPr>
        <w:spacing w:after="0" w:line="170" w:lineRule="exact"/>
        <w:rPr>
          <w:rFonts w:ascii="Arial" w:cs="Arial" w:eastAsia="Arial" w:hAnsi="Arial"/>
          <w:sz w:val="18"/>
          <w:szCs w:val="18"/>
          <w:color w:val="auto"/>
        </w:rPr>
      </w:pPr>
    </w:p>
    <w:p>
      <w:pPr>
        <w:jc w:val="both"/>
        <w:ind w:left="560" w:right="560" w:hanging="214"/>
        <w:spacing w:after="0" w:line="259"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data continue to support and further strengthen ThermoDox®’s potential to significantly improve OS compared to an RFA control in patients with lesions that undergo optimized RFA treatment for 45 minutes or more. The clinical benefit seen in the intent-to-treat Chinese patient cohort further confirms the importance of RFA heating time as 72% of patients in this large patient cohort in China received an optimized RFA treatment.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jc w:val="both"/>
        <w:ind w:right="80"/>
        <w:spacing w:after="0" w:line="276" w:lineRule="auto"/>
        <w:rPr>
          <w:sz w:val="20"/>
          <w:szCs w:val="20"/>
          <w:color w:val="auto"/>
        </w:rPr>
      </w:pPr>
      <w:r>
        <w:rPr>
          <w:rFonts w:ascii="Arial" w:cs="Arial" w:eastAsia="Arial" w:hAnsi="Arial"/>
          <w:sz w:val="17"/>
          <w:szCs w:val="17"/>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 that clearly support the relationship between increased heating duration and doxorubicin concentrations.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29, 2016, the Company announced the results of an independent analysis conducted by the National Institutes of Health (the “NIH”) from the HEAT Study which reaffirmed the correlation between increased RFA burn time per tumor volume and improvements in overall survival. The NIH analysis, which sought to evaluate the correlation between RFA burn time per tumor volume (min/ml) and clinical outcome, concluded that increased burn time per tumor volume significantly improved overall survival in patients treated with RFA plus ThermoDox® compared to patients treated with RFA alone. For all patients with single lesions treated with RFA plus ThermoDox®:</w:t>
      </w:r>
    </w:p>
    <w:p>
      <w:pPr>
        <w:spacing w:after="0" w:line="188" w:lineRule="exact"/>
        <w:rPr>
          <w:sz w:val="20"/>
          <w:szCs w:val="20"/>
          <w:color w:val="auto"/>
        </w:rPr>
      </w:pPr>
    </w:p>
    <w:p>
      <w:pPr>
        <w:ind w:left="560" w:hanging="214"/>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unit increase in RFA duration per tumor volume improved overall survival by 20% (p=0.017; n=227);</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More significant differences in subgroup of patients with RFA burn times per tumor volume greater than 2.5 minutes per ml;</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Cox multiple covariate analysis showed overall survival to be significant (p=0.038; Hazard Ratio = 0.85); and</w:t>
      </w:r>
    </w:p>
    <w:p>
      <w:pPr>
        <w:spacing w:after="0" w:line="225" w:lineRule="exact"/>
        <w:rPr>
          <w:rFonts w:ascii="Arial" w:cs="Arial" w:eastAsia="Arial" w:hAnsi="Arial"/>
          <w:sz w:val="18"/>
          <w:szCs w:val="18"/>
          <w:color w:val="auto"/>
        </w:rPr>
      </w:pPr>
    </w:p>
    <w:p>
      <w:pPr>
        <w:ind w:left="560" w:hanging="214"/>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Burn time per tumor volume did not have a significant effect on overall survival in single lesion patients treated with RFA only.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The HEAT Study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January 31, 2013, the Company announced that the HEAT Study, ThermoDox® in combination with RFA, did not meet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PFS, of a Phase III clinical trial enrolling 701 patients with primary liver cancer. This determination was made after conferring with the HEAT Study independent DMC, that the HEAT Study did not meet the goal of demonstrating a clinically meaningful improvement in progression free survival. In the trial, ThermoDox® was well-tolerated with no unexpected serious adverse events. Following the announcement of the HEAT Study results, we continued to follow patients for OS, the secondary endpoint of the HEAT Study. We have conducted a comprehensive analysis of the data from the HEAT Study to assess the future strategic value and development strategy for ThermoDox®.</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The DIGNITY Study. </w:t>
      </w:r>
      <w:r>
        <w:rPr>
          <w:rFonts w:ascii="Arial" w:cs="Arial" w:eastAsia="Arial" w:hAnsi="Arial"/>
          <w:sz w:val="18"/>
          <w:szCs w:val="18"/>
          <w:color w:val="auto"/>
        </w:rPr>
        <w:t>On December 14, 2015, we announced final data from our ongoing DIGNITY study, which is an open-label, dose-escalating Phase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trial of ThermoDox® in patients with recurrent chest wall (“RCW”) breast cancer. The DIGNITY Study was designed to establish a safe therapeutic dose in Phase I, and to demonstrate local control in Phase II, including complete and partial responses, and stable disease as its primary endpoint. The DIGNITY Study was also designed to evaluate kinetics in ThermoDox® produced from more than one manufacturing site. Of the 29 patients enrolled and treated, 21 patients were eligible for evaluation of efficacy. Approximately 62% of evaluable patients experienced a local response, including six complete responses and seven partial responses.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The Euro-DIGNITY Study. </w:t>
      </w:r>
      <w:r>
        <w:rPr>
          <w:rFonts w:ascii="Arial" w:cs="Arial" w:eastAsia="Arial" w:hAnsi="Arial"/>
          <w:sz w:val="18"/>
          <w:szCs w:val="18"/>
          <w:color w:val="auto"/>
        </w:rPr>
        <w:t>We anticipate that a Phase II study of RadioTherapy, HyperThermia and ThermoDox® to treat patients with local-regional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recurrent chest wall breast cancer will be initiated by five to six clinical sites located in Italy, Israel, Poland and the Czech Republic (the “Euro-DIGNITY Study”). The Euro-DIGNITY Study is expected to commence in the second half of 2017 and should enroll up to 70 patients affected by recurrent breast adenocarcinoma on the chest wall with/without nodes over a period of two years.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objectives of the Euro-DIGNITY Study will be (i) to evaluate efficacy in patients after 3 cycles of ThermoDox® plus Hyperthermia measuring tumor diameter as a response to therapy and (ii) to evaluate loco-regional breast tumor control in patients who undergo ThermoDox®/hyperthermia/radiotherapy as measured by target lesion clinical response rate combining a RECIST criteria with digital photography to gauge response.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Secondary objectives of the Euro-DIGNITY Study will be (i) to evaluate the safety of the combination of ThermoDox/Hyperthermia/Radiotherapy among patients with local-regional recurrence (“LRR”) breast cancer, (ii) to evaluate the duration of local control complete response, partial response and stable disease following treatment with ThermoDox/Hyperthermia/Radiotherapy up to 24 months among patients with LRR breast cancer and (iii) to assess Patient Reported Quality of Life using the FACT-B and Brief Pain Inventory following treatment with ThermoDox/Hyperthermia/Radiotherapy among patients with LRR breast cancer.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Acquisition of EGEN Assets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20, 2014, we completed the acquisition of substantially all of the assets of Egen, Inc., an Alabama corporation, which has changed its company name to EGWU, Inc. after the closing of the acquisition (“EGEN”), pursuant to an asset purchase agreement dated as of June 6, 2014, by and between EGEN and Celsion (the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purchase price for the asset acquisition is up to $44.4 million, including potential future earnout payments of up to $30.4 million contingent upon achievement of certain earnout milestones set forth in the Asset Purchase Agreement. At the closing, we paid approximately $3.0 million in cash after the expense adjustment and issued 193,728 shares of our common stock to EGEN. The shares of common stock were issued in a private transaction exempt from registration under the Securities Act, pursuant to Section 4(2) thereof. In addition, the Company held back 47,862 shares of common stock issuable to EGEN pending satisfactory resolution of any post-closing adjustments of expenses and EGEN’s indemnification obligations under the EGEN Purchase Agreement (Holdback Shares). These shares were issued on June 16, 2017.</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earnout payments of up to $30.4 million will become payable, in cash, shares of our common stock or a combination thereof, at our option upon achievement of three major milestone events as follows:</w:t>
      </w:r>
    </w:p>
    <w:p>
      <w:pPr>
        <w:spacing w:after="0" w:line="170" w:lineRule="exact"/>
        <w:rPr>
          <w:sz w:val="20"/>
          <w:szCs w:val="20"/>
          <w:color w:val="auto"/>
        </w:rPr>
      </w:pPr>
    </w:p>
    <w:p>
      <w:pPr>
        <w:ind w:left="560" w:right="480" w:hanging="214"/>
        <w:spacing w:after="0" w:line="277"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(formerly known as EGEN-001) to be conducted by us or our subsidiary;</w:t>
      </w:r>
    </w:p>
    <w:p>
      <w:pPr>
        <w:spacing w:after="0" w:line="170" w:lineRule="exact"/>
        <w:rPr>
          <w:rFonts w:ascii="Arial" w:cs="Arial" w:eastAsia="Arial" w:hAnsi="Arial"/>
          <w:sz w:val="18"/>
          <w:szCs w:val="18"/>
          <w:color w:val="auto"/>
        </w:rPr>
      </w:pPr>
    </w:p>
    <w:p>
      <w:pPr>
        <w:ind w:left="560" w:right="480" w:hanging="214"/>
        <w:spacing w:after="0" w:line="277"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 and</w:t>
      </w:r>
    </w:p>
    <w:p>
      <w:pPr>
        <w:spacing w:after="0" w:line="170" w:lineRule="exact"/>
        <w:rPr>
          <w:rFonts w:ascii="Arial" w:cs="Arial" w:eastAsia="Arial" w:hAnsi="Arial"/>
          <w:sz w:val="18"/>
          <w:szCs w:val="18"/>
          <w:color w:val="auto"/>
        </w:rPr>
      </w:pPr>
    </w:p>
    <w:p>
      <w:pPr>
        <w:ind w:left="560" w:right="480" w:hanging="214"/>
        <w:spacing w:after="0" w:line="277"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milestones relating to the TheraSilence technology acquired from EGEN in the acquisition.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obligations to make the earnout payments will terminate on the seventh anniversary of the closing date. In the acquisition, we purchased GEN-1, a DNA-based immunotherapy for the localized treatment of ovarian and brain cancers, and two platform technologies for the development of treatments for those suffering with difficult-to-treat forms of cancer, novel nucleic acid-based immunotherapies and other anti-cancer DNA or RNA therapies, including TheraPlas and TheraSilence.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for the localized treatment of ovarian and brain cancers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are based on the following:</w:t>
      </w:r>
    </w:p>
    <w:p>
      <w:pPr>
        <w:spacing w:after="0" w:line="178" w:lineRule="exact"/>
        <w:rPr>
          <w:sz w:val="20"/>
          <w:szCs w:val="20"/>
          <w:color w:val="auto"/>
        </w:rPr>
      </w:pPr>
    </w:p>
    <w:p>
      <w:pPr>
        <w:ind w:left="540" w:right="540" w:hanging="208"/>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540" w:hanging="208"/>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w:t>
      </w:r>
    </w:p>
    <w:p>
      <w:pPr>
        <w:spacing w:after="0" w:line="225" w:lineRule="exact"/>
        <w:rPr>
          <w:rFonts w:ascii="Arial" w:cs="Arial" w:eastAsia="Arial" w:hAnsi="Arial"/>
          <w:sz w:val="18"/>
          <w:szCs w:val="18"/>
          <w:color w:val="auto"/>
        </w:rPr>
      </w:pPr>
    </w:p>
    <w:p>
      <w:pPr>
        <w:ind w:left="540" w:hanging="208"/>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Ideal for long-term maintenance therapy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GEN-1 OVATION Study. </w:t>
      </w:r>
      <w:r>
        <w:rPr>
          <w:rFonts w:ascii="Arial" w:cs="Arial" w:eastAsia="Arial" w:hAnsi="Arial"/>
          <w:sz w:val="18"/>
          <w:szCs w:val="18"/>
          <w:color w:val="auto"/>
        </w:rPr>
        <w:t>In February 2015, we announced that the FDA accepted, without objection, the Phase I dose-escalation clinical trial of GEN-1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with the standard of care in neo-adjuvant ovarian cancer (the “OVATION Study”). On September 30, 2015, we announced enrollment of the first patient in the OVATION Study. The OVATION Study will seek to identify a safe, tolerable and potentially therapeutically active dose of GEN-1 by recruiting and maximizing an immune response and is designed to enroll three to six patients per dose level and will evaluate safety and efficacy and attempt to define an optimal dose for a follow-on Phase I/II study combining GEN-1 with Avastin® and Doxil®. In addition, the OVATION Study establishes a unique opportunity to assess how cytokine-based compounds such as GEN-1, directly affect ovarian cancer cells and the tumor microenvironment in newly diagnosed patients. The study is designed to characterize the nature of the immune response triggered by GEN-1 at various levels of the patients’ immune system, including:</w:t>
      </w:r>
    </w:p>
    <w:p>
      <w:pPr>
        <w:spacing w:after="0" w:line="192" w:lineRule="exact"/>
        <w:rPr>
          <w:sz w:val="20"/>
          <w:szCs w:val="20"/>
          <w:color w:val="auto"/>
        </w:rPr>
      </w:pPr>
    </w:p>
    <w:p>
      <w:pPr>
        <w:ind w:left="560" w:right="480" w:hanging="214"/>
        <w:spacing w:after="0" w:line="277"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560" w:right="480" w:hanging="214"/>
        <w:spacing w:after="0" w:line="277"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560" w:hanging="21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initiated the OVATION Study at four clinical sites at the University of Alabama at Birmingham, Oklahoma University Medical Center, Washington University in St. Louis and the Medical College of Wisconsin During 2016 and 2017, we announced data from the first fourteen patients who completed treatment in the OVATION Study. The results are summarized below:</w:t>
      </w:r>
    </w:p>
    <w:p>
      <w:pPr>
        <w:spacing w:after="0" w:line="181" w:lineRule="exact"/>
        <w:rPr>
          <w:sz w:val="20"/>
          <w:szCs w:val="20"/>
          <w:color w:val="auto"/>
        </w:rPr>
      </w:pPr>
    </w:p>
    <w:p>
      <w:pPr>
        <w:jc w:val="both"/>
        <w:ind w:left="560" w:right="480" w:hanging="214"/>
        <w:spacing w:after="0" w:line="259"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 the fourteen patients treated to date in the entire study, two (2) patients demonstrated a complete response, ten (10) patients demonstrated a partial response and two (2) patients demonstrated stable disease, as measured by RECIST criteria. This translates to a 100% disease control rate (“DCR”) and an 86% objective response rate (“ORR”). Of the five patients treated in the highest dose cohort, there was a 100% objective response rate with one (1) complete response and four (4) partial responses.</w:t>
      </w:r>
    </w:p>
    <w:p>
      <w:pPr>
        <w:spacing w:after="0" w:line="186" w:lineRule="exact"/>
        <w:rPr>
          <w:rFonts w:ascii="Arial" w:cs="Arial" w:eastAsia="Arial" w:hAnsi="Arial"/>
          <w:sz w:val="18"/>
          <w:szCs w:val="18"/>
          <w:color w:val="auto"/>
        </w:rPr>
      </w:pPr>
    </w:p>
    <w:p>
      <w:pPr>
        <w:jc w:val="both"/>
        <w:ind w:left="560" w:right="480" w:hanging="214"/>
        <w:spacing w:after="0" w:line="264"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Fourteen patients had successful resections of their tumors, with nine (9) patients (64%) having an R0 resection, which indicates a microscopically margin-negative resection in which no gross or microscopic tumor remains in the tumor bed. Of the five patients treated at the highest dose cohort, all five patients (100%) experienced a R0 surgical resection.</w:t>
      </w:r>
    </w:p>
    <w:p>
      <w:pPr>
        <w:spacing w:after="0" w:line="181" w:lineRule="exact"/>
        <w:rPr>
          <w:rFonts w:ascii="Arial" w:cs="Arial" w:eastAsia="Arial" w:hAnsi="Arial"/>
          <w:sz w:val="18"/>
          <w:szCs w:val="18"/>
          <w:color w:val="auto"/>
        </w:rPr>
      </w:pPr>
    </w:p>
    <w:p>
      <w:pPr>
        <w:jc w:val="both"/>
        <w:ind w:left="560" w:right="480" w:hanging="214"/>
        <w:spacing w:after="0" w:line="264"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One patient demonstrated a pathological complete response (pCR). pCRs are typically seen in less than 7% of patients receiving neoadjuvant chemotherapy followed by surgical resection, and have been associated with a median OS of 72 months, which is more than three years longer than those who do not experience a pCR.</w:t>
      </w:r>
    </w:p>
    <w:p>
      <w:pPr>
        <w:spacing w:after="0" w:line="181" w:lineRule="exact"/>
        <w:rPr>
          <w:rFonts w:ascii="Arial" w:cs="Arial" w:eastAsia="Arial" w:hAnsi="Arial"/>
          <w:sz w:val="18"/>
          <w:szCs w:val="18"/>
          <w:color w:val="auto"/>
        </w:rPr>
      </w:pPr>
    </w:p>
    <w:p>
      <w:pPr>
        <w:ind w:left="560" w:right="480" w:hanging="214"/>
        <w:spacing w:after="0" w:line="308" w:lineRule="auto"/>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Celsion also reported supportive translational research data from the first two patient cohorts who have completed treatment in the OVATION Study. Celsion believes that this translational data demonstrates that GEN-1 is potentially producing beneficial cytokines and potentially impacting T-cells in the tumor.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Top Line Translational Data from First Two Cohorts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Celsion also reported initial translational data from the first two cohorts of patients. Tumor and blood samples collected before the start of the neoadjuvant chemotherapy (“NACT”) and after the completion of GEN-1 treatment at debulking surgery are being analyzed for immune cell populations. Top line data demonstrates intriguing immunological changes in the tumor that are consistent with the activation of the immune system. Specifically:</w:t>
      </w:r>
    </w:p>
    <w:p>
      <w:pPr>
        <w:spacing w:after="0" w:line="166" w:lineRule="exact"/>
        <w:rPr>
          <w:sz w:val="20"/>
          <w:szCs w:val="20"/>
          <w:color w:val="auto"/>
        </w:rPr>
      </w:pPr>
    </w:p>
    <w:p>
      <w:pPr>
        <w:jc w:val="both"/>
        <w:ind w:left="560" w:right="480" w:hanging="214"/>
        <w:spacing w:after="0" w:line="255"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tumor tissue, there was an increase in cytotoxic CD8+ T-cell density in three out of four evaluable patients at debulking surgery. There was a decrease in immunosuppressive FoxP3+ T-cells in two out of those 4 patients. The ratio of CD8+/FoxP3+ cells was increased in all four evaluable patients. High tumor infiltrating CD8+ T-cell density, low FoxP3+ T-cell density or high CD8+/FoxP3+ ratio demonstrate a potential shift in tumor environment to favoring immune stimulation following NACT + GEN-1 therapy. For the remaining two patients the post-treatment tumor tissue was not available. In one of those two patients there was complete pathological response hence no tumor tissue was present to provide a post-treatment comparison. In the other patient the debulking surgery was not performed due to disease related complications.</w:t>
      </w:r>
    </w:p>
    <w:p>
      <w:pPr>
        <w:spacing w:after="0" w:line="189" w:lineRule="exact"/>
        <w:rPr>
          <w:rFonts w:ascii="Arial" w:cs="Arial" w:eastAsia="Arial" w:hAnsi="Arial"/>
          <w:sz w:val="18"/>
          <w:szCs w:val="18"/>
          <w:color w:val="auto"/>
        </w:rPr>
      </w:pPr>
    </w:p>
    <w:p>
      <w:pPr>
        <w:ind w:left="560" w:right="480" w:hanging="214"/>
        <w:spacing w:after="0" w:line="308" w:lineRule="auto"/>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plasma samples, there was no significant change in T-cell density following the treatment. The density of myeloid derived suppressor cells that are associated with immunosuppression in ovarian cancer were either decreased or did not increase in post-treatment samples.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GEN-1 Plus Doxil® and Avastin® Trial. </w:t>
      </w:r>
      <w:r>
        <w:rPr>
          <w:rFonts w:ascii="Arial" w:cs="Arial" w:eastAsia="Arial" w:hAnsi="Arial"/>
          <w:sz w:val="18"/>
          <w:szCs w:val="18"/>
          <w:color w:val="auto"/>
        </w:rPr>
        <w:t>On April 29, 2015, we announced the expansion of our ovarian cancer development program to include a Phase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dose escalating trial to evaluate GEN-1 in combination with Avastin® and Doxil® in platinum-resistant ovarian cancer patients. This new combination study in platinum-resistant ovarian cancer is supported by three preclinical studies indicating that the combination of GEN-1 with Avastin® may result in significant clinical benefit with a favorable safety profile. Specifically:</w:t>
      </w:r>
    </w:p>
    <w:p>
      <w:pPr>
        <w:spacing w:after="0" w:line="187" w:lineRule="exact"/>
        <w:rPr>
          <w:sz w:val="20"/>
          <w:szCs w:val="20"/>
          <w:color w:val="auto"/>
        </w:rPr>
      </w:pPr>
    </w:p>
    <w:p>
      <w:pPr>
        <w:jc w:val="both"/>
        <w:ind w:left="560" w:right="480" w:hanging="214"/>
        <w:spacing w:after="0" w:line="259"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two preclinical studies using an animal model of disseminated ovarian cancer, GEN-1 in combination with Avastin® led to a significant reduction in tumor burden and disease progression. The effectiveness of the combined treatment was seen when GEN-1 was combined with various dose levels of Avastin® (low-medium-high). Additionally, it was shown that GEN-1 treatment alone resulted in anti-tumor activity that was as good as or better than Avastin® treatment alone.</w:t>
      </w:r>
    </w:p>
    <w:p>
      <w:pPr>
        <w:spacing w:after="0" w:line="186" w:lineRule="exact"/>
        <w:rPr>
          <w:rFonts w:ascii="Arial" w:cs="Arial" w:eastAsia="Arial" w:hAnsi="Arial"/>
          <w:sz w:val="18"/>
          <w:szCs w:val="18"/>
          <w:color w:val="auto"/>
        </w:rPr>
      </w:pPr>
    </w:p>
    <w:p>
      <w:pPr>
        <w:jc w:val="both"/>
        <w:ind w:left="560" w:right="480" w:hanging="214"/>
        <w:spacing w:after="0" w:line="259"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preclinical studies indicated that no obvious overt toxicities were associated with the combined treatments of GEN-1 and Avastin®. The preclinical data are also consistent with the mechanism of action for GEN-1, which exhibits certain anti-angiogenic properties and suggests that combining GEN-1 with lower doses of Avastin® may enhance efficacy and help reduce the known toxicities associated with this anti-VEGF drug.</w:t>
      </w:r>
    </w:p>
    <w:p>
      <w:pPr>
        <w:spacing w:after="0" w:line="186" w:lineRule="exact"/>
        <w:rPr>
          <w:rFonts w:ascii="Arial" w:cs="Arial" w:eastAsia="Arial" w:hAnsi="Arial"/>
          <w:sz w:val="18"/>
          <w:szCs w:val="18"/>
          <w:color w:val="auto"/>
        </w:rPr>
      </w:pPr>
    </w:p>
    <w:p>
      <w:pPr>
        <w:jc w:val="both"/>
        <w:ind w:left="560" w:right="480" w:hanging="214"/>
        <w:spacing w:after="0" w:line="259"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distinct biological activities of GEN-1 (immune stimulation) and Avastin® (inhibition of tumor blood vessel formation) also suggest scientific rationale for this combination approach. Additionally, the anti-angiogenic activity of GEN-1 mediated through up regulation of the interferon gamma (“IFN-g”) pathway may help to explain the synergy between GEN-1 and Avastin® and potentially addresses the VEGF escape mechanisms associated with resistance to Avastin® therapy.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TheraPlas Technology Platform. </w:t>
      </w:r>
      <w:r>
        <w:rPr>
          <w:rFonts w:ascii="Arial" w:cs="Arial" w:eastAsia="Arial" w:hAnsi="Arial"/>
          <w:sz w:val="17"/>
          <w:szCs w:val="17"/>
          <w:color w:val="auto"/>
        </w:rPr>
        <w:t>TheraPlas is a technology platform for the delivery of DNA and messenger RNA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TheraPlas is a viable alternative to current approaches to gene delivery due to several distinguishing characteristics, including enhanced molecular versatility that allows for complex modifications to improve activity and safety.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Technology Development and Licensing Agreements. </w:t>
      </w:r>
      <w:r>
        <w:rPr>
          <w:rFonts w:ascii="Arial" w:cs="Arial" w:eastAsia="Arial" w:hAnsi="Arial"/>
          <w:sz w:val="18"/>
          <w:szCs w:val="18"/>
          <w:color w:val="auto"/>
        </w:rPr>
        <w:t>Our current efforts and resources are applied on the development and commercialization of cancer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drugs including tumor-targeting chemotherapy treatments using focused heat energy in combination with heat-activated drug delivery systems, immunotherapies and RNA-based therapies.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8, 2016, we signed a Technology Transfer, Manufacturing and Commercial Supply Agreement (the “GEN-1 Agreement”) with Zhejiang Hisun Pharmaceutical Co. Ltd.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obtained. The GEN-1 Agreement will help to support supply for both ongoing and planned clinical studies in the United States, and for potential future studies of GEN-1 in China. GEN-1 is currently being evaluated by Celsion in first line ovarian cancer patients.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2012, Celsion and Hisun signed a long-term commercial supply agreement for the production of ThermoDox®. Hisun is one the largest manufacturers of chemotherapy agents globally, including doxorubicin. In July 2013, the ThermoDox® collaboration was expanded to focus on next generation liposomal formulation development with the goal of creating safer, more efficacious versions of marketed cancer chemotherapeutics. During 2015, Hisun successfully completed the manufacture of three registration batches for ThermoDox® and has obtained regulatory approvals to supply ThermoDox® to participating clinical trial sites in all of the countries of South East Asia, Europe and North America, as well as to the European Union countries allowing for early access to ThermoDox®. The future manufacturing of clinical and commercial supplies by Hisun will result in a cost structure allowing Celsion to profitably access all global markets, including third world countries, and help accelerate the Company’s product development program in China for ThermoDox® in primary liver cancer and other approved indications.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Plan and Going Concern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II, Item 1A. Risk Factors" in this Quarterly Report on Form 10-Q.</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88" w:lineRule="auto"/>
        <w:rPr>
          <w:sz w:val="20"/>
          <w:szCs w:val="20"/>
          <w:color w:val="auto"/>
        </w:rPr>
      </w:pPr>
      <w:r>
        <w:rPr>
          <w:rFonts w:ascii="Arial" w:cs="Arial" w:eastAsia="Arial" w:hAnsi="Arial"/>
          <w:sz w:val="16"/>
          <w:szCs w:val="16"/>
          <w:color w:val="auto"/>
        </w:rPr>
        <w:t>We have not generated and do not expect to generate any revenue from product sales in the next several years, if at all. An element of our business strategy has been to pursue, as resources permit, the research and development of a range of product candidates for a variety of indications. We may also evaluate licensing cancer products from third parties for cancer treatments to expand our current product pipeline. This is intended to allow us to diversify the risks associated with our research and development expenditures. To the extent we are unable to maintain a broad range of product candidates, our dependence on the success of one or a few product candidates would increase and results such as those announced in relation to the HEAT study on January 31, 2013 will have a more significant impact on our financial prospects, financial condition and market value. We may also consider and evaluate strategic alternatives, including investment in, or acquisition of, complementary businesses, technologies or products. As demonstrated by the HEAT Study results,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69"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Our current business strategy includes the possibility of entering into collaborative arrangements with third parties to complete the development and commercialization of our product candidates. In the event that third parties take over the clinical trial process for one or more of our product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June 30, 2017, we have $3.6 million in cash and cash equivalents. In July 2017, the Company completed a $5 million registered direct equity offering of shares of common stock, or pre-funded warrants in lieu thereof, and a concurrent private placement of warrants to purchase common stock with several institutional healthcare investors. Given our development plans, we anticipate cash resources will be sufficient to fund our operations through 2017 and the Company has no committed sources of additional capital. The Company has a Controlled Equity Offering SM Sales Agreement (the “ATM Agreement”) with Cantor Fitzgerald &amp; Co. As a result of the risks and uncertainties discussed in our 2016 Annual Report on Form 10-K and Quarterly Report on Form 10-Q for the quarter ended June 30, 2017,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 Based on the above, management has determined there is substantial doubt regarding our ability to continue as a going concern. As a result, our independent registered accounting firm has expressed substantial doubt about our ability to continue as a going concern in their report dated March 24, 2017 included in our 2016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26, 2017, the Company effected a reverse stock split of our common stock at an exchange ratio of 14-to-1 (the “Reverse Stock Split”) and set the number of authorized shares of common stock outstanding immediately after the split at 112.5 million shares. As a result of the Reverse Stock Split, every fourteen shares of common stock outstanding immediately prior to the effectiveness of the Reverse Stock Split were combined and converted into one share of common stock immediately thereafter without any change in the per share par value. The Company’s common stock started to trade on the post-split basis at the commencement of trading on May 30, 2017 under a new CUSIP number 15117N503 with the same ticker symbol, CLSN. Unless otherwise expressly stated, the share and per share data in this section and elsewhere in this Quarterly Report on Form 10-Q have been adjusted to reflect the Reverse Stock Split.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and Debt Financings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2016 and thus far in 2017, the Company issued a total of 6.6 million shares of common stock in the following equity transactions for an aggregate $22.1 million in gross proceeds.</w:t>
      </w:r>
    </w:p>
    <w:p>
      <w:pPr>
        <w:spacing w:after="0" w:line="170" w:lineRule="exact"/>
        <w:rPr>
          <w:sz w:val="20"/>
          <w:szCs w:val="20"/>
          <w:color w:val="auto"/>
        </w:rPr>
      </w:pPr>
    </w:p>
    <w:p>
      <w:pPr>
        <w:jc w:val="both"/>
        <w:ind w:left="560" w:right="480" w:hanging="214"/>
        <w:spacing w:after="0" w:line="269" w:lineRule="auto"/>
        <w:tabs>
          <w:tab w:leader="none" w:pos="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February 14, 2017, the Company entered into a securities purchase agreement whereby it sold, in a public offering (the February 14, 2017 Public Offering), an aggregate of 1,384,705 shares of common stock of the Company at an offering price of $3.22 per share. In addition, the Company sold Series AA Warrants (the Series AA Warrants) to purchase up to 1,177,814 shares of common stock and Pre-Funded Series BB Warrants (the Pre-Funded Series BB Warrants) to purchase up to 185,713 shares of common stock. The Series AA Warrants have an exercise price of $3.22 per share, have a five year life and are immediately exercisable. The Pre-Funded Series BB Warrants were offered at $3.08 per share, are immediately exercisable for $0.14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before the deduction of the placement agent fees and offering expenses (excluding any proceeds from the exercise of the warrants) in the February 14, 2017 Public Offering. During the first quarter of 2017, all 185,713 of the Series BB Pre-Funded warrants were exercised in full.</w:t>
      </w:r>
    </w:p>
    <w:p>
      <w:pPr>
        <w:spacing w:after="0" w:line="182" w:lineRule="exact"/>
        <w:rPr>
          <w:rFonts w:ascii="Arial" w:cs="Arial" w:eastAsia="Arial" w:hAnsi="Arial"/>
          <w:sz w:val="17"/>
          <w:szCs w:val="17"/>
          <w:color w:val="auto"/>
        </w:rPr>
      </w:pPr>
    </w:p>
    <w:p>
      <w:pPr>
        <w:ind w:left="560" w:right="480" w:hanging="214"/>
        <w:spacing w:after="0" w:line="27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received gross proceeds of $5.1 million from the exercise of warrants to purchase 2,251,606 shares of common stock during the first half of 2017.</w:t>
      </w:r>
    </w:p>
    <w:p>
      <w:pPr>
        <w:spacing w:after="0" w:line="170" w:lineRule="exact"/>
        <w:rPr>
          <w:rFonts w:ascii="Arial" w:cs="Arial" w:eastAsia="Arial" w:hAnsi="Arial"/>
          <w:sz w:val="18"/>
          <w:szCs w:val="18"/>
          <w:color w:val="auto"/>
        </w:rPr>
      </w:pPr>
    </w:p>
    <w:p>
      <w:pPr>
        <w:jc w:val="both"/>
        <w:ind w:left="560" w:right="500" w:hanging="214"/>
        <w:spacing w:after="0" w:line="285"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July 6, 2017, the Company entered into a securities purchase agreement with several investors, pursuant to which the Company agreed to issue and sell, in a registered direct offering, an aggregate of 2,050,000 shares of common stock of the Company at an offering price of $2.07 per share for gross proceeds of $4,243,500 before the deduction of the placement agent fee and offering expenses. In addition, the Company sold Pre-Funded Series CCC Warrants to purchase 385,000 shares of common stock (and the shares of common stock issuable upon exercise of the Pre-Funded Series CCC Warrants), in lieu of shares of common stock to the extent that the purchase of common stock would cause the beneficial ownership of the Purchaser, together with its affiliates and certain related parties, to exceed 9.99% of our common stock. The Pre-Funded Series CCC Warrants were sold at an offering price of $2.06 per share for gross proceeds of $793,100, are immediately exercisable for $0.01 per share of common stock and do not have an expiration date. As of August 11, 2017, the Prefunded Series CCC Warrants were fully exercised. In a concurrent private placement, the Company agreed to issue to each investor, for each share of common stock and pre-funded warrant purchased in the offering, a Series AAA Warrant and Series BBB Warrant, each to purchase one share of common stock. The Series AAA Warrants are initially exercisable six months following issuance, and terminate five and one-half years following issuance. The Series AAA Warrants have an exercise price of $2.07 per share and are exercisable to purchase an aggregate of 2,435,000 shares of common stock. The Series BBB Warrants are immediately exercisable following issuance, and terminate twelve months following issuance. The Series BBB Warrants have an exercise price of $4.75 per share and are exercisable to purchase an aggregate of 2,435,000 shares of common stock. Subject to limited exceptions, a holder of a Series AAA and Series BBB Warrant will not have the right to exercise any portion of its warrants if the holder, together with its affiliates, would beneficially own in excess of 9.99% of the number of shares of common stock outstanding immediately after giving effect to such exercise.</w:t>
      </w:r>
    </w:p>
    <w:p>
      <w:pPr>
        <w:spacing w:after="0" w:line="175" w:lineRule="exact"/>
        <w:rPr>
          <w:rFonts w:ascii="Arial" w:cs="Arial" w:eastAsia="Arial" w:hAnsi="Arial"/>
          <w:sz w:val="16"/>
          <w:szCs w:val="16"/>
          <w:color w:val="auto"/>
        </w:rPr>
      </w:pPr>
    </w:p>
    <w:p>
      <w:pPr>
        <w:jc w:val="both"/>
        <w:ind w:left="560" w:right="520" w:hanging="169"/>
        <w:spacing w:after="0" w:line="259" w:lineRule="auto"/>
        <w:tabs>
          <w:tab w:leader="none" w:pos="5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On December 23, 2016, the Company entered into a Securities Purchase Agreement with certain institutional investors, pursuant to which the Company sold, in a registered direct offering, an aggregate of 367,343 shares of common stock at an offering price of $4.90 per share for gross proceeds of approximately $1.8 million. In a concurrent private placement, the Company issued to the same investors warrants to purchase up to 367,343 shares of common stock at an exercise price of $6.22 per share.</w:t>
      </w:r>
    </w:p>
    <w:p>
      <w:pPr>
        <w:spacing w:after="0" w:line="186" w:lineRule="exact"/>
        <w:rPr>
          <w:rFonts w:ascii="Arial" w:cs="Arial" w:eastAsia="Arial" w:hAnsi="Arial"/>
          <w:sz w:val="18"/>
          <w:szCs w:val="18"/>
          <w:color w:val="auto"/>
        </w:rPr>
      </w:pPr>
    </w:p>
    <w:p>
      <w:pPr>
        <w:jc w:val="both"/>
        <w:ind w:left="560" w:right="520" w:hanging="214"/>
        <w:spacing w:after="0" w:line="25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June 13, 2016, the Company entered into a Securities Purchase Agreement with an institutional investor, pursuant to which the Company sold, in a registered direct offering, an aggregate of 165,126 shares of common stock and Pre-funded Series B Warrants to purchase 150,000 shares of common stock for an aggregate purchase price of approximately $6.0 million. In a concurrent private placement, the Company issued to the same investor warrants to purchase up to 630,252 shares of common stock. As of August 11, 2017, the Pre-funded Series B Warrants were fully exercised.</w:t>
      </w:r>
    </w:p>
    <w:p>
      <w:pPr>
        <w:spacing w:after="0" w:line="188" w:lineRule="exact"/>
        <w:rPr>
          <w:rFonts w:ascii="Arial" w:cs="Arial" w:eastAsia="Arial" w:hAnsi="Arial"/>
          <w:sz w:val="18"/>
          <w:szCs w:val="18"/>
          <w:color w:val="auto"/>
        </w:rPr>
      </w:pPr>
    </w:p>
    <w:p>
      <w:pPr>
        <w:jc w:val="both"/>
        <w:ind w:left="560" w:right="560" w:hanging="214"/>
        <w:spacing w:after="0" w:line="25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a party to a Controlled Equity Offering SM Sales Agreement (ATM) dated as of February 1, 2013 with Cantor Fitzgerald &amp; Co., pursuant to which we may sell additional shares of our common stock having an aggregate offering price of up to $25 million through “at-the-market” equity offerings from time to time. From February 1, 2013 through December 31, 2015, the Company sold and issued an aggregate of 105,681 shares of common stock under the ATM, receiving approximately $7.4 million in net proceeds. The Company did not have any sales under the ATM in 2016 and thus far in 2017.</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ind w:right="40"/>
        <w:spacing w:after="0" w:line="269" w:lineRule="auto"/>
        <w:rPr>
          <w:sz w:val="20"/>
          <w:szCs w:val="20"/>
          <w:color w:val="auto"/>
        </w:rPr>
      </w:pPr>
      <w:r>
        <w:rPr>
          <w:rFonts w:ascii="Arial" w:cs="Arial" w:eastAsia="Arial" w:hAnsi="Arial"/>
          <w:sz w:val="17"/>
          <w:szCs w:val="17"/>
          <w:color w:val="auto"/>
        </w:rPr>
        <w:t>As of June 30, 2017, we have $3.6 million in cash and cash equivalents. In July 2017, the Company completed a $5 million registered direct equity offering of shares of common stock, or pre-funded warrants in lieu thereof, and a concurrent private placement of warrants to purchase common stock with several institutional healthcare investors. Given our development plans, we anticipate cash resources, coupled with our access to the ATM, will be sufficient to fund our operations through the end of 2017.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To complete the development and commercialization of our products, we will need to raise substantial amounts of additional capital to fund our operations. We do not have any committed sources of financing and cannot give assurance that alternate funding will be available in a timely manner, on acceptable terms or at all. We may need to pursue dilutive equity financings, such as the issuance of shares of common stock, preferred stock, convertible debt or other convertible or exercisable securities, which financings could dilute the percentage ownership of our current common stockholders and could significantly lower the market value of our common stock.</w:t>
      </w:r>
    </w:p>
    <w:p>
      <w:pPr>
        <w:spacing w:after="0" w:line="18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AND SIX MONTHS ENDED JUNE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For the three months ended June 30, 2017, our net loss was $4.9 million compared to a net loss of $4.5 million for the same period of 2016. For the six months ended June 30, 2017, our net loss was $10.1 million compared to a net loss of $10.2 million for the same period of 2016. As of June 30, 2017, we had $3.6 million in cash and cash equivalents. In July 2017, the Company completed a $5 million registered direct equity offering of shares of common stock, or pre-funded warrants in lieu thereof, and a concurrent private placement of warrants to purchase common stock with several institutional healthcare investors.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9"/>
          </w:tcPr>
          <w:p>
            <w:pPr>
              <w:jc w:val="right"/>
              <w:ind w:right="129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7"/>
              </w:rPr>
              <w:t>Change</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(In thousands)</w:t>
            </w: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Increase (Decrease)</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5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2,760</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(432)</w:t>
            </w:r>
          </w:p>
        </w:tc>
        <w:tc>
          <w:tcPr>
            <w:tcW w:w="6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ind w:left="480"/>
              <w:spacing w:after="0"/>
              <w:rPr>
                <w:sz w:val="20"/>
                <w:szCs w:val="20"/>
                <w:color w:val="auto"/>
              </w:rPr>
            </w:pPr>
            <w:r>
              <w:rPr>
                <w:rFonts w:ascii="Arial" w:cs="Arial" w:eastAsia="Arial" w:hAnsi="Arial"/>
                <w:sz w:val="18"/>
                <w:szCs w:val="18"/>
                <w:color w:val="auto"/>
              </w:rPr>
              <w:t>Research and development expenses</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3,047</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(290)</w:t>
            </w:r>
          </w:p>
        </w:tc>
        <w:tc>
          <w:tcPr>
            <w:tcW w:w="6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4,696</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6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(4,741)</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8"/>
          </w:tcPr>
          <w:p>
            <w:pPr>
              <w:jc w:val="right"/>
              <w:ind w:right="1390"/>
              <w:spacing w:after="0"/>
              <w:rPr>
                <w:sz w:val="20"/>
                <w:szCs w:val="20"/>
                <w:color w:val="auto"/>
              </w:rPr>
            </w:pPr>
            <w:r>
              <w:rPr>
                <w:rFonts w:ascii="Arial" w:cs="Arial" w:eastAsia="Arial" w:hAnsi="Arial"/>
                <w:sz w:val="18"/>
                <w:szCs w:val="18"/>
                <w:b w:val="1"/>
                <w:bCs w:val="1"/>
                <w:color w:val="auto"/>
                <w:w w:val="92"/>
              </w:rPr>
              <w:t>Six Months Ended June 30,</w:t>
            </w: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7"/>
              </w:rPr>
              <w:t>Change</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8"/>
                <w:szCs w:val="18"/>
                <w:b w:val="1"/>
                <w:bCs w:val="1"/>
                <w:color w:val="auto"/>
              </w:rPr>
              <w:t>(In thousands)</w:t>
            </w: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Increase (Decrease)</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5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5,907</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6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ind w:left="480"/>
              <w:spacing w:after="0"/>
              <w:rPr>
                <w:sz w:val="20"/>
                <w:szCs w:val="20"/>
                <w:color w:val="auto"/>
              </w:rPr>
            </w:pPr>
            <w:r>
              <w:rPr>
                <w:rFonts w:ascii="Arial" w:cs="Arial" w:eastAsia="Arial" w:hAnsi="Arial"/>
                <w:sz w:val="18"/>
                <w:szCs w:val="18"/>
                <w:color w:val="auto"/>
              </w:rPr>
              <w:t>Research and development expenses</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6,522</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6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9,639</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10,169</w:t>
            </w: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(530)</w:t>
            </w:r>
          </w:p>
        </w:tc>
        <w:tc>
          <w:tcPr>
            <w:tcW w:w="6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(9,389)</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(9,919)</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3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recorded deferred revenue of $125,000 in each of the second quarters of 2017 and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Research and development (R&amp;D) expenses decreased by $0.3 million to $3.0 million in the second quarter of 2017 from $3.3 million in the same period of 2016. Costs associated with the OPTIMA Study costs remained unchanged at $1.5 million in each of the second quarter of 2017 and 2016. Other clinical costs decreased to $0.5 million in the second quarter of 2017 compared to $0.8 million in the same period of 2016. Preclinical and regulatory costs were insignificant in the second quarter of 2017 compared to $0.1 million in the same period of 2016. Costs associated with the production and distribution of ThermoDox® to support the OPTIMA Study increased to $0.3 million in the second quarter of 2017 compared to $0.1 million the same period of 2016. R&amp;D costs associated with GEN-1 decreased to $0.7 million in the second quarter of 2017 compared to $0.8 million the same period of 2016. The Company announced the completion of enrollment of all cohorts of the OVATION Study in July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General and administrative (G&amp;A) expenses increased to $1.6 million in the second quarter of 2017 compared to $1.5 million in the same period of 2017. This increase is attributable to an increase of $0.3 million in non-cash stock compensation expense partially offset by reduced professional fees totaling $0.2 million in the second quarter of 2017 compared to the same period of 2016. We continue to take those steps necessary to reduce our overhead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will be recognized in the condensed consolidated financial statements. As of June 30, 2017, the Company fair valued these milestones at $13.8 million and recognized a non-cash charge of $0.3 million in the second quarter of 2017 as a result of the change in the fair value of these milestones from $13.5 million at March 31, 2017. The Company recognized a non-cash benefit of $0.4 million in the second quarter of 2016 as a result of the change in the fair value of these milestones at $13.8 million at June 30, 2016 from $14.2 million at March 31,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its debt facilities, the Company incurred $29,416 and $203,353 in interest expense in the three month periods ended June 30, 2017 and 2016, respectively. The loan balance and end of term charges on its debt facilities were paid in full in June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Deemed dividend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June 30, 2017, we recognized deemed dividends totaling $0.4 million collectively in regard to multiple agreements with certain warrant holders, pursuant to which these warrant holders agreed to exercise, and the Company agreed to reprice, certain warrants. A total of warrants to purchase 790,410 shares of common stock were repriced at $2.70 and warrants to purchase 506,627 shares of common stock were repriced at $1.65 and the Company received $3.0 million in gross proceeds from the sale of these repriced warrants.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b w:val="1"/>
          <w:bCs w:val="1"/>
          <w:i w:val="1"/>
          <w:iCs w:val="1"/>
          <w:color w:val="auto"/>
        </w:rPr>
        <w:t>Comparison of the Six Months ended June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recorded deferred revenue of $250,000 in each of the first halves of 2017 and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(R&amp;D) expenses decreased by $0.3 million to $6.5 million in the first half of 2017 from $6.8 million in the same period of 2016. Costs associated with the OPTIMA Study were $3.0 million in the first half of 2017 compared to $2.4 million in the same period of 2016. This is mostly due to the increase in enrollment in during the first half of 2017 compared to the same period of 2016. Other clinical costs were $1.4 million in the first half of 2017 compared to $1.7 million in the same period of 2016, respectively. The decrease of other clinical costs is associated with the reduction of costs to support the Company’s ThermoDox® studies in Europe. ThermoDox® preclinical and regulatory R&amp;D costs were relatively unchanged at $0.1 million in each of the first six months of 2017 and 2016. Costs associated with the production of ThermoDox® to support the OPTIMA Study decreased to $0.6 million in the first six months of 2017 compared to $0.8 million the same period of 2016. Costs associated with the research and development of GEN-1 was $0.5 million in the first half of 2017 compared to $0.7 million the same period of 2016. In 2015, the Company produced sufficient quantities of GEN-1 and related components to fulfil its GEN-1clinical study requirements into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decreased by $0.3 million to $3.1 million in the first six months of 2017 compared to $3.4 million the same period of 2016. This decrease is attributable to lower personnel related costs and professional fees in 2017. We continue to take those steps necessary to reduce our overall G&amp;A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will be recognized in the condensed consolidated financial statements. As of June 30, 2017, the Company fair valued these milestones at $13.8 million and recognized a non-cash charge of $0.6 million in the first half of 2017 as a result of the change in the fair value of these milestones from $13.2 million at December 31, 2016. The Company recognized a non-cash benefit of $0.1 million in the first half of 2016 as a result of the change in the fair value of these milestones at $13.8 million at June 30, 2016 from $13.9 million at December 31,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its debt facilities the Company incurred $0.1 million and $0.4 million in interest expense in the six month periods ended June 30, 2017and 2016, respectively. The loan balance and end of term charges on its debt facilities were paid in full in June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Deemed dividend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2017, we recognized deemed dividends totaling $0.4 million collectively in regard to multiple agreements with certain warrant holders, pursuant to which these warrant holders agreed to exercise, and the Company agreed to reprice, certain warrants. A total of warrants to purchase 790,410 shares of common stock were repriced at $2.70 and warrants to purchase 506,627 shares of common stock were repriced at $1.65 and the Company received $3.0 million in gross proceeds from the sale of these repriced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$251 million at June 30, 2017.</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At June 30, 2017, we had total current assets of $3.7 million (including cash and cash equivalents of $3.6 million) and current liabilities of $6.9 million, resulting in net working capital deficit of $3.2 million. At December 31, 2016, we had total current assets of $4.5 million (including cash, cash equivalents and short term investments and related interest receivable on short-term investments of $4.3 million) and current liabilities of $8.4 million, resulting in net working capital deficit of $3.9 million.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for the first six months of 2017 was $7.3 million. Our 2017 net loss of $10.1 million for the six month period ended June 30, 2017 included $0.8 million in non-cash stock-based compensation expense and $0.6 million in a non-cash loss based on the change in the earn-out milestone liability.</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$7.3 million net cash used in operating activities was mostly funded from cash and cash equivalents. At June 30, 2017, we had cash and cash equivalents of $3.6 million. In July 2017, the Company completed a $5 million registered direct equity offering of shares of common stock, or pre-funded warrants in lieu therof, and a concurrent private placement of warrants to purchase common stock with several institutional healthcare investors.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was $6.6 million during the six month period ended June 30, 2017 which resulted from net proceeds of $9.2 million from the sale of our common stock and exercise of warrants in the first six months of 2017 partially offset by principal payments and end of term charges of $2.6 million on the Hercules Credit Agreement.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14, 2017, the Company entered into a securities purchase agreement whereby it sold, in a public offering, an aggregate of 1,384,705 shares of common stock, Series AA Warrants to purchase up to 1,177,814 shares of common stock and Pre-Funded Series BB Warrants to purchase up to 185,713 shares of common stock for an aggregate of approximately $5.0 million in gross proceeds. During the first quarter of 2017, all 185,713 of the Series BB Pre-Funded warrants were exercised in full. The Company received gross proceeds of $2.1 million from the exercise of Series AA Warrants to purchase 636,713 shares of common stock during the first six months of 2017.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June 2017, the Company entered into multiple agreements with certain warrant holders, pursuant to which these warrant holders agreed to exercise, and the Company agreed to reprice, certain warrants. A total of warrants to purchase 790,410 shares of common stock were repriced at $2.70 and warrants to purchase 506,627 shares of common stock were repriced at $1.65 and the Company received $3.0 million in gross proceeds from the sale of these repriced warrants.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6, 2017, the Company entered into a securities purchase agreement with several investors, pursuant to which the Company agreed to issue and sell, in a registered direct offering, an aggregate of 2,050,000 shares of common stock of the Company at an offering price of $2.07 per share for gross proceeds of $4,243,500 before the deduction of the placement agent fee and offering expenses. In addition, the Company sold Pre-Funded Series CCC Warrants to purchase 385,000 shares of common stock (and the shares of common stock issuable upon exercise of the Pre-Funded Series CCC Warrants), in lieu of shares of common stock to the extent that the purchase of common stock would cause the beneficial ownership of the Purchaser, together with its affiliates and certain related parties, to exceed 9.99% of our common stock. The Pre-Funded Series CCC Warrants were sold at an offering price of $2.06 per share for gross proceeds of $793,100, are immediately exercisable for $0.01 per share of common stock and do not have an expiration date. In a concurrent private placement, the Company agreed to issue to each investor, for each share of common stock and pre-funded warrant purchased in the offering, a Series AAA Warrant and Series BBB Warrant, each to purchase one share of common stock. The Series AAA Warrants are initially exercisable six months following issuance, and terminate five and one-half years following issuance. The Series AAA Warrants have an exercise price of $2.07 per share and are exercisable to purchase an aggregate of 2,435,000 shares of common stock. The Series BBB Warrants are immediately exercisable following issuance, and terminate twelve months following issuance. The Series BBB Warrants have an exercise price of $4.75 per share and are exercisable to purchase an aggregate of 2,435,000 shares of common stock. Subject to limited exceptions, a holder of a Series AAA and Series BBB Warrant will not have the right to exercise any portion of its warrants if the holder, together with its affiliates, would beneficially own in excess of 9.99% of the number of shares of common stock outstanding immediately after giving effect to such exercise</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2013, we entered into a Controlled Equity Offering SM Sales Agreement (ATM) with Cantor Fitzgerald &amp; Co., as sales agent (Cantor), pursuant to which we may offer and sell, from time to time, through Cantor, shares of our common stock having an aggregate offering price of up to $25.0 million (the ATM Shares) pursuant to our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We will pay Cantor a commission of three percent of the aggregate gross proceeds from each sale of ATM Shares. We have sold and issued an aggregate of 105,681 shares under the ATM Agreement so far, receiving approximately $7.4 million in net proceeds.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18"/>
          <w:szCs w:val="18"/>
          <w:color w:val="auto"/>
        </w:rPr>
        <w:t>As of June 30, 2017, we have $3.6 million dollars in cash and cash equivalents. In July 2017, the Company completed a $5 million registered direct equity offering of shares of common stock, or pre-funded warrants in lieu thereof, and a concurrent private placement of warrants to purchase common stock with several institutional healthcare investors. Given our development plans, we anticipate cash resources, coupled with our access to the ATM, will be sufficient to fund our operations into the first quarter of 2018.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 off-balance sheet financing arrangements. In April 2017, the Company and its landlord amended the lease for the corporate offices located in Lawrenceville NJ effective May 1, 2017. The lease amendment extends the term of the lease for an additional 64 months, reduced the premises to 7,565 square feet, reduced the monthly rent, provided four months free rent and reduced the escrow deposit from $100,000 to $50,000. The monthly rent will range from approximately $18,900 in the first year to approximately $20,500 in the final year of the amendment. The Company also has a one-time option to cancel the lease as of the 40th month after the commencement date of the Lease amendment. Other than this lease amendment, there were no material changes during the three months ended June 30, 2017 to our operating leases, which are disclosed in the contractual commitments table in our Annual Report on Form 10-K for the fiscal year ended December 31, 2016 filed on March 24, 2017 with the Securities and Exchange Commission.</w:t>
      </w:r>
    </w:p>
    <w:p>
      <w:pPr>
        <w:spacing w:after="0" w:line="1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June 30, 2017,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paragraph (d) of Rule 13a-15 of the Securities Exchange Act of 1934, as amended, that occurred during the six months ended June 30, 2017 that have materially affected, or are reasonably likely to materially affect, our internal controls over financial reporting.</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following is a summary of the risk factors, uncertainties and assumptions that we believe are most relevant to our business. These are factors that, individually or in the aggregate, we think could cause our actual results to differ significantly from expected or historical results and our forward-looking statements. We note these factors for investors as permitted by Section 21E of the Securities Exchange Act of 1934, as amended and Section 27A of the Securities Act of 1933, as amended.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2016 filed on March 24, 2017 with the Securities and Exchange Commission (SEC). In assessing these risks, investors should also refer to the other information contained or incorporated by reference in this Quarterly Report and our other filings made from time to time with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Since our inception, our expenses have substantially exceeded our revenue, resulting in continuing losses and an accumulated deficit of $251 million at June 30, 2017. For the years ended December 31, 2014, 2015 and 2016 and the six months ended June 30, 2017, we incurred a net loss of $25.5 million, $22.5 million, $22.1 million and $10.1 million, respectively. We currently have no product revenue and do not expect to generate any product revenue for the foreseeable future other than through the sale of our proprietary reagent products for life science research, which products are based on our newly acquired proprietary delivery platform technologies, TheraPlas and TheraSilence.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meets its primary endpoint in the Phase III HEAT Study.</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 dose-escalation clinical trial of GEN-1 in combination with the standard of care in neo-adjuvant ovarian cancer, known as the OVATION Study, and plan to expand our ovarian cancer development program to include a Phase I dose escalating trial evaluating GEN-1 in combination with Avastin® and Doxil® in platinum-resistant ovarian cancer patients.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 If we are not able to raise additional capital when needed, there would continue to be substantial doubt as to our ability to continue as a going concern.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not generated significant revenue and have incurred significant net losses in each year since our inception. Since our inception, our expenses have substantially exceeded our revenue, resulting in continuing losses and an accumulated deficit of $251 million at June 30, 2017. For the years ended December 31, 2014, 2015 and 2016 and the six months ended June 30, 2017, we incurred a net loss of $25.5 million, $22.5 million, $22.1 million and $10.1 million, respectively. As of June 30, 2017, we had approximately $3.6 million in cash and cash equivalents. In July 2017, we completed a $5 million registered direct equity offering of shares of common stock, or pre-funded warrants in lieu thereof, and a concurrent private placement of warrants to purchase common stock with several institutional healthcare investors. We have substantial future capital requirements to continue our research and development activities and advance our product candidates through various development stages. For example, ThermoDox® is being evaluated in a Phase III clinical trial in combination with RFA for the treatment of primary liver cancer, a Phase II clinical trial for the treatment of recurrent chest wall breast cancer and other preclinical studies. We initiated a Phase I dose-escalation clinical trial of GEN-1 in combination with the standard of care in neo-adjuvant ovarian cancer in the second half of 2015 and plan to expand our ovarian cancer development program to include a Phase I dose escalating trial evaluating GEN-1 in combination with Avastin® and Doxil® in platinum-resistant ovarian cancer patients.</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continue to seek additional financial resources to fund the further development of our product candidates. 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As explained in the notes to our financial statements, if the Company is not able to raise additional funds when needed, there would continue to be substantial doubt as to the Company’s ability to continue as a going concern.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 Based on the above, our management has determined there is substantial doubt regarding our ability to continue as a going concern. The report of our independent registered accounting firm included in our 2016 Form 10-K dated March 24, 2017, includes an explanatory paragraph which express substantial doubt about our ability to continue as a going concern.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both"/>
        <w:ind w:right="380"/>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ThermoDox® is currently also being evaluated in a Phase II clinical trial for the treatment of recurrent chest wall breast cancer, known as the DIGNITY Study, and other preclinical studies. GEN-1 is currently in an early stage of clinical development for the treatment of ovarian cancer. We initiated a Phase I dose-escalation clinical trial of GEN-1 in combination with the standard of care in neo-adjuvant ovarian cancer in the second half of 2015 and plan to expand our ovarian cancer development program to include a Phase I dose escalating trial evaluating GEN-1 in combination with Avastin® and Doxil® in platinum-resistant ovarian cancer patients. The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79"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We may not successfully engage in future strategic transactions, which could adversely affect our ability to develop and commercialize product candidates, impact our cash position, and increase our expense and present significant distractions to our management.</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460" w:hanging="22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3" w:lineRule="exact"/>
        <w:rPr>
          <w:rFonts w:ascii="Arial" w:cs="Arial" w:eastAsia="Arial" w:hAnsi="Arial"/>
          <w:sz w:val="18"/>
          <w:szCs w:val="18"/>
          <w:color w:val="auto"/>
        </w:rPr>
      </w:pPr>
    </w:p>
    <w:p>
      <w:pPr>
        <w:ind w:left="460" w:hanging="22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9" w:lineRule="exact"/>
        <w:rPr>
          <w:rFonts w:ascii="Arial" w:cs="Arial" w:eastAsia="Arial" w:hAnsi="Arial"/>
          <w:sz w:val="18"/>
          <w:szCs w:val="18"/>
          <w:color w:val="auto"/>
        </w:rPr>
      </w:pPr>
    </w:p>
    <w:p>
      <w:pPr>
        <w:ind w:left="460" w:right="540" w:hanging="22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ind w:left="460" w:hanging="22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9" w:lineRule="exact"/>
        <w:rPr>
          <w:rFonts w:ascii="Arial" w:cs="Arial" w:eastAsia="Arial" w:hAnsi="Arial"/>
          <w:sz w:val="18"/>
          <w:szCs w:val="18"/>
          <w:color w:val="auto"/>
        </w:rPr>
      </w:pPr>
    </w:p>
    <w:p>
      <w:pPr>
        <w:ind w:left="460" w:right="720" w:hanging="22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ind w:left="460" w:right="320" w:hanging="22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ind w:left="460" w:hanging="22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9" w:lineRule="exact"/>
        <w:rPr>
          <w:rFonts w:ascii="Arial" w:cs="Arial" w:eastAsia="Arial" w:hAnsi="Arial"/>
          <w:sz w:val="18"/>
          <w:szCs w:val="18"/>
          <w:color w:val="auto"/>
        </w:rPr>
      </w:pPr>
    </w:p>
    <w:p>
      <w:pPr>
        <w:ind w:left="460" w:right="200" w:hanging="22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ind w:left="460" w:hanging="22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been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7"/>
          <w:szCs w:val="17"/>
          <w:b w:val="1"/>
          <w:bCs w:val="1"/>
          <w:i w:val="1"/>
          <w:iCs w:val="1"/>
          <w:u w:val="single" w:color="auto"/>
          <w:color w:val="auto"/>
        </w:rPr>
        <w:t>ClinicalTrials.gov</w:t>
      </w:r>
      <w:r>
        <w:rPr>
          <w:rFonts w:ascii="Arial" w:cs="Arial" w:eastAsia="Arial" w:hAnsi="Arial"/>
          <w:sz w:val="17"/>
          <w:szCs w:val="17"/>
          <w:color w:val="auto"/>
        </w:rPr>
        <w:t xml:space="preserve"> ,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7"/>
          <w:szCs w:val="17"/>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In addition, uncertainty remains regarding proposed significant reforms to the U.S. health care system.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of our drug candidates may prove not to be effective in practice. Our testing and clinical practice may not confirm the safety and efficacy of our product candidates or even if further testing and clinical practice produce positive results, the medical community may not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$27.86 and a low price of $4.20 in the 52-week period ended December 31, 2016 and a high price of $7.14 and a low price of $1.30 from January 3, 2017 through August 11, 2017. Among the factors that may cause the market price of our common stock to fluctuate are the risks described in this “Risk Factors” section and other factors, including:</w:t>
      </w:r>
    </w:p>
    <w:p>
      <w:pPr>
        <w:spacing w:after="0" w:line="183" w:lineRule="exact"/>
        <w:rPr>
          <w:sz w:val="20"/>
          <w:szCs w:val="20"/>
          <w:color w:val="auto"/>
        </w:rPr>
      </w:pPr>
    </w:p>
    <w:p>
      <w:pPr>
        <w:ind w:left="460" w:hanging="22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and regulations applicable to our product candidates;</w:t>
      </w:r>
    </w:p>
    <w:p>
      <w:pPr>
        <w:spacing w:after="0" w:line="236" w:lineRule="exact"/>
        <w:rPr>
          <w:rFonts w:ascii="Arial" w:cs="Arial" w:eastAsia="Arial" w:hAnsi="Arial"/>
          <w:sz w:val="17"/>
          <w:szCs w:val="17"/>
          <w:color w:val="auto"/>
        </w:rPr>
      </w:pPr>
    </w:p>
    <w:p>
      <w:pPr>
        <w:ind w:left="460" w:hanging="22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248" w:lineRule="exact"/>
        <w:rPr>
          <w:rFonts w:ascii="Arial" w:cs="Arial" w:eastAsia="Arial" w:hAnsi="Arial"/>
          <w:sz w:val="16"/>
          <w:szCs w:val="16"/>
          <w:color w:val="auto"/>
        </w:rPr>
      </w:pPr>
    </w:p>
    <w:p>
      <w:pPr>
        <w:ind w:left="460" w:hanging="22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or our competitors, and the timing of these introductions or announcements;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ind w:left="460" w:hanging="22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460" w:right="880" w:hanging="22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460" w:hanging="22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00" w:lineRule="exact"/>
        <w:rPr>
          <w:sz w:val="20"/>
          <w:szCs w:val="20"/>
          <w:color w:val="auto"/>
        </w:rPr>
      </w:pPr>
    </w:p>
    <w:p>
      <w:pPr>
        <w:spacing w:after="0" w:line="2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August 11, 2017, we had 8,351,322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August 11, 2017, we have a significant number of securities convertible into, or allowing the purchase of, our common stock, including 5,528,634 shares of common stock issuable upon exercise of warrants outstanding, 684,299 options to purchase shares of our common stock and restricted stock awards outstanding, and 24,951 shares of common stock reserved for future issuance under our stock incentive plans. Under the Controlled Equity Offering SM Sales Agreement entered into with Cantor Fitzgerald &amp; Co. on February 1, 2013, we may offer and sell, from time to time through “at-the-market” offerings, up to an aggregate of $25 million of shares of our common stock. We had only sold $7.6 million under the Sales Agreement as of August 11, 2017.</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August 11, 2017, the closing sale price per share of our common stock was $1.32, the total market value of our publicly held shares of our common stock (excluding shares held by our executive officers, directors and 10% or more stockholders) was approximately $11.0 million and the total market value of our listed securities was approximately $11.0 million. There is no assurance that we will continue to meet the minimum closing price requirement and other listing requirements. As of June 30, 2017, we had stockholders’ equity of approximately $6.6 million.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2016, 2015, 2014 and years prior, we performed analyses to determine if there were changes in ownership, as defined by Section 382 of the Internal Revenue Code that would limit our ability to utilize certain net operating loss and tax credit carry forwards. We determined we experienced an ownership change, as defined by Section 382 of the Code, in connection with certain common stock offerings in 2011, 2013, and 2015.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13a-14(a)/15d-14(a), as adopted pursuant to Section 302 of the Sarbanes-Oxley Act of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13a-14(a)/15d-14(a), as adopted pursuant to Section 302 of the Sarbanes-Oxley Act of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sz w:val="20"/>
          <w:szCs w:val="20"/>
          <w:color w:val="auto"/>
        </w:rPr>
      </w:pPr>
    </w:p>
    <w:p>
      <w:pPr>
        <w:ind w:left="700" w:hanging="647"/>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700" w:hanging="699"/>
        <w:spacing w:after="0" w:line="279" w:lineRule="auto"/>
        <w:tabs>
          <w:tab w:leader="none" w:pos="680" w:val="left"/>
        </w:tabs>
        <w:rPr>
          <w:sz w:val="20"/>
          <w:szCs w:val="20"/>
          <w:color w:val="auto"/>
        </w:rPr>
      </w:pPr>
      <w:r>
        <w:rPr>
          <w:rFonts w:ascii="Arial" w:cs="Arial" w:eastAsia="Arial" w:hAnsi="Arial"/>
          <w:sz w:val="17"/>
          <w:szCs w:val="17"/>
          <w:color w:val="auto"/>
        </w:rPr>
        <w:t>101**</w:t>
        <w:tab/>
        <w:t>The following materials from the Company’s Quarterly Report on Form 10-Q for the quarter ended June 30, 2017,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71" w:lineRule="exact"/>
        <w:rPr>
          <w:sz w:val="20"/>
          <w:szCs w:val="20"/>
          <w:color w:val="auto"/>
        </w:rPr>
      </w:pPr>
    </w:p>
    <w:p>
      <w:pPr>
        <w:jc w:val="both"/>
        <w:ind w:left="700" w:hanging="297"/>
        <w:spacing w:after="0" w:line="259"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6" w:lineRule="exact"/>
        <w:rPr>
          <w:rFonts w:ascii="Arial" w:cs="Arial" w:eastAsia="Arial" w:hAnsi="Arial"/>
          <w:sz w:val="18"/>
          <w:szCs w:val="18"/>
          <w:color w:val="auto"/>
        </w:rPr>
      </w:pPr>
    </w:p>
    <w:p>
      <w:pPr>
        <w:ind w:left="700" w:hanging="38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August 14, 2017</w:t>
      </w:r>
      <w:r>
        <w:rPr>
          <w:sz w:val="20"/>
          <w:szCs w:val="20"/>
          <w:color w:val="auto"/>
        </w:rPr>
        <w:tab/>
      </w:r>
      <w:r>
        <w:rPr>
          <w:rFonts w:ascii="Arial" w:cs="Arial" w:eastAsia="Arial" w:hAnsi="Arial"/>
          <w:sz w:val="17"/>
          <w:szCs w:val="17"/>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14605</wp:posOffset>
            </wp:positionV>
            <wp:extent cx="3927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21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16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Michael H. Tardugno</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35674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516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Jeffrey W. Church</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35674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13a-14(a)/15d-14(a), as adopted pursuant to Section 302 of the Sarbanes-Oxley Act of</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13a-14(a)/15d-14(a), as adopted pursuant to Section 302 of the Sarbanes-Oxley Act of</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sz w:val="20"/>
          <w:szCs w:val="20"/>
          <w:color w:val="auto"/>
        </w:rPr>
      </w:pPr>
    </w:p>
    <w:p>
      <w:pPr>
        <w:ind w:left="760" w:hanging="707"/>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760" w:hanging="759"/>
        <w:spacing w:after="0" w:line="279" w:lineRule="auto"/>
        <w:tabs>
          <w:tab w:leader="none" w:pos="74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The following materials from the Company’s Quarterly Report on Form 10-Q for the quarter ended June 30, 2017,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71" w:lineRule="exact"/>
        <w:rPr>
          <w:sz w:val="20"/>
          <w:szCs w:val="20"/>
          <w:color w:val="auto"/>
        </w:rPr>
      </w:pPr>
    </w:p>
    <w:p>
      <w:pPr>
        <w:jc w:val="both"/>
        <w:ind w:left="760" w:hanging="384"/>
        <w:spacing w:after="0" w:line="259" w:lineRule="auto"/>
        <w:tabs>
          <w:tab w:leader="none" w:pos="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6" w:lineRule="exact"/>
        <w:rPr>
          <w:rFonts w:ascii="Arial" w:cs="Arial" w:eastAsia="Arial" w:hAnsi="Arial"/>
          <w:sz w:val="18"/>
          <w:szCs w:val="18"/>
          <w:color w:val="auto"/>
        </w:rPr>
      </w:pPr>
    </w:p>
    <w:p>
      <w:pPr>
        <w:ind w:left="760" w:hanging="4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58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1000" w:hanging="600"/>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1000" w:right="160" w:hanging="600"/>
        <w:spacing w:after="0" w:line="264"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00" w:right="180" w:hanging="600"/>
        <w:spacing w:after="0" w:line="308"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000" w:right="180" w:hanging="600"/>
        <w:spacing w:after="0" w:line="264"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1" w:lineRule="exact"/>
        <w:rPr>
          <w:rFonts w:ascii="Arial" w:cs="Arial" w:eastAsia="Arial" w:hAnsi="Arial"/>
          <w:sz w:val="18"/>
          <w:szCs w:val="18"/>
          <w:color w:val="auto"/>
        </w:rPr>
      </w:pPr>
    </w:p>
    <w:p>
      <w:pPr>
        <w:jc w:val="both"/>
        <w:ind w:left="1000" w:right="180" w:hanging="288"/>
        <w:spacing w:after="0" w:line="264"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00" w:right="160" w:hanging="299"/>
        <w:spacing w:after="0" w:line="264"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00" w:right="160" w:hanging="288"/>
        <w:spacing w:after="0" w:line="308" w:lineRule="auto"/>
        <w:tabs>
          <w:tab w:leader="none" w:pos="10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00" w:right="160" w:hanging="299"/>
        <w:spacing w:after="0" w:line="264"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00" w:right="180" w:hanging="600"/>
        <w:spacing w:after="0" w:line="34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160" w:hanging="288"/>
        <w:spacing w:after="0" w:line="308" w:lineRule="auto"/>
        <w:tabs>
          <w:tab w:leader="none" w:pos="10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00" w:right="160" w:hanging="299"/>
        <w:spacing w:after="0" w:line="277"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2840" w:type="dxa"/>
            <w:vAlign w:val="bottom"/>
          </w:tcPr>
          <w:p>
            <w:pPr>
              <w:spacing w:after="0"/>
              <w:rPr>
                <w:sz w:val="20"/>
                <w:szCs w:val="20"/>
                <w:color w:val="auto"/>
              </w:rPr>
            </w:pPr>
            <w:r>
              <w:rPr>
                <w:rFonts w:ascii="Arial" w:cs="Arial" w:eastAsia="Arial" w:hAnsi="Arial"/>
                <w:sz w:val="18"/>
                <w:szCs w:val="18"/>
                <w:color w:val="auto"/>
              </w:rPr>
              <w:t>August 14, 2017</w:t>
            </w:r>
          </w:p>
        </w:tc>
        <w:tc>
          <w:tcPr>
            <w:tcW w:w="2140" w:type="dxa"/>
            <w:vAlign w:val="bottom"/>
          </w:tcPr>
          <w:p>
            <w:pPr>
              <w:ind w:left="164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/s/Michael H. Tardugno</w:t>
            </w:r>
          </w:p>
        </w:tc>
      </w:tr>
      <w:tr>
        <w:trPr>
          <w:trHeight w:val="195"/>
        </w:trPr>
        <w:tc>
          <w:tcPr>
            <w:tcW w:w="28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760" w:type="dxa"/>
            <w:vAlign w:val="bottom"/>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28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Chairman, President and Chief Executive Officer</w:t>
            </w:r>
          </w:p>
        </w:tc>
      </w:tr>
    </w:tbl>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1000" w:hanging="600"/>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1000" w:right="160" w:hanging="600"/>
        <w:spacing w:after="0" w:line="264"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00" w:right="180" w:hanging="600"/>
        <w:spacing w:after="0" w:line="308"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000" w:right="180" w:hanging="600"/>
        <w:spacing w:after="0" w:line="264"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1" w:lineRule="exact"/>
        <w:rPr>
          <w:rFonts w:ascii="Arial" w:cs="Arial" w:eastAsia="Arial" w:hAnsi="Arial"/>
          <w:sz w:val="18"/>
          <w:szCs w:val="18"/>
          <w:color w:val="auto"/>
        </w:rPr>
      </w:pPr>
    </w:p>
    <w:p>
      <w:pPr>
        <w:ind w:left="1000" w:right="200" w:hanging="333"/>
        <w:spacing w:after="0" w:line="264"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00" w:right="160" w:hanging="343"/>
        <w:spacing w:after="0" w:line="264"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00" w:right="160" w:hanging="333"/>
        <w:spacing w:after="0" w:line="308" w:lineRule="auto"/>
        <w:tabs>
          <w:tab w:leader="none" w:pos="10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00" w:right="160" w:hanging="343"/>
        <w:spacing w:after="0" w:line="264"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00" w:right="180" w:hanging="600"/>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160" w:hanging="288"/>
        <w:spacing w:after="0" w:line="308" w:lineRule="auto"/>
        <w:tabs>
          <w:tab w:leader="none" w:pos="1000" w:val="left"/>
        </w:tabs>
        <w:numPr>
          <w:ilvl w:val="2"/>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00" w:right="160" w:hanging="298"/>
        <w:spacing w:after="0" w:line="277" w:lineRule="auto"/>
        <w:tabs>
          <w:tab w:leader="none" w:pos="10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2840" w:type="dxa"/>
            <w:vAlign w:val="bottom"/>
          </w:tcPr>
          <w:p>
            <w:pPr>
              <w:spacing w:after="0"/>
              <w:rPr>
                <w:sz w:val="20"/>
                <w:szCs w:val="20"/>
                <w:color w:val="auto"/>
              </w:rPr>
            </w:pPr>
            <w:r>
              <w:rPr>
                <w:rFonts w:ascii="Arial" w:cs="Arial" w:eastAsia="Arial" w:hAnsi="Arial"/>
                <w:sz w:val="18"/>
                <w:szCs w:val="18"/>
                <w:color w:val="auto"/>
              </w:rPr>
              <w:t>August 14, 2017</w:t>
            </w: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rPr>
              <w:t>By:   /s/Jeffrey W. Church</w:t>
            </w:r>
          </w:p>
        </w:tc>
      </w:tr>
      <w:tr>
        <w:trPr>
          <w:trHeight w:val="195"/>
        </w:trPr>
        <w:tc>
          <w:tcPr>
            <w:tcW w:w="28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76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Jeffrey W. Church</w:t>
            </w:r>
          </w:p>
        </w:tc>
      </w:tr>
      <w:tr>
        <w:trPr>
          <w:trHeight w:val="216"/>
        </w:trPr>
        <w:tc>
          <w:tcPr>
            <w:tcW w:w="2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Senior Vice President and Chief</w:t>
            </w:r>
          </w:p>
        </w:tc>
      </w:tr>
      <w:tr>
        <w:trPr>
          <w:trHeight w:val="230"/>
        </w:trPr>
        <w:tc>
          <w:tcPr>
            <w:tcW w:w="28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760" w:type="dxa"/>
            <w:vAlign w:val="bottom"/>
          </w:tcPr>
          <w:p>
            <w:pPr>
              <w:ind w:left="48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June 30, 2017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August 14, 2017</w:t>
            </w:r>
          </w:p>
        </w:tc>
        <w:tc>
          <w:tcPr>
            <w:tcW w:w="1980" w:type="dxa"/>
            <w:vAlign w:val="bottom"/>
          </w:tcPr>
          <w:p>
            <w:pPr>
              <w:ind w:left="1560"/>
              <w:spacing w:after="0"/>
              <w:rPr>
                <w:sz w:val="20"/>
                <w:szCs w:val="20"/>
                <w:color w:val="auto"/>
              </w:rPr>
            </w:pPr>
            <w:r>
              <w:rPr>
                <w:rFonts w:ascii="Arial" w:cs="Arial" w:eastAsia="Arial" w:hAnsi="Arial"/>
                <w:sz w:val="18"/>
                <w:szCs w:val="18"/>
                <w:color w:val="auto"/>
              </w:rPr>
              <w:t>By:</w:t>
            </w: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/s/Michael H. Tardugno</w:t>
            </w:r>
          </w:p>
        </w:tc>
      </w:tr>
      <w:tr>
        <w:trPr>
          <w:trHeight w:val="195"/>
        </w:trPr>
        <w:tc>
          <w:tcPr>
            <w:tcW w:w="2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27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Chairman, President and Chief Executive Officer</w:t>
            </w: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August 14, 2017</w:t>
            </w:r>
          </w:p>
        </w:tc>
        <w:tc>
          <w:tcPr>
            <w:tcW w:w="1980" w:type="dxa"/>
            <w:vAlign w:val="bottom"/>
          </w:tcPr>
          <w:p>
            <w:pPr>
              <w:ind w:left="1560"/>
              <w:spacing w:after="0"/>
              <w:rPr>
                <w:sz w:val="20"/>
                <w:szCs w:val="20"/>
                <w:color w:val="auto"/>
              </w:rPr>
            </w:pPr>
            <w:r>
              <w:rPr>
                <w:rFonts w:ascii="Arial" w:cs="Arial" w:eastAsia="Arial" w:hAnsi="Arial"/>
                <w:sz w:val="18"/>
                <w:szCs w:val="18"/>
                <w:color w:val="auto"/>
              </w:rPr>
              <w:t>By:</w:t>
            </w: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/s/Jeffrey W. Church</w:t>
            </w:r>
          </w:p>
        </w:tc>
      </w:tr>
      <w:tr>
        <w:trPr>
          <w:trHeight w:val="195"/>
        </w:trPr>
        <w:tc>
          <w:tcPr>
            <w:tcW w:w="2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27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jc w:val="both"/>
        <w:ind w:firstLine="8"/>
        <w:spacing w:after="0" w:line="264" w:lineRule="auto"/>
        <w:tabs>
          <w:tab w:leader="none" w:pos="1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606"/>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upperLetter"/>
      <w:start w:val="27"/>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lvl w:ilvl="1">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lvl w:ilvl="1">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lvl w:ilvl="1">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2019-12-05T12:19:43Z</dcterms:created>
  <dcterms:modified xsi:type="dcterms:W3CDTF">2019-12-05T12:19:43Z</dcterms:modified>
</cp:coreProperties>
</file>