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4000" w:right="2240" w:hanging="3992"/>
        <w:spacing w:after="0" w:line="500"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June 30, 2022</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340" w:right="2220" w:hanging="3332"/>
        <w:spacing w:after="0" w:line="500" w:lineRule="auto"/>
        <w:tabs>
          <w:tab w:leader="none" w:pos="3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001-15911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CELSION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06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18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52-1256615</w:t>
            </w:r>
          </w:p>
        </w:tc>
      </w:tr>
      <w:tr>
        <w:trPr>
          <w:trHeight w:val="198"/>
        </w:trPr>
        <w:tc>
          <w:tcPr>
            <w:tcW w:w="4060" w:type="dxa"/>
            <w:vAlign w:val="bottom"/>
            <w:tcBorders>
              <w:top w:val="single" w:sz="8" w:color="auto"/>
            </w:tcBorders>
          </w:tcPr>
          <w:p>
            <w:pPr>
              <w:jc w:val="center"/>
              <w:ind w:left="137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060" w:type="dxa"/>
            <w:vAlign w:val="bottom"/>
          </w:tcPr>
          <w:p>
            <w:pPr>
              <w:spacing w:after="0"/>
              <w:rPr>
                <w:sz w:val="24"/>
                <w:szCs w:val="24"/>
                <w:color w:val="auto"/>
              </w:rPr>
            </w:pPr>
          </w:p>
        </w:tc>
        <w:tc>
          <w:tcPr>
            <w:tcW w:w="7180" w:type="dxa"/>
            <w:vAlign w:val="bottom"/>
            <w:gridSpan w:val="3"/>
          </w:tcPr>
          <w:p>
            <w:pPr>
              <w:jc w:val="center"/>
              <w:ind w:right="3970"/>
              <w:spacing w:after="0"/>
              <w:rPr>
                <w:sz w:val="20"/>
                <w:szCs w:val="20"/>
                <w:color w:val="auto"/>
              </w:rPr>
            </w:pPr>
            <w:r>
              <w:rPr>
                <w:rFonts w:ascii="Times New Roman" w:cs="Times New Roman" w:eastAsia="Times New Roman" w:hAnsi="Times New Roman"/>
                <w:sz w:val="18"/>
                <w:szCs w:val="18"/>
                <w:b w:val="1"/>
                <w:bCs w:val="1"/>
                <w:color w:val="auto"/>
              </w:rPr>
              <w:t>997 Lenox Drive, Suite 100,</w:t>
            </w:r>
          </w:p>
        </w:tc>
      </w:tr>
      <w:tr>
        <w:trPr>
          <w:trHeight w:val="220"/>
        </w:trPr>
        <w:tc>
          <w:tcPr>
            <w:tcW w:w="4060" w:type="dxa"/>
            <w:vAlign w:val="bottom"/>
          </w:tcPr>
          <w:p>
            <w:pPr>
              <w:spacing w:after="0"/>
              <w:rPr>
                <w:sz w:val="19"/>
                <w:szCs w:val="19"/>
                <w:color w:val="auto"/>
              </w:rPr>
            </w:pPr>
          </w:p>
        </w:tc>
        <w:tc>
          <w:tcPr>
            <w:tcW w:w="7180" w:type="dxa"/>
            <w:vAlign w:val="bottom"/>
            <w:gridSpan w:val="3"/>
          </w:tcPr>
          <w:p>
            <w:pPr>
              <w:jc w:val="center"/>
              <w:ind w:right="3970"/>
              <w:spacing w:after="0"/>
              <w:rPr>
                <w:sz w:val="20"/>
                <w:szCs w:val="20"/>
                <w:color w:val="auto"/>
              </w:rPr>
            </w:pPr>
            <w:r>
              <w:rPr>
                <w:rFonts w:ascii="Times New Roman" w:cs="Times New Roman" w:eastAsia="Times New Roman" w:hAnsi="Times New Roman"/>
                <w:sz w:val="18"/>
                <w:szCs w:val="18"/>
                <w:b w:val="1"/>
                <w:bCs w:val="1"/>
                <w:color w:val="auto"/>
                <w:w w:val="99"/>
              </w:rPr>
              <w:t>Lawrenceville</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NJ 08648</w:t>
            </w:r>
          </w:p>
        </w:tc>
      </w:tr>
      <w:tr>
        <w:trPr>
          <w:trHeight w:val="234"/>
        </w:trPr>
        <w:tc>
          <w:tcPr>
            <w:tcW w:w="4060" w:type="dxa"/>
            <w:vAlign w:val="bottom"/>
          </w:tcPr>
          <w:p>
            <w:pPr>
              <w:spacing w:after="0"/>
              <w:rPr>
                <w:sz w:val="20"/>
                <w:szCs w:val="20"/>
                <w:color w:val="auto"/>
              </w:rPr>
            </w:pPr>
          </w:p>
        </w:tc>
        <w:tc>
          <w:tcPr>
            <w:tcW w:w="7180" w:type="dxa"/>
            <w:vAlign w:val="bottom"/>
            <w:gridSpan w:val="3"/>
          </w:tcPr>
          <w:p>
            <w:pPr>
              <w:jc w:val="center"/>
              <w:ind w:right="395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452"/>
        </w:trPr>
        <w:tc>
          <w:tcPr>
            <w:tcW w:w="35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50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3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CLSN</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987" w:gutter="0" w:footer="0" w:header="0"/>
        </w:sectPr>
      </w:pPr>
    </w:p>
    <w:p>
      <w:pPr>
        <w:spacing w:after="0" w:line="147" w:lineRule="exact"/>
        <w:rPr>
          <w:sz w:val="24"/>
          <w:szCs w:val="24"/>
          <w:color w:val="auto"/>
        </w:rPr>
      </w:pPr>
    </w:p>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9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4900" w:space="720"/>
            <w:col w:w="5620"/>
          </w:cols>
          <w:pgMar w:left="320" w:top="740" w:right="339" w:bottom="987" w:gutter="0" w:footer="0" w:header="0"/>
          <w:type w:val="continuous"/>
        </w:sectPr>
      </w:pPr>
    </w:p>
    <w:p>
      <w:pPr>
        <w:spacing w:after="0" w:line="1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12, 2022, the Registrant had 7,098,741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987"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96"/>
        </w:trPr>
        <w:tc>
          <w:tcPr>
            <w:tcW w:w="106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640" w:type="dxa"/>
            <w:vAlign w:val="bottom"/>
            <w:shd w:val="clear" w:color="auto" w:fill="CCEEFF"/>
          </w:tcPr>
          <w:p>
            <w:pPr>
              <w:spacing w:after="0"/>
              <w:rPr>
                <w:sz w:val="17"/>
                <w:szCs w:val="17"/>
                <w:color w:val="auto"/>
              </w:rPr>
            </w:pPr>
          </w:p>
        </w:tc>
      </w:tr>
      <w:tr>
        <w:trPr>
          <w:trHeight w:val="216"/>
        </w:trPr>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80" w:type="dxa"/>
            <w:vAlign w:val="bottom"/>
            <w:gridSpan w:val="2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Financial Statements and Notes (Unaudited)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9880" w:type="dxa"/>
            <w:vAlign w:val="bottom"/>
            <w:gridSpan w:val="22"/>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2022 and December 31, 2021</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20" w:type="dxa"/>
            <w:vAlign w:val="bottom"/>
            <w:shd w:val="clear" w:color="auto" w:fill="CCEEFF"/>
          </w:tcPr>
          <w:p>
            <w:pPr>
              <w:spacing w:after="0"/>
              <w:rPr>
                <w:sz w:val="15"/>
                <w:szCs w:val="15"/>
                <w:color w:val="auto"/>
              </w:rPr>
            </w:pPr>
          </w:p>
        </w:tc>
        <w:tc>
          <w:tcPr>
            <w:tcW w:w="9880" w:type="dxa"/>
            <w:vAlign w:val="bottom"/>
            <w:gridSpan w:val="2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and Six Months Ended June 30, 2022 and 2021</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9880" w:type="dxa"/>
            <w:vAlign w:val="bottom"/>
            <w:gridSpan w:val="22"/>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for the Three Months and Six Months Ended June 30, 2022 and 2021</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9880" w:type="dxa"/>
            <w:vAlign w:val="bottom"/>
            <w:gridSpan w:val="2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2022 and 2021</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20" w:type="dxa"/>
            <w:vAlign w:val="bottom"/>
          </w:tcPr>
          <w:p>
            <w:pPr>
              <w:spacing w:after="0"/>
              <w:rPr>
                <w:sz w:val="15"/>
                <w:szCs w:val="15"/>
                <w:color w:val="auto"/>
              </w:rPr>
            </w:pPr>
          </w:p>
        </w:tc>
        <w:tc>
          <w:tcPr>
            <w:tcW w:w="9880" w:type="dxa"/>
            <w:vAlign w:val="bottom"/>
            <w:gridSpan w:val="22"/>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for the Three Months Ended June 30, 2022 and 2021</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20" w:type="dxa"/>
            <w:vAlign w:val="bottom"/>
            <w:shd w:val="clear" w:color="auto" w:fill="CCEEFF"/>
          </w:tcPr>
          <w:p>
            <w:pPr>
              <w:spacing w:after="0"/>
              <w:rPr>
                <w:sz w:val="15"/>
                <w:szCs w:val="15"/>
                <w:color w:val="auto"/>
              </w:rPr>
            </w:pPr>
          </w:p>
        </w:tc>
        <w:tc>
          <w:tcPr>
            <w:tcW w:w="9880" w:type="dxa"/>
            <w:vAlign w:val="bottom"/>
            <w:gridSpan w:val="2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for the Six Months Ended June 30, 2022 and 2021</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9880" w:type="dxa"/>
            <w:vAlign w:val="bottom"/>
            <w:gridSpan w:val="22"/>
          </w:tcPr>
          <w:p>
            <w:pPr>
              <w:ind w:left="60"/>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80" w:type="dxa"/>
            <w:vAlign w:val="bottom"/>
            <w:gridSpan w:val="22"/>
          </w:tcPr>
          <w:p>
            <w:pPr>
              <w:ind w:left="6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80" w:type="dxa"/>
            <w:vAlign w:val="bottom"/>
            <w:gridSpan w:val="22"/>
          </w:tcPr>
          <w:p>
            <w:pPr>
              <w:ind w:left="6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80" w:type="dxa"/>
            <w:vAlign w:val="bottom"/>
            <w:gridSpan w:val="22"/>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8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40" w:type="dxa"/>
            <w:vAlign w:val="bottom"/>
          </w:tcPr>
          <w:p>
            <w:pPr>
              <w:spacing w:after="0"/>
              <w:rPr>
                <w:sz w:val="15"/>
                <w:szCs w:val="15"/>
                <w:color w:val="auto"/>
              </w:rPr>
            </w:pPr>
          </w:p>
        </w:tc>
      </w:tr>
      <w:tr>
        <w:trPr>
          <w:trHeight w:val="21"/>
        </w:trPr>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80" w:type="dxa"/>
            <w:vAlign w:val="bottom"/>
            <w:gridSpan w:val="22"/>
          </w:tcPr>
          <w:p>
            <w:pPr>
              <w:ind w:left="6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80" w:type="dxa"/>
            <w:vAlign w:val="bottom"/>
            <w:gridSpan w:val="22"/>
          </w:tcPr>
          <w:p>
            <w:pPr>
              <w:ind w:left="6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80" w:type="dxa"/>
            <w:vAlign w:val="bottom"/>
            <w:gridSpan w:val="22"/>
          </w:tcPr>
          <w:p>
            <w:pPr>
              <w:ind w:left="6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80" w:type="dxa"/>
            <w:vAlign w:val="bottom"/>
            <w:gridSpan w:val="22"/>
          </w:tcPr>
          <w:p>
            <w:pPr>
              <w:ind w:left="6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80" w:type="dxa"/>
            <w:vAlign w:val="bottom"/>
            <w:gridSpan w:val="22"/>
          </w:tcPr>
          <w:p>
            <w:pPr>
              <w:ind w:left="6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880" w:type="dxa"/>
            <w:vAlign w:val="bottom"/>
            <w:gridSpan w:val="22"/>
          </w:tcPr>
          <w:p>
            <w:pPr>
              <w:ind w:left="6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880" w:type="dxa"/>
            <w:vAlign w:val="bottom"/>
            <w:gridSpan w:val="22"/>
          </w:tcPr>
          <w:p>
            <w:pPr>
              <w:ind w:left="6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8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460"/>
        </w:trPr>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8"/>
                <w:szCs w:val="18"/>
                <w:color w:val="auto"/>
              </w:rPr>
              <w:t>i</w:t>
            </w: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the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FDA and foreign regulatory approvals for our drug candidates, potential impact of the outbreak, duration and severity of the COVID-19 pandemic on our business,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assumptions are described in Item 1A. Risk Factors in our Annual Report on Form 10-K for the fiscal year ended December 31, 2021, and in other documents that we file or furnish with the SEC.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any forward-looking statements,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the “Company,” “Celsion,” “we,” “us,” and “our” refer to Celsion Corporation, a Delaware corporation and its wholly owned subsidiaries, CLSN Laboratories, Inc., a Delaware corporation and Celsion GmbH, A Swiss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Celsion brand and product names, including but not limited to Celsion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520" w:type="dxa"/>
            <w:vAlign w:val="bottom"/>
          </w:tcPr>
          <w:p>
            <w:pPr>
              <w:jc w:val="center"/>
              <w:ind w:left="363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520" w:type="dxa"/>
            <w:vAlign w:val="bottom"/>
          </w:tcPr>
          <w:p>
            <w:pPr>
              <w:jc w:val="center"/>
              <w:ind w:left="363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520" w:type="dxa"/>
            <w:vAlign w:val="bottom"/>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520" w:type="dxa"/>
            <w:vAlign w:val="bottom"/>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26,742,128</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19,586,272</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debt securities - available for sale, at fair value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15,371,480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29,803,095</w:t>
            </w:r>
          </w:p>
        </w:tc>
      </w:tr>
      <w:tr>
        <w:trPr>
          <w:trHeight w:val="21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receivable on investment securities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108,844</w:t>
            </w:r>
          </w:p>
        </w:tc>
      </w:tr>
      <w:tr>
        <w:trPr>
          <w:trHeight w:val="237"/>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2,767,570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2,447,413</w:t>
            </w:r>
          </w:p>
        </w:tc>
      </w:tr>
      <w:tr>
        <w:trPr>
          <w:trHeight w:val="223"/>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44,910,906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51,945,624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7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Property and equipment (at cost, less accumulated depreciation</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amortization)</w:t>
            </w:r>
          </w:p>
        </w:tc>
        <w:tc>
          <w:tcPr>
            <w:tcW w:w="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561,662</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477,011</w:t>
            </w:r>
          </w:p>
        </w:tc>
      </w:tr>
      <w:tr>
        <w:trPr>
          <w:trHeight w:val="216"/>
        </w:trPr>
        <w:tc>
          <w:tcPr>
            <w:tcW w:w="7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investments, restricted cash</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r>
      <w:tr>
        <w:trPr>
          <w:trHeight w:val="21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1,383,446</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13,366,234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430,412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690,995</w:t>
            </w:r>
          </w:p>
        </w:tc>
      </w:tr>
      <w:tr>
        <w:trPr>
          <w:trHeight w:val="23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58,761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183,489</w:t>
            </w:r>
          </w:p>
        </w:tc>
      </w:tr>
      <w:tr>
        <w:trPr>
          <w:trHeight w:val="223"/>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19,855,407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21,624,164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65,327,975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74,046,799</w:t>
            </w:r>
          </w:p>
        </w:tc>
      </w:tr>
      <w:tr>
        <w:trPr>
          <w:trHeight w:val="20"/>
        </w:trPr>
        <w:tc>
          <w:tcPr>
            <w:tcW w:w="788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520" w:type="dxa"/>
            <w:vAlign w:val="bottom"/>
            <w:gridSpan w:val="5"/>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520" w:type="dxa"/>
            <w:vAlign w:val="bottom"/>
            <w:tcBorders>
              <w:bottom w:val="single" w:sz="8" w:color="auto"/>
            </w:tcBorders>
          </w:tcPr>
          <w:p>
            <w:pPr>
              <w:jc w:val="center"/>
              <w:ind w:left="3630"/>
              <w:spacing w:after="0"/>
              <w:rPr>
                <w:sz w:val="20"/>
                <w:szCs w:val="20"/>
                <w:color w:val="auto"/>
              </w:rPr>
            </w:pPr>
            <w:r>
              <w:rPr>
                <w:rFonts w:ascii="Times New Roman" w:cs="Times New Roman" w:eastAsia="Times New Roman" w:hAnsi="Times New Roman"/>
                <w:sz w:val="18"/>
                <w:szCs w:val="18"/>
                <w:color w:val="auto"/>
                <w:w w:val="88"/>
              </w:rPr>
              <w:t>1</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72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2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8"/>
              </w:rPr>
              <w:t>(Continued)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2,392,972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2,547,251</w:t>
            </w: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3,788,458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3,173,537</w:t>
            </w: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459,542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548,870</w:t>
            </w:r>
          </w:p>
        </w:tc>
      </w:tr>
      <w:tr>
        <w:trPr>
          <w:trHeight w:val="237"/>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7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6,890,972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6,769,658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milestone liability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5,396,000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5,396,000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 non-current portion, net of deferred financing costs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5,945,091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5,854,461</w:t>
            </w:r>
          </w:p>
        </w:tc>
      </w:tr>
      <w:tr>
        <w:trPr>
          <w:trHeight w:val="24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53,419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230,749</w:t>
            </w:r>
          </w:p>
        </w:tc>
      </w:tr>
      <w:tr>
        <w:trPr>
          <w:trHeight w:val="210"/>
        </w:trPr>
        <w:tc>
          <w:tcPr>
            <w:tcW w:w="77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18,285,482</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18,250,868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 outstanding at June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30, 2022 and December 31, 2021)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(112,500,000 shares authorized; 7,098,763 and 5,770,538 shares issued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2022 and December 31, 2021, respectively; and 7,098,741 and 5,770,516 shares outstanding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2022 and December 31, 2021, respectively)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70,988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57,705</w:t>
            </w:r>
          </w:p>
        </w:tc>
      </w:tr>
      <w:tr>
        <w:trPr>
          <w:trHeight w:val="243"/>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396,413,587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388,600,979</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(7,974)</w:t>
            </w:r>
          </w:p>
        </w:tc>
      </w:tr>
      <w:tr>
        <w:trPr>
          <w:trHeight w:val="25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(349,286,860)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(332,769,591)</w:t>
            </w:r>
          </w:p>
        </w:tc>
      </w:tr>
      <w:tr>
        <w:trPr>
          <w:trHeight w:val="203"/>
        </w:trPr>
        <w:tc>
          <w:tcPr>
            <w:tcW w:w="77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47,127,681</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55,881,119</w:t>
            </w:r>
          </w:p>
        </w:tc>
        <w:tc>
          <w:tcPr>
            <w:tcW w:w="100" w:type="dxa"/>
            <w:vAlign w:val="bottom"/>
            <w:tcBorders>
              <w:top w:val="single" w:sz="8" w:color="CCEEFF"/>
            </w:tcBorders>
          </w:tcPr>
          <w:p>
            <w:pPr>
              <w:spacing w:after="0"/>
              <w:rPr>
                <w:sz w:val="17"/>
                <w:szCs w:val="17"/>
                <w:color w:val="auto"/>
              </w:rPr>
            </w:pPr>
          </w:p>
        </w:tc>
      </w:tr>
      <w:tr>
        <w:trPr>
          <w:trHeight w:val="216"/>
        </w:trPr>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(22 shares at June 30, 2022 and December 31, 2021)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(85,188)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23"/>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47,042,493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55,795,931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65,327,975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74,046,799</w:t>
            </w:r>
          </w:p>
        </w:tc>
      </w:tr>
      <w:tr>
        <w:trPr>
          <w:trHeight w:val="20"/>
        </w:trPr>
        <w:tc>
          <w:tcPr>
            <w:tcW w:w="788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540" w:type="dxa"/>
            <w:vAlign w:val="bottom"/>
            <w:gridSpan w:val="5"/>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720" w:type="dxa"/>
            <w:vAlign w:val="bottom"/>
            <w:tcBorders>
              <w:bottom w:val="single" w:sz="8" w:color="auto"/>
            </w:tcBorders>
          </w:tcPr>
          <w:p>
            <w:pPr>
              <w:jc w:val="center"/>
              <w:ind w:left="3430"/>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98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3780" w:type="dxa"/>
            <w:vAlign w:val="bottom"/>
          </w:tcPr>
          <w:p>
            <w:pPr>
              <w:spacing w:after="0"/>
              <w:rPr>
                <w:sz w:val="24"/>
                <w:szCs w:val="24"/>
                <w:color w:val="auto"/>
              </w:rPr>
            </w:pPr>
          </w:p>
        </w:tc>
        <w:tc>
          <w:tcPr>
            <w:tcW w:w="3320" w:type="dxa"/>
            <w:vAlign w:val="bottom"/>
            <w:gridSpan w:val="6"/>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3320" w:type="dxa"/>
            <w:vAlign w:val="bottom"/>
            <w:gridSpan w:val="6"/>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STATEMENTS OF OPERATIONS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780" w:type="dxa"/>
            <w:vAlign w:val="bottom"/>
          </w:tcPr>
          <w:p>
            <w:pPr>
              <w:spacing w:after="0"/>
              <w:rPr>
                <w:sz w:val="20"/>
                <w:szCs w:val="20"/>
                <w:color w:val="auto"/>
              </w:rPr>
            </w:pPr>
          </w:p>
        </w:tc>
        <w:tc>
          <w:tcPr>
            <w:tcW w:w="298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3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2660" w:type="dxa"/>
            <w:vAlign w:val="bottom"/>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37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125,000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250,000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spacing w:after="0"/>
              <w:rPr>
                <w:sz w:val="20"/>
                <w:szCs w:val="20"/>
                <w:color w:val="auto"/>
              </w:rPr>
            </w:pPr>
          </w:p>
        </w:tc>
      </w:tr>
      <w:tr>
        <w:trPr>
          <w:trHeight w:val="216"/>
        </w:trPr>
        <w:tc>
          <w:tcPr>
            <w:tcW w:w="37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3,226,295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2,593,412</w:t>
            </w: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6,321,715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5,164,985</w:t>
            </w:r>
          </w:p>
        </w:tc>
        <w:tc>
          <w:tcPr>
            <w:tcW w:w="80" w:type="dxa"/>
            <w:vAlign w:val="bottom"/>
          </w:tcPr>
          <w:p>
            <w:pPr>
              <w:spacing w:after="0"/>
              <w:rPr>
                <w:sz w:val="18"/>
                <w:szCs w:val="18"/>
                <w:color w:val="auto"/>
              </w:rPr>
            </w:pPr>
          </w:p>
        </w:tc>
      </w:tr>
      <w:tr>
        <w:trPr>
          <w:trHeight w:val="24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2,876,976</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2,602,990</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5,748,533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5,539,761</w:t>
            </w:r>
          </w:p>
        </w:tc>
        <w:tc>
          <w:tcPr>
            <w:tcW w:w="80" w:type="dxa"/>
            <w:vAlign w:val="bottom"/>
            <w:shd w:val="clear" w:color="auto" w:fill="CCEEFF"/>
          </w:tcPr>
          <w:p>
            <w:pPr>
              <w:spacing w:after="0"/>
              <w:rPr>
                <w:sz w:val="21"/>
                <w:szCs w:val="21"/>
                <w:color w:val="auto"/>
              </w:rPr>
            </w:pPr>
          </w:p>
        </w:tc>
      </w:tr>
      <w:tr>
        <w:trPr>
          <w:trHeight w:val="210"/>
        </w:trPr>
        <w:tc>
          <w:tcPr>
            <w:tcW w:w="37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6,103,271</w:t>
            </w:r>
          </w:p>
        </w:tc>
        <w:tc>
          <w:tcPr>
            <w:tcW w:w="3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5,196,402</w:t>
            </w: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12,070,248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10,704,746</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3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(5,978,271)</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(5,071,402)</w:t>
            </w:r>
          </w:p>
        </w:tc>
        <w:tc>
          <w:tcPr>
            <w:tcW w:w="220" w:type="dxa"/>
            <w:vAlign w:val="bottom"/>
          </w:tcPr>
          <w:p>
            <w:pPr>
              <w:spacing w:after="0"/>
              <w:rPr>
                <w:sz w:val="20"/>
                <w:szCs w:val="20"/>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(11,820,248)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(10,454,746)</w:t>
            </w:r>
          </w:p>
        </w:tc>
      </w:tr>
      <w:tr>
        <w:trPr>
          <w:trHeight w:val="216"/>
        </w:trPr>
        <w:tc>
          <w:tcPr>
            <w:tcW w:w="37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46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(loss) from change in valuation of earn-out milestone</w:t>
            </w: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1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81,000</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 (loss)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40,355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52,459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80" w:type="dxa"/>
            <w:vAlign w:val="bottom"/>
          </w:tcPr>
          <w:p>
            <w:pPr>
              <w:spacing w:after="0"/>
              <w:rPr>
                <w:sz w:val="18"/>
                <w:szCs w:val="18"/>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(105,024)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(221,227)</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(4,751,281)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(378,841)</w:t>
            </w: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Recognized loss on extinguishment of debt</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(234,419)</w:t>
            </w: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(234,419)</w:t>
            </w:r>
          </w:p>
        </w:tc>
      </w:tr>
      <w:tr>
        <w:trPr>
          <w:trHeight w:val="24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(1,456)</w:t>
            </w:r>
          </w:p>
        </w:tc>
      </w:tr>
      <w:tr>
        <w:trPr>
          <w:trHeight w:val="210"/>
        </w:trPr>
        <w:tc>
          <w:tcPr>
            <w:tcW w:w="37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14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(64,666</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(376,995</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(4,697,021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(682,654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(6,042,937)</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(5,448,397)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(16,517,269)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(11,137,400)</w:t>
            </w:r>
          </w:p>
        </w:tc>
      </w:tr>
      <w:tr>
        <w:trPr>
          <w:trHeight w:val="197"/>
        </w:trPr>
        <w:tc>
          <w:tcPr>
            <w:tcW w:w="37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(0.87)</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(0.95)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3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6,981,970</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5,728,250</w:t>
            </w:r>
          </w:p>
        </w:tc>
        <w:tc>
          <w:tcPr>
            <w:tcW w:w="220" w:type="dxa"/>
            <w:vAlign w:val="bottom"/>
          </w:tcPr>
          <w:p>
            <w:pPr>
              <w:spacing w:after="0"/>
              <w:rPr>
                <w:sz w:val="21"/>
                <w:szCs w:val="21"/>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6,372,908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5,077,696</w:t>
            </w:r>
          </w:p>
        </w:tc>
        <w:tc>
          <w:tcPr>
            <w:tcW w:w="80" w:type="dxa"/>
            <w:vAlign w:val="bottom"/>
          </w:tcPr>
          <w:p>
            <w:pPr>
              <w:spacing w:after="0"/>
              <w:rPr>
                <w:sz w:val="21"/>
                <w:szCs w:val="21"/>
                <w:color w:val="auto"/>
              </w:rPr>
            </w:pPr>
          </w:p>
        </w:tc>
      </w:tr>
      <w:tr>
        <w:trPr>
          <w:trHeight w:val="20"/>
        </w:trPr>
        <w:tc>
          <w:tcPr>
            <w:tcW w:w="3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6760" w:type="dxa"/>
            <w:vAlign w:val="bottom"/>
            <w:gridSpan w:val="5"/>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080" w:type="dxa"/>
            <w:vAlign w:val="bottom"/>
            <w:gridSpan w:val="7"/>
          </w:tcPr>
          <w:p>
            <w:pPr>
              <w:jc w:val="center"/>
              <w:ind w:left="409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360" w:type="dxa"/>
            <w:vAlign w:val="bottom"/>
            <w:gridSpan w:val="9"/>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000" w:type="dxa"/>
            <w:vAlign w:val="bottom"/>
          </w:tcPr>
          <w:p>
            <w:pPr>
              <w:spacing w:after="0"/>
              <w:rPr>
                <w:sz w:val="20"/>
                <w:szCs w:val="20"/>
                <w:color w:val="auto"/>
              </w:rPr>
            </w:pPr>
          </w:p>
        </w:tc>
        <w:tc>
          <w:tcPr>
            <w:tcW w:w="176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6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0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gains on debt securities recognized in investment income,</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21,596</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1,785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23,934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1,785</w:t>
            </w:r>
          </w:p>
        </w:tc>
      </w:tr>
      <w:tr>
        <w:trPr>
          <w:trHeight w:val="23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 on debt securities, net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(32,652)</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(7,340)</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(85,994)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(5,555)</w:t>
            </w:r>
          </w:p>
        </w:tc>
      </w:tr>
      <w:tr>
        <w:trPr>
          <w:trHeight w:val="216"/>
        </w:trPr>
        <w:tc>
          <w:tcPr>
            <w:tcW w:w="5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losses on available for sale securities,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(11,056)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(5,555)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(3,770)</w:t>
            </w: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(6,042,937)</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(5,448,397)</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(16,517,269)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(11,137,400)</w:t>
            </w:r>
          </w:p>
        </w:tc>
      </w:tr>
      <w:tr>
        <w:trPr>
          <w:trHeight w:val="216"/>
        </w:trPr>
        <w:tc>
          <w:tcPr>
            <w:tcW w:w="5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(6,053,993)</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(5,453,952)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(16,579,329)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(11,141,170)</w:t>
            </w:r>
          </w:p>
        </w:tc>
      </w:tr>
      <w:tr>
        <w:trPr>
          <w:trHeight w:val="20"/>
        </w:trPr>
        <w:tc>
          <w:tcPr>
            <w:tcW w:w="520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620" w:type="dxa"/>
            <w:vAlign w:val="bottom"/>
            <w:gridSpan w:val="10"/>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w w:val="88"/>
              </w:rPr>
              <w:t>4</w:t>
            </w: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STATEMENTS OF CASH FLOWS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7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(16,517,269)</w:t>
            </w:r>
          </w:p>
        </w:tc>
        <w:tc>
          <w:tcPr>
            <w:tcW w:w="54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(11,137,400)</w:t>
            </w:r>
          </w:p>
        </w:tc>
      </w:tr>
      <w:tr>
        <w:trPr>
          <w:trHeight w:val="216"/>
        </w:trPr>
        <w:tc>
          <w:tcPr>
            <w:tcW w:w="7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341,954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383,801</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 milestone liability</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1,486,522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2,372,945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1,383,446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1,845,823</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finance charges and debt discount associated with notes payable</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90,630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145,884</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changes in:</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 on investment securities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79,116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(105,000)</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(195,429)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(183,756)</w:t>
            </w:r>
          </w:p>
        </w:tc>
      </w:tr>
      <w:tr>
        <w:trPr>
          <w:trHeight w:val="24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193,984</w:t>
            </w: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(491,694)</w:t>
            </w:r>
          </w:p>
        </w:tc>
      </w:tr>
      <w:tr>
        <w:trPr>
          <w:trHeight w:val="210"/>
        </w:trPr>
        <w:tc>
          <w:tcPr>
            <w:tcW w:w="744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4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(13,387,046</w:t>
            </w:r>
          </w:p>
        </w:tc>
        <w:tc>
          <w:tcPr>
            <w:tcW w:w="340" w:type="dxa"/>
            <w:vAlign w:val="bottom"/>
            <w:tcBorders>
              <w:top w:val="single" w:sz="8" w:color="CCEEFF"/>
              <w:bottom w:val="single" w:sz="8" w:color="CCEEFF"/>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(7,349,397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(8,405,445)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(40,927,055)</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22,775,000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(166,022)</w:t>
            </w: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(227,000)</w:t>
            </w:r>
          </w:p>
        </w:tc>
      </w:tr>
      <w:tr>
        <w:trPr>
          <w:trHeight w:val="210"/>
        </w:trPr>
        <w:tc>
          <w:tcPr>
            <w:tcW w:w="744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4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14,203,533</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(32,154,055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redeemable convertible preferred stock offering</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28,500,000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upon redemption of redeemable convertible preferred stock</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(28,500,000)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equity, net of issuance costs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6,339,369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52,697,265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common stock warrants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1,508,666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 to purchase common stock</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SVB Loan Facility, net of issuance costs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5,756,630</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Payoff of the Horizon Credit Agreement and accrued end of term fees</w:t>
            </w: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(5,190,587)</w:t>
            </w:r>
          </w:p>
        </w:tc>
      </w:tr>
      <w:tr>
        <w:trPr>
          <w:trHeight w:val="210"/>
        </w:trPr>
        <w:tc>
          <w:tcPr>
            <w:tcW w:w="744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4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6,339,369</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54,776,699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7,155,856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15,273,247</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25,586,272</w:t>
            </w: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17,164,177</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32,742,128</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32,437,424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660" w:type="dxa"/>
            <w:vAlign w:val="bottom"/>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8"/>
              </w:rPr>
              <w:t>CELSION CORPORATION</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660" w:type="dxa"/>
            <w:vAlign w:val="bottom"/>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60" w:type="dxa"/>
            <w:vAlign w:val="bottom"/>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STATEMENTS OF CASH FLOWS (continued)</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660" w:type="dxa"/>
            <w:vAlign w:val="bottom"/>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20"/>
                <w:szCs w:val="20"/>
                <w:color w:val="auto"/>
              </w:rPr>
            </w:pPr>
          </w:p>
        </w:tc>
      </w:tr>
      <w:tr>
        <w:trPr>
          <w:trHeight w:val="216"/>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 on note payable and redemption of convertible redeemable preferred stock</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4,267,107</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267,360</w:t>
            </w:r>
          </w:p>
        </w:tc>
      </w:tr>
      <w:tr>
        <w:trPr>
          <w:trHeight w:val="197"/>
        </w:trPr>
        <w:tc>
          <w:tcPr>
            <w:tcW w:w="7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measurement of lease liabilities: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lease payments</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299,947</w:t>
            </w:r>
          </w:p>
        </w:tc>
        <w:tc>
          <w:tcPr>
            <w:tcW w:w="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264,546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Realized and unrealized losses, net, on investment securities</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(62,060)</w:t>
            </w:r>
          </w:p>
        </w:tc>
        <w:tc>
          <w:tcPr>
            <w:tcW w:w="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(3,770)</w:t>
            </w:r>
          </w:p>
        </w:tc>
      </w:tr>
      <w:tr>
        <w:trPr>
          <w:trHeight w:val="20"/>
        </w:trPr>
        <w:tc>
          <w:tcPr>
            <w:tcW w:w="788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540" w:type="dxa"/>
            <w:vAlign w:val="bottom"/>
            <w:gridSpan w:val="5"/>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660" w:type="dxa"/>
            <w:vAlign w:val="bottom"/>
            <w:tcBorders>
              <w:bottom w:val="single" w:sz="8" w:color="auto"/>
            </w:tcBorders>
          </w:tcPr>
          <w:p>
            <w:pPr>
              <w:jc w:val="center"/>
              <w:ind w:left="3490"/>
              <w:spacing w:after="0"/>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2022 AND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8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59"/>
        </w:trPr>
        <w:tc>
          <w:tcPr>
            <w:tcW w:w="2320" w:type="dxa"/>
            <w:vAlign w:val="bottom"/>
          </w:tcPr>
          <w:p>
            <w:pPr>
              <w:spacing w:after="0"/>
              <w:rPr>
                <w:sz w:val="22"/>
                <w:szCs w:val="22"/>
                <w:color w:val="auto"/>
              </w:rPr>
            </w:pPr>
          </w:p>
        </w:tc>
        <w:tc>
          <w:tcPr>
            <w:tcW w:w="18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2"/>
                <w:szCs w:val="22"/>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700" w:type="dxa"/>
            <w:vAlign w:val="bottom"/>
            <w:gridSpan w:val="4"/>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7"/>
        </w:trPr>
        <w:tc>
          <w:tcPr>
            <w:tcW w:w="2320" w:type="dxa"/>
            <w:vAlign w:val="bottom"/>
          </w:tcPr>
          <w:p>
            <w:pPr>
              <w:spacing w:after="0"/>
              <w:rPr>
                <w:sz w:val="20"/>
                <w:szCs w:val="20"/>
                <w:color w:val="auto"/>
              </w:rPr>
            </w:pPr>
          </w:p>
        </w:tc>
        <w:tc>
          <w:tcPr>
            <w:tcW w:w="106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3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23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April 1, 2022</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5,770,467</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$ 57,705</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$ 389,595,593</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5"/>
              </w:rPr>
              <w:t>$ (85,188)</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(58,978)</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6"/>
              </w:rPr>
              <w:t>$ (343,243,923)</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46,265,209</w:t>
            </w:r>
          </w:p>
        </w:tc>
        <w:tc>
          <w:tcPr>
            <w:tcW w:w="8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(6,042,937)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(6,042,937)</w:t>
            </w: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through registered direct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1,328,274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13,283</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6,326,086</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6,339,369</w:t>
            </w:r>
          </w:p>
        </w:tc>
        <w:tc>
          <w:tcPr>
            <w:tcW w:w="80" w:type="dxa"/>
            <w:vAlign w:val="bottom"/>
            <w:shd w:val="clear" w:color="auto" w:fill="CCEEFF"/>
          </w:tcPr>
          <w:p>
            <w:pPr>
              <w:spacing w:after="0"/>
              <w:rPr>
                <w:sz w:val="20"/>
                <w:szCs w:val="20"/>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(losses), net, on investments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(11,056)</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(11,056)</w:t>
            </w: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491,908</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491,908</w:t>
            </w:r>
          </w:p>
        </w:tc>
        <w:tc>
          <w:tcPr>
            <w:tcW w:w="80" w:type="dxa"/>
            <w:vAlign w:val="bottom"/>
            <w:shd w:val="clear" w:color="auto" w:fill="CCEEFF"/>
          </w:tcPr>
          <w:p>
            <w:pPr>
              <w:spacing w:after="0"/>
              <w:rPr>
                <w:sz w:val="23"/>
                <w:szCs w:val="23"/>
                <w:color w:val="auto"/>
              </w:rPr>
            </w:pPr>
          </w:p>
        </w:tc>
      </w:tr>
      <w:tr>
        <w:trPr>
          <w:trHeight w:val="217"/>
        </w:trPr>
        <w:tc>
          <w:tcPr>
            <w:tcW w:w="2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7,098,741</w:t>
            </w: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$ 70,988</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$ 396,413,587</w:t>
            </w:r>
          </w:p>
        </w:tc>
        <w:tc>
          <w:tcPr>
            <w:tcW w:w="24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(85,188</w:t>
            </w:r>
          </w:p>
        </w:tc>
        <w:tc>
          <w:tcPr>
            <w:tcW w:w="160" w:type="dxa"/>
            <w:vAlign w:val="bottom"/>
            <w:tcBorders>
              <w:top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(70,034</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(349,286,860</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47,042,493</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0"/>
        </w:trPr>
        <w:tc>
          <w:tcPr>
            <w:tcW w:w="2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320" w:type="dxa"/>
            <w:vAlign w:val="bottom"/>
          </w:tcPr>
          <w:p>
            <w:pPr>
              <w:spacing w:after="0"/>
              <w:rPr>
                <w:sz w:val="18"/>
                <w:szCs w:val="18"/>
                <w:color w:val="auto"/>
              </w:rPr>
            </w:pPr>
          </w:p>
        </w:tc>
        <w:tc>
          <w:tcPr>
            <w:tcW w:w="18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59"/>
        </w:trPr>
        <w:tc>
          <w:tcPr>
            <w:tcW w:w="2320" w:type="dxa"/>
            <w:vAlign w:val="bottom"/>
          </w:tcPr>
          <w:p>
            <w:pPr>
              <w:spacing w:after="0"/>
              <w:rPr>
                <w:sz w:val="22"/>
                <w:szCs w:val="22"/>
                <w:color w:val="auto"/>
              </w:rPr>
            </w:pPr>
          </w:p>
        </w:tc>
        <w:tc>
          <w:tcPr>
            <w:tcW w:w="18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2"/>
                <w:szCs w:val="22"/>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700" w:type="dxa"/>
            <w:vAlign w:val="bottom"/>
            <w:gridSpan w:val="4"/>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6"/>
        </w:trPr>
        <w:tc>
          <w:tcPr>
            <w:tcW w:w="2320" w:type="dxa"/>
            <w:vAlign w:val="bottom"/>
          </w:tcPr>
          <w:p>
            <w:pPr>
              <w:spacing w:after="0"/>
              <w:rPr>
                <w:sz w:val="20"/>
                <w:szCs w:val="20"/>
                <w:color w:val="auto"/>
              </w:rPr>
            </w:pPr>
          </w:p>
        </w:tc>
        <w:tc>
          <w:tcPr>
            <w:tcW w:w="106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3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23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April 1, 2021</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5,001,285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$ 50,013</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$ 372,682,792</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5"/>
              </w:rPr>
              <w:t>$ (85,188)</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1,785</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6"/>
              </w:rPr>
              <w:t>$ (317,689,344)</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54,960,058</w:t>
            </w:r>
          </w:p>
        </w:tc>
        <w:tc>
          <w:tcPr>
            <w:tcW w:w="8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(5,448,397)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(5,448,397)</w:t>
            </w: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facilities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769,231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7,692</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13,746,095</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13,753,787</w:t>
            </w:r>
          </w:p>
        </w:tc>
        <w:tc>
          <w:tcPr>
            <w:tcW w:w="80" w:type="dxa"/>
            <w:vAlign w:val="bottom"/>
            <w:shd w:val="clear" w:color="auto" w:fill="CCEEFF"/>
          </w:tcPr>
          <w:p>
            <w:pPr>
              <w:spacing w:after="0"/>
              <w:rPr>
                <w:sz w:val="20"/>
                <w:szCs w:val="20"/>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(losses), net, on investments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(5,555)</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(5,555)</w:t>
            </w: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793,619</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793,619</w:t>
            </w:r>
          </w:p>
        </w:tc>
        <w:tc>
          <w:tcPr>
            <w:tcW w:w="80" w:type="dxa"/>
            <w:vAlign w:val="bottom"/>
            <w:shd w:val="clear" w:color="auto" w:fill="CCEEFF"/>
          </w:tcPr>
          <w:p>
            <w:pPr>
              <w:spacing w:after="0"/>
              <w:rPr>
                <w:sz w:val="23"/>
                <w:szCs w:val="23"/>
                <w:color w:val="auto"/>
              </w:rPr>
            </w:pPr>
          </w:p>
        </w:tc>
      </w:tr>
      <w:tr>
        <w:trPr>
          <w:trHeight w:val="217"/>
        </w:trPr>
        <w:tc>
          <w:tcPr>
            <w:tcW w:w="2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5,770,516</w:t>
            </w: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$ 57,705</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$ 387,222,506</w:t>
            </w:r>
          </w:p>
        </w:tc>
        <w:tc>
          <w:tcPr>
            <w:tcW w:w="24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(85,188</w:t>
            </w:r>
          </w:p>
        </w:tc>
        <w:tc>
          <w:tcPr>
            <w:tcW w:w="160" w:type="dxa"/>
            <w:vAlign w:val="bottom"/>
            <w:tcBorders>
              <w:top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(323,137,741</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64,053,512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2022 AND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8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9"/>
        </w:trPr>
        <w:tc>
          <w:tcPr>
            <w:tcW w:w="2340" w:type="dxa"/>
            <w:vAlign w:val="bottom"/>
          </w:tcPr>
          <w:p>
            <w:pPr>
              <w:spacing w:after="0"/>
              <w:rPr>
                <w:sz w:val="22"/>
                <w:szCs w:val="22"/>
                <w:color w:val="auto"/>
              </w:rPr>
            </w:pPr>
          </w:p>
        </w:tc>
        <w:tc>
          <w:tcPr>
            <w:tcW w:w="18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2"/>
                <w:szCs w:val="22"/>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20" w:type="dxa"/>
            <w:vAlign w:val="bottom"/>
          </w:tcPr>
          <w:p>
            <w:pPr>
              <w:spacing w:after="0"/>
              <w:rPr>
                <w:sz w:val="22"/>
                <w:szCs w:val="22"/>
                <w:color w:val="auto"/>
              </w:rPr>
            </w:pPr>
          </w:p>
        </w:tc>
        <w:tc>
          <w:tcPr>
            <w:tcW w:w="1800" w:type="dxa"/>
            <w:vAlign w:val="bottom"/>
            <w:gridSpan w:val="8"/>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360" w:type="dxa"/>
            <w:vAlign w:val="bottom"/>
            <w:gridSpan w:val="5"/>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2340" w:type="dxa"/>
            <w:vAlign w:val="bottom"/>
          </w:tcPr>
          <w:p>
            <w:pPr>
              <w:spacing w:after="0"/>
              <w:rPr>
                <w:sz w:val="20"/>
                <w:szCs w:val="20"/>
                <w:color w:val="auto"/>
              </w:rPr>
            </w:pPr>
          </w:p>
        </w:tc>
        <w:tc>
          <w:tcPr>
            <w:tcW w:w="10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3"/>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3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5,770,516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$ 57,705</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$ 388,600,979</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(85,188)</w:t>
            </w:r>
          </w:p>
        </w:tc>
        <w:tc>
          <w:tcPr>
            <w:tcW w:w="2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(7,974)</w:t>
            </w:r>
          </w:p>
        </w:tc>
        <w:tc>
          <w:tcPr>
            <w:tcW w:w="1420" w:type="dxa"/>
            <w:vAlign w:val="bottom"/>
            <w:gridSpan w:val="5"/>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(332,769,591)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55,795,931</w:t>
            </w:r>
          </w:p>
        </w:tc>
        <w:tc>
          <w:tcPr>
            <w:tcW w:w="80" w:type="dxa"/>
            <w:vAlign w:val="bottom"/>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gridSpan w:val="5"/>
          </w:tcPr>
          <w:p>
            <w:pPr>
              <w:jc w:val="right"/>
              <w:ind w:right="121"/>
              <w:spacing w:after="0"/>
              <w:rPr>
                <w:sz w:val="20"/>
                <w:szCs w:val="20"/>
                <w:color w:val="auto"/>
              </w:rPr>
            </w:pPr>
            <w:r>
              <w:rPr>
                <w:rFonts w:ascii="Times New Roman" w:cs="Times New Roman" w:eastAsia="Times New Roman" w:hAnsi="Times New Roman"/>
                <w:sz w:val="18"/>
                <w:szCs w:val="18"/>
                <w:color w:val="auto"/>
              </w:rPr>
              <w:t>(16,517,269)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(16,517,269)</w:t>
            </w: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financing facilities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1,328,274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13,283</w:t>
            </w: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6,326,086</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6,339,369</w:t>
            </w:r>
          </w:p>
        </w:tc>
        <w:tc>
          <w:tcPr>
            <w:tcW w:w="80" w:type="dxa"/>
            <w:vAlign w:val="bottom"/>
          </w:tcPr>
          <w:p>
            <w:pPr>
              <w:spacing w:after="0"/>
              <w:rPr>
                <w:sz w:val="20"/>
                <w:szCs w:val="20"/>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gains</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net, on investments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(62,060)</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(62,060)</w:t>
            </w: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5"/>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1,486,522</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1,486,522</w:t>
            </w:r>
          </w:p>
        </w:tc>
        <w:tc>
          <w:tcPr>
            <w:tcW w:w="80" w:type="dxa"/>
            <w:vAlign w:val="bottom"/>
          </w:tcPr>
          <w:p>
            <w:pPr>
              <w:spacing w:after="0"/>
              <w:rPr>
                <w:sz w:val="22"/>
                <w:szCs w:val="22"/>
                <w:color w:val="auto"/>
              </w:rPr>
            </w:pPr>
          </w:p>
        </w:tc>
      </w:tr>
      <w:tr>
        <w:trPr>
          <w:trHeight w:val="230"/>
        </w:trPr>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7,098,741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$ 70,988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$ 396,413,587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(85,188</w:t>
            </w:r>
          </w:p>
        </w:tc>
        <w:tc>
          <w:tcPr>
            <w:tcW w:w="260" w:type="dxa"/>
            <w:vAlign w:val="bottom"/>
            <w:tcBorders>
              <w:top w:val="single" w:sz="8" w:color="CCEEFF"/>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(70,034</w:t>
            </w:r>
          </w:p>
        </w:tc>
        <w:tc>
          <w:tcPr>
            <w:tcW w:w="180" w:type="dxa"/>
            <w:vAlign w:val="bottom"/>
            <w:tcBorders>
              <w:top w:val="single" w:sz="8" w:color="CCEEFF"/>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(349,286,860</w:t>
            </w:r>
          </w:p>
        </w:tc>
        <w:tc>
          <w:tcPr>
            <w:tcW w:w="260" w:type="dxa"/>
            <w:vAlign w:val="bottom"/>
            <w:tcBorders>
              <w:top w:val="single" w:sz="8" w:color="CCEEFF"/>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47,042,493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0"/>
        </w:trPr>
        <w:tc>
          <w:tcPr>
            <w:tcW w:w="2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340" w:type="dxa"/>
            <w:vAlign w:val="bottom"/>
          </w:tcPr>
          <w:p>
            <w:pPr>
              <w:spacing w:after="0"/>
              <w:rPr>
                <w:sz w:val="18"/>
                <w:szCs w:val="18"/>
                <w:color w:val="auto"/>
              </w:rPr>
            </w:pPr>
          </w:p>
        </w:tc>
        <w:tc>
          <w:tcPr>
            <w:tcW w:w="18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9"/>
        </w:trPr>
        <w:tc>
          <w:tcPr>
            <w:tcW w:w="2340" w:type="dxa"/>
            <w:vAlign w:val="bottom"/>
          </w:tcPr>
          <w:p>
            <w:pPr>
              <w:spacing w:after="0"/>
              <w:rPr>
                <w:sz w:val="22"/>
                <w:szCs w:val="22"/>
                <w:color w:val="auto"/>
              </w:rPr>
            </w:pPr>
          </w:p>
        </w:tc>
        <w:tc>
          <w:tcPr>
            <w:tcW w:w="18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2"/>
                <w:szCs w:val="22"/>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20" w:type="dxa"/>
            <w:vAlign w:val="bottom"/>
          </w:tcPr>
          <w:p>
            <w:pPr>
              <w:spacing w:after="0"/>
              <w:rPr>
                <w:sz w:val="22"/>
                <w:szCs w:val="22"/>
                <w:color w:val="auto"/>
              </w:rPr>
            </w:pPr>
          </w:p>
        </w:tc>
        <w:tc>
          <w:tcPr>
            <w:tcW w:w="1800" w:type="dxa"/>
            <w:vAlign w:val="bottom"/>
            <w:gridSpan w:val="8"/>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360" w:type="dxa"/>
            <w:vAlign w:val="bottom"/>
            <w:gridSpan w:val="5"/>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2340" w:type="dxa"/>
            <w:vAlign w:val="bottom"/>
          </w:tcPr>
          <w:p>
            <w:pPr>
              <w:spacing w:after="0"/>
              <w:rPr>
                <w:sz w:val="20"/>
                <w:szCs w:val="20"/>
                <w:color w:val="auto"/>
              </w:rPr>
            </w:pPr>
          </w:p>
        </w:tc>
        <w:tc>
          <w:tcPr>
            <w:tcW w:w="10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 w:type="dxa"/>
            <w:vAlign w:val="bottom"/>
          </w:tcPr>
          <w:p>
            <w:pPr>
              <w:spacing w:after="0"/>
              <w:rPr>
                <w:sz w:val="20"/>
                <w:szCs w:val="20"/>
                <w:color w:val="auto"/>
              </w:rPr>
            </w:pPr>
          </w:p>
        </w:tc>
        <w:tc>
          <w:tcPr>
            <w:tcW w:w="7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3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2,713,402</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$ 27,134</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$ 330,669,476</w:t>
            </w: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gridSpan w:val="5"/>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(85,188)</w:t>
            </w:r>
          </w:p>
        </w:tc>
        <w:tc>
          <w:tcPr>
            <w:tcW w:w="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5"/>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(312,000,341)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18,611,081</w:t>
            </w:r>
          </w:p>
        </w:tc>
        <w:tc>
          <w:tcPr>
            <w:tcW w:w="80" w:type="dxa"/>
            <w:vAlign w:val="bottom"/>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5"/>
          </w:tcPr>
          <w:p>
            <w:pPr>
              <w:jc w:val="right"/>
              <w:ind w:right="101"/>
              <w:spacing w:after="0"/>
              <w:rPr>
                <w:sz w:val="20"/>
                <w:szCs w:val="20"/>
                <w:color w:val="auto"/>
              </w:rPr>
            </w:pPr>
            <w:r>
              <w:rPr>
                <w:rFonts w:ascii="Times New Roman" w:cs="Times New Roman" w:eastAsia="Times New Roman" w:hAnsi="Times New Roman"/>
                <w:sz w:val="18"/>
                <w:szCs w:val="18"/>
                <w:color w:val="auto"/>
              </w:rPr>
              <w:t>(11,137,400)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(11,137,400)</w:t>
            </w: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facilities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2,975,503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29,755</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52,667,510</w:t>
            </w: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5"/>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52,697,265</w:t>
            </w:r>
          </w:p>
        </w:tc>
        <w:tc>
          <w:tcPr>
            <w:tcW w:w="80" w:type="dxa"/>
            <w:vAlign w:val="bottom"/>
            <w:shd w:val="clear" w:color="auto" w:fill="CCEEFF"/>
          </w:tcPr>
          <w:p>
            <w:pPr>
              <w:spacing w:after="0"/>
              <w:rPr>
                <w:sz w:val="20"/>
                <w:szCs w:val="20"/>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exercise</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of common stock warrants,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net of fees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81,111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811</w:t>
            </w: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1,507,855</w:t>
            </w: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1,508,666</w:t>
            </w:r>
          </w:p>
        </w:tc>
        <w:tc>
          <w:tcPr>
            <w:tcW w:w="80" w:type="dxa"/>
            <w:vAlign w:val="bottom"/>
          </w:tcPr>
          <w:p>
            <w:pPr>
              <w:spacing w:after="0"/>
              <w:rPr>
                <w:sz w:val="20"/>
                <w:szCs w:val="20"/>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exercise</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options to purchase</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4,720</w:t>
            </w: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5"/>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4,725</w:t>
            </w:r>
          </w:p>
        </w:tc>
        <w:tc>
          <w:tcPr>
            <w:tcW w:w="80" w:type="dxa"/>
            <w:vAlign w:val="bottom"/>
            <w:shd w:val="clear" w:color="auto" w:fill="CCEEFF"/>
          </w:tcPr>
          <w:p>
            <w:pPr>
              <w:spacing w:after="0"/>
              <w:rPr>
                <w:sz w:val="20"/>
                <w:szCs w:val="20"/>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(losses), net, on investments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(3,770)</w:t>
            </w:r>
          </w:p>
        </w:tc>
        <w:tc>
          <w:tcPr>
            <w:tcW w:w="142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(3,770)</w:t>
            </w: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2,372,945</w:t>
            </w: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5"/>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2,372,945</w:t>
            </w:r>
          </w:p>
        </w:tc>
        <w:tc>
          <w:tcPr>
            <w:tcW w:w="80" w:type="dxa"/>
            <w:vAlign w:val="bottom"/>
            <w:shd w:val="clear" w:color="auto" w:fill="CCEEFF"/>
          </w:tcPr>
          <w:p>
            <w:pPr>
              <w:spacing w:after="0"/>
              <w:rPr>
                <w:sz w:val="23"/>
                <w:szCs w:val="23"/>
                <w:color w:val="auto"/>
              </w:rPr>
            </w:pPr>
          </w:p>
        </w:tc>
      </w:tr>
      <w:tr>
        <w:trPr>
          <w:trHeight w:val="216"/>
        </w:trPr>
        <w:tc>
          <w:tcPr>
            <w:tcW w:w="2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5,770,516</w:t>
            </w:r>
          </w:p>
        </w:tc>
        <w:tc>
          <w:tcPr>
            <w:tcW w:w="24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$ 57,705</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$ 387,222,506</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(85,188</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60" w:type="dxa"/>
            <w:vAlign w:val="bottom"/>
            <w:tcBorders>
              <w:top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gridSpan w:val="2"/>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 (323,137,741</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64,053,512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Celsion Corporation (“Celsion” and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 and</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 proprietary heat-activated liposomal encapsulation of doxorubicin, currently under investigator-sponsored development for several cancer indications.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accounts of the Company and its wholly owned subsidiaries, CLSN Laboratories, Inc. and Celsion, GmbH, have been prepared in accordance with generally accepted accounting principles in the United States (GAAP) for interim financial information and with the instructions to Form 10-Q and Article 10 of Regulation S-X. All significant intercompany balances and transactions have been eliminated in consolidation. During the quarter, there have been no changes to the Company’s accounting policies. Certain information and disclosures normally included in financial statements prepared in accordance with GAAP have been condensed or omitted pursuant to such rules and regulations.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three-month and six-month periods ended June 30, 2022 and 2021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2021, filed with the Securities and Exchange Commission (SEC) on March 31, 2022.</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The Company continues to monitor the impact of the COVID-19 pandemic on its financial condition and results of operations, along with the valuation of its long-term assets and intangible assets. The effect of this matter could potentially have an impact on the valuation of such assets in the future.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Acquired in-process research and development (“IPR&amp;D”) in years prior to 2022 has been reviewed for impairment at least annually in the third quarter of each year, and whenever events or changes in circumstances indicate that the carrying value of the assets might not be recoverable. Starting in 2022, the Company will review its IPR&amp;D annually in the fourth quarter of each year, and whenever events or changes in circumstances indicate that the carrying value of the assets might not be recoverable (see Note 8).</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$48.1 million in cash and cash equivalents, short-term investments, interest receivable and restricted cash, coupled with approximately $3.5 million of future planned sales of the Company’s State of New Jersey net operating losses, the Company believes it has sufficient capital resources to fund its operations into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New Accounting Pronouncements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condensed consolidated financial position, results of operations, and cash flows, or do not apply to our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upcoming elimination of the London Inter-bank Offered Rate, (“LIBOR”) and other reference interest rates, the FASB issued ASU 2020-04, </w:t>
      </w:r>
      <w:r>
        <w:rPr>
          <w:rFonts w:ascii="Times New Roman" w:cs="Times New Roman" w:eastAsia="Times New Roman" w:hAnsi="Times New Roman"/>
          <w:sz w:val="18"/>
          <w:szCs w:val="18"/>
          <w:i w:val="1"/>
          <w:iCs w:val="1"/>
          <w:color w:val="auto"/>
        </w:rPr>
        <w:t>Reference Rate Reform (Topic 848) Facilitation of the Effects of Reference Reform on Financial Reporting</w:t>
      </w:r>
      <w:r>
        <w:rPr>
          <w:rFonts w:ascii="Times New Roman" w:cs="Times New Roman" w:eastAsia="Times New Roman" w:hAnsi="Times New Roman"/>
          <w:sz w:val="18"/>
          <w:szCs w:val="18"/>
          <w:color w:val="auto"/>
        </w:rPr>
        <w:t>. ASU 2020-04, which is available for contract modifications and hedging relationship modifications entered into or evaluated before December 31, 2022, provides certain practical expedients related to simplifying the accounting for contract modifications resulting from the change in terms from LIBOR to a new required interest rate benchmark. The Company does not believe this pronouncement will have a material impact on its consolidated financial statements.</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May 2021, the FASB issued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 consensus of the FASB Emerging Issues Task Force)”. This ASU is intended to clarify and reduce diversity in an issuer’s accounting for modifications or exchanges of freestanding equity-classified written call options that remain equity classified after modification or exchange. The guidance clarifies whether an issuer should account for a modification or an exchange of a freestanding equity-classified written call option that remains equity classified after modification or exchange as: (1) an adjustment to equity and, if so, the related earnings per share effects, if any, or (2) an expense and, if so, the manner and pattern of recognition. The amendments in this ASU affect all entities that issue freestanding written call options that are classified in equity. The amendments do not apply to modifications or exchanges of financial instruments that are within the scope of another Topic and do not affect a holder’s accounting for freestanding call options. The amendments in this ASU are effective for all entities for fiscal years beginning after December 15, 2021, including interim periods within those fiscal years. An entity should apply the amendments prospectively to modifications or exchanges occurring on or after the effective date of the amendments. Early adoption is permitted for all entities, including adoption in an interim period. The Company adopted this standard during the first quarter of 2022. The adoption of ASU 2021-04 did not have an impact on the Company’s consolidated financial statements since the Company has not modified its freestanding call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Restricted Cash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condition of the $10 million SVB Loan Facility entered into on June 18, 2021 as further discussed in Note 10, the Company is required at all times to maintain on deposit with SVB as cash collateral in a segregated money market bank account in the name of the Company, unrestricted and unencumbered cash (other than a lien in favor of SVB) in an amount of at least 100% of the aggregate outstanding amount of the SVB loan facility. SVB may restrict withdrawals or transfers by or on behalf of the Company that would violate this requirement. The required reserve totaled $6.0 million as of June 30, 2022 and December 31, 2021. This amount is presented in part as restricted cash in other non-current assets on the accompanying condensed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cash and cash equivalents and restricted cash per the balance sheet to the condensed 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60" w:type="dxa"/>
            <w:vAlign w:val="bottom"/>
          </w:tcPr>
          <w:p>
            <w:pPr>
              <w:spacing w:after="0"/>
              <w:rPr>
                <w:sz w:val="21"/>
                <w:szCs w:val="21"/>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26,742,128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26,437,424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investments, restricted</w:t>
            </w: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6,000,000</w:t>
            </w: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r>
      <w:tr>
        <w:trPr>
          <w:trHeight w:val="230"/>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32,742,128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32,437,424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Net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number of shares of common stock issuable upon exercise of warrants, stock option grants and equity awards were 1,102,554 and 621,681 shares for the three-month and six-month periods ended June 30, 2022 and 2021, respectively. For the three-month and six-month periods ended June 30, 2022 and 2021,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first six months of 2022 or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6. Investment in Debt Securities-Available for Sale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debt securities available for sale with a fair value of $15,371,480 and $29,803,095 as of June 30, 2022 and December 31, 2021, respectively, which consisted of U.S. Treasury securities and corporate debt securities. These investments are valued at estimated fair value, with unrealized gains and losses reported as a separate component of stockholders’ equity in accumulated other comprehensive loss.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 A summary of the cost, fair value and maturities of the Company’s short-term investments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0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40" w:type="dxa"/>
            <w:vAlign w:val="bottom"/>
          </w:tcPr>
          <w:p>
            <w:pPr>
              <w:spacing w:after="0"/>
              <w:rPr>
                <w:sz w:val="21"/>
                <w:szCs w:val="21"/>
                <w:color w:val="auto"/>
              </w:rPr>
            </w:pPr>
          </w:p>
        </w:tc>
        <w:tc>
          <w:tcPr>
            <w:tcW w:w="264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36"/>
        </w:trPr>
        <w:tc>
          <w:tcPr>
            <w:tcW w:w="5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20"/>
                <w:szCs w:val="20"/>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14,786,982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14,778,705</w:t>
            </w:r>
          </w:p>
        </w:tc>
        <w:tc>
          <w:tcPr>
            <w:tcW w:w="80" w:type="dxa"/>
            <w:vAlign w:val="bottom"/>
          </w:tcPr>
          <w:p>
            <w:pPr>
              <w:spacing w:after="0"/>
              <w:rPr>
                <w:sz w:val="18"/>
                <w:szCs w:val="18"/>
                <w:color w:val="auto"/>
              </w:rPr>
            </w:pPr>
          </w:p>
        </w:tc>
      </w:tr>
      <w:tr>
        <w:trPr>
          <w:trHeight w:val="24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15,441,515</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15,371,480</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15,024,087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15,024,390</w:t>
            </w:r>
          </w:p>
        </w:tc>
        <w:tc>
          <w:tcPr>
            <w:tcW w:w="80" w:type="dxa"/>
            <w:vAlign w:val="bottom"/>
            <w:shd w:val="clear" w:color="auto" w:fill="CCEEFF"/>
          </w:tcPr>
          <w:p>
            <w:pPr>
              <w:spacing w:after="0"/>
              <w:rPr>
                <w:sz w:val="21"/>
                <w:szCs w:val="21"/>
                <w:color w:val="auto"/>
              </w:rPr>
            </w:pPr>
          </w:p>
        </w:tc>
      </w:tr>
      <w:tr>
        <w:trPr>
          <w:trHeight w:val="217"/>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15,441,515</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15,371,480</w:t>
            </w: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29,811,069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29,803,095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0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40" w:type="dxa"/>
            <w:vAlign w:val="bottom"/>
          </w:tcPr>
          <w:p>
            <w:pPr>
              <w:spacing w:after="0"/>
              <w:rPr>
                <w:sz w:val="21"/>
                <w:szCs w:val="21"/>
                <w:color w:val="auto"/>
              </w:rPr>
            </w:pPr>
          </w:p>
        </w:tc>
        <w:tc>
          <w:tcPr>
            <w:tcW w:w="264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37"/>
        </w:trPr>
        <w:tc>
          <w:tcPr>
            <w:tcW w:w="5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20"/>
                <w:szCs w:val="20"/>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 maturities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Within 3 months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4,988,687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4,981,340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19,798,177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19,799,835</w:t>
            </w:r>
          </w:p>
        </w:tc>
        <w:tc>
          <w:tcPr>
            <w:tcW w:w="80" w:type="dxa"/>
            <w:vAlign w:val="bottom"/>
          </w:tcPr>
          <w:p>
            <w:pPr>
              <w:spacing w:after="0"/>
              <w:rPr>
                <w:sz w:val="18"/>
                <w:szCs w:val="18"/>
                <w:color w:val="auto"/>
              </w:rPr>
            </w:pPr>
          </w:p>
        </w:tc>
      </w:tr>
      <w:tr>
        <w:trPr>
          <w:trHeight w:val="24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3-12 months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10,452,828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10,390,140</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10,012,892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10,003,260</w:t>
            </w:r>
          </w:p>
        </w:tc>
        <w:tc>
          <w:tcPr>
            <w:tcW w:w="80" w:type="dxa"/>
            <w:vAlign w:val="bottom"/>
            <w:shd w:val="clear" w:color="auto" w:fill="CCEEFF"/>
          </w:tcPr>
          <w:p>
            <w:pPr>
              <w:spacing w:after="0"/>
              <w:rPr>
                <w:sz w:val="21"/>
                <w:szCs w:val="21"/>
                <w:color w:val="auto"/>
              </w:rPr>
            </w:pPr>
          </w:p>
        </w:tc>
      </w:tr>
      <w:tr>
        <w:trPr>
          <w:trHeight w:val="216"/>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15,441,515</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15,371,480</w:t>
            </w: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29,811,069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29,803,095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June 30, 2022 and December 31, 2021. The Company has reviewed individual securities to determine whether a decline in fair value below the amortizable cost basis is other than temporary.</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Available for sale securities (all unrealized holding gains and losses are less than 12 months at date of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1457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166" w:lineRule="exact"/>
        <w:rPr>
          <w:sz w:val="20"/>
          <w:szCs w:val="20"/>
          <w:color w:val="auto"/>
        </w:rPr>
      </w:pPr>
    </w:p>
    <w:p>
      <w:pPr>
        <w:ind w:right="860"/>
        <w:spacing w:after="0" w:line="263" w:lineRule="auto"/>
        <w:rPr>
          <w:sz w:val="20"/>
          <w:szCs w:val="20"/>
          <w:color w:val="auto"/>
        </w:rPr>
      </w:pPr>
      <w:r>
        <w:rPr>
          <w:rFonts w:ascii="Times New Roman" w:cs="Times New Roman" w:eastAsia="Times New Roman" w:hAnsi="Times New Roman"/>
          <w:sz w:val="18"/>
          <w:szCs w:val="18"/>
          <w:color w:val="auto"/>
        </w:rPr>
        <w:t>Investments in debt securities with unrealized gains Investments in debt securities with unrealized losses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40" w:type="dxa"/>
            <w:vAlign w:val="bottom"/>
          </w:tcPr>
          <w:p>
            <w:pPr>
              <w:spacing w:after="0"/>
              <w:rPr>
                <w:sz w:val="21"/>
                <w:szCs w:val="21"/>
                <w:color w:val="auto"/>
              </w:rPr>
            </w:pPr>
          </w:p>
        </w:tc>
        <w:tc>
          <w:tcPr>
            <w:tcW w:w="3020" w:type="dxa"/>
            <w:vAlign w:val="bottom"/>
            <w:gridSpan w:val="6"/>
          </w:tcPr>
          <w:p>
            <w:pPr>
              <w:jc w:val="right"/>
              <w:ind w:right="1141"/>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Pr>
          <w:p>
            <w:pPr>
              <w:spacing w:after="0"/>
              <w:rPr>
                <w:sz w:val="21"/>
                <w:szCs w:val="21"/>
                <w:color w:val="auto"/>
              </w:rPr>
            </w:pPr>
          </w:p>
        </w:tc>
        <w:tc>
          <w:tcPr>
            <w:tcW w:w="2700" w:type="dxa"/>
            <w:vAlign w:val="bottom"/>
            <w:gridSpan w:val="7"/>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94"/>
        </w:trPr>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60" w:type="dxa"/>
            <w:vAlign w:val="bottom"/>
            <w:gridSpan w:val="2"/>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Holding</w:t>
            </w:r>
          </w:p>
        </w:tc>
      </w:tr>
      <w:tr>
        <w:trPr>
          <w:trHeight w:val="216"/>
        </w:trPr>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Gains</w:t>
            </w:r>
          </w:p>
        </w:tc>
      </w:tr>
      <w:tr>
        <w:trPr>
          <w:trHeight w:val="245"/>
        </w:trPr>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60" w:type="dxa"/>
            <w:vAlign w:val="bottom"/>
            <w:gridSpan w:val="2"/>
          </w:tcPr>
          <w:p>
            <w:pPr>
              <w:spacing w:after="0"/>
              <w:rPr>
                <w:sz w:val="21"/>
                <w:szCs w:val="21"/>
                <w:color w:val="auto"/>
              </w:rPr>
            </w:pPr>
          </w:p>
        </w:tc>
      </w:tr>
      <w:tr>
        <w:trPr>
          <w:trHeight w:val="414"/>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998,920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4,852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8,999,580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3,499</w:t>
            </w:r>
          </w:p>
        </w:tc>
        <w:tc>
          <w:tcPr>
            <w:tcW w:w="40" w:type="dxa"/>
            <w:vAlign w:val="bottom"/>
          </w:tcPr>
          <w:p>
            <w:pPr>
              <w:spacing w:after="0"/>
              <w:rPr>
                <w:sz w:val="24"/>
                <w:szCs w:val="24"/>
                <w:color w:val="auto"/>
              </w:rPr>
            </w:pPr>
          </w:p>
        </w:tc>
      </w:tr>
      <w:tr>
        <w:trPr>
          <w:trHeight w:val="255"/>
        </w:trPr>
        <w:tc>
          <w:tcPr>
            <w:tcW w:w="14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14,372,560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(74,886)</w:t>
            </w:r>
          </w:p>
        </w:tc>
        <w:tc>
          <w:tcPr>
            <w:tcW w:w="14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20,803,515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(11,473)</w:t>
            </w:r>
          </w:p>
        </w:tc>
      </w:tr>
      <w:tr>
        <w:trPr>
          <w:trHeight w:val="23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15,371,480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(70,034</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29,803,095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-471170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-179070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40" w:space="560"/>
            <w:col w:w="6040"/>
          </w:cols>
          <w:pgMar w:left="320" w:top="657" w:right="3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Investment (loss) income, which includes net realized losses on sales of available for sale securities and investment income interest and dividends, is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7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25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61,951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2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(21,596)</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(1,785)</w:t>
            </w:r>
          </w:p>
        </w:tc>
      </w:tr>
      <w:tr>
        <w:trPr>
          <w:trHeight w:val="229"/>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40,355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36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76,393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3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(23,934)</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3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36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52,459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680" w:type="dxa"/>
            <w:vAlign w:val="bottom"/>
            <w:vMerge w:val="restart"/>
          </w:tcPr>
          <w:p>
            <w:pPr>
              <w:jc w:val="right"/>
              <w:ind w:right="207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FASB ASC Section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5" w:lineRule="exact"/>
        <w:rPr>
          <w:sz w:val="20"/>
          <w:szCs w:val="20"/>
          <w:color w:val="auto"/>
        </w:rPr>
      </w:pPr>
    </w:p>
    <w:p>
      <w:pPr>
        <w:ind w:left="580" w:right="2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or identical assets or liabilities in active markets that the entity has the ability to access as of the measurement date;</w:t>
      </w:r>
    </w:p>
    <w:p>
      <w:pPr>
        <w:spacing w:after="0" w:line="162" w:lineRule="exact"/>
        <w:rPr>
          <w:sz w:val="20"/>
          <w:szCs w:val="20"/>
          <w:color w:val="auto"/>
        </w:rPr>
      </w:pPr>
    </w:p>
    <w:p>
      <w:pPr>
        <w:ind w:left="580" w:right="20"/>
        <w:spacing w:after="0" w:line="282" w:lineRule="auto"/>
        <w:rPr>
          <w:sz w:val="20"/>
          <w:szCs w:val="20"/>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62"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Level 3: Significant unobservable inputs that reflect a reporting entity’s own assumptions that market participants would use in pricing an asset or liability.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and cash equivalents, other current assets, accounts payable and other accrued liabilities are reflected in the condensed consolidated balance sheets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2022 and 2021. There were no transfers of assets or liabilities between Level 1 and Level 2 and no transfers in or out of Level 3 during the six-month period ended June 30, 2022 or during the year ended December 31, 2021. The change in Level 3 liabilities in the first quarter of 2022 was the result of a change in the fair value of the earn-out milestone liability which is included in earnings and in-process R&amp;D. During the second quarter there was no change in the fair value of the earn-out milestone liability. The earnout milestone liability is valued using a risk-adjusted assessment of the probability of payment of each milestone, discounted to present value using an estimated time to achieve the milestone (see Note 13).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Assets and liabilities measured at fair value are summarized below:</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Quoted Prices in</w:t>
            </w:r>
          </w:p>
        </w:tc>
        <w:tc>
          <w:tcPr>
            <w:tcW w:w="12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6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 Fair</w:t>
            </w: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Assets/Liabilities</w:t>
            </w: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5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June 30, 2022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 available for sale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15,371,480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15,371,480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items as of June 30, 2022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In-process R&amp;D (Note 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13,366,234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December 31, 2021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 available for sale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29,803,095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29,803,095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items as of December 31, 2021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In-process R&amp;D (Note 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13,366,234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June 30, 2022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milestone liability (Note 13)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5,396,000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5,396,000</w:t>
            </w:r>
          </w:p>
        </w:tc>
      </w:tr>
      <w:tr>
        <w:trPr>
          <w:trHeight w:val="216"/>
        </w:trPr>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December 31, 2021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Earn-out milestone liability (Note 13)</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5,396,000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5,396,000</w:t>
            </w:r>
          </w:p>
        </w:tc>
      </w:tr>
      <w:tr>
        <w:trPr>
          <w:trHeight w:val="439"/>
        </w:trPr>
        <w:tc>
          <w:tcPr>
            <w:tcW w:w="5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2014, the Company completed the acquisition of substantially all of the assets of EGEN, Inc., an Alabama corporation (“EGEN”), which changed its company name to EGWU, Inc. after the closing of the acquisition (the “EGEN Acquisition”).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Acquired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has been reviewed for impairment at least annually in the third quarter of each year, and whenever events or changes in circumstances indicate that the carrying value of the assets might not be recoverable. As a result of the Company’s review for impairment, the IPR&amp;D was impaired over the past 8 years to its current fair value of $13.4 million. Starting in 2022, the Company will review its IPR&amp;D annually in the fourth quarter of each year, and whenever events or changes in circumstances indicate that the carrying value of the assets might not be recoverable (see Note 2). The Company’s IPR&amp;D consisted of three core elements, its RNA delivery system, its glioblastoma multiforme cancer (“GBM”) product candidate and its ovarian cancer indication.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ovarian cancer indication, with original value of $13.3 million, has not been impaired since its acquisition. At June 30, 2022, the Company evaluated the IPR&amp;D for the ovarian cancer indication. As part of the valuation analysis, the fair value of the intangible assets was estimated by discounting forecasted risk adjusted cash flows at a rate that approximated the cost of capital of a market participant. Management’s forecast of future cash flows was based on the income approach. Significant estimates, all of which are considered Level 3 inputs, were used in the fair value methodology, including the Company’s forecast regarding its future operations and likeliness of obtaining approval to sell its products, as well as other market conditions. Changes in these estimates could change the forecasted cash flows attributed to the IPR&amp;D which could have a significant impact on the fair value of these assets. Based on this valuation analysis, the Company concluded that it is not more than likely that the asset is impaired as of June 30, 2022. As such, no impairment charges for IPR&amp;D related to the ovarian cancer indication were recorded during the three-month and six-month periods ended June 30, 2022 and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Not to Compete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would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$56,829 during each of the three-month and six-month periods ended June 30, 2021. The carrying value of the Covenant Not to Compete was fully amortized as of June 30,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the Company’s third quarter ended September 30 or sooner if the Company believes indicators of impairment exist. Due to the continuing slowdown in investment in 2021 by public capital markets in the biotech industry and its impact on market capitalization rates in this sector, Goodwill was reviewed for impairment as of December 31, 2021. Based on this assessment, Company concluded that Goodwill was impaired. As of December 31, 2021, the Company wrote off the $2.0 million carrying value of this asset, thereby recognizing a non-cash charge of $2.0 million in the fourth quarter of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Following is a summary of the net fair value of the assets acquired in the EGEN asset acquisition for the six-month period ended June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IPR&amp;D</w:t>
            </w:r>
          </w:p>
        </w:tc>
      </w:tr>
      <w:tr>
        <w:trPr>
          <w:trHeight w:val="216"/>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tc>
        <w:tc>
          <w:tcPr>
            <w:tcW w:w="4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2022, net</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13,366,234</w:t>
            </w:r>
          </w:p>
        </w:tc>
        <w:tc>
          <w:tcPr>
            <w:tcW w:w="60" w:type="dxa"/>
            <w:vAlign w:val="bottom"/>
          </w:tcPr>
          <w:p>
            <w:pPr>
              <w:spacing w:after="0"/>
              <w:rPr>
                <w:sz w:val="18"/>
                <w:szCs w:val="18"/>
                <w:color w:val="auto"/>
              </w:rPr>
            </w:pPr>
          </w:p>
        </w:tc>
      </w:tr>
      <w:tr>
        <w:trPr>
          <w:trHeight w:val="24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4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7"/>
        </w:trPr>
        <w:tc>
          <w:tcPr>
            <w:tcW w:w="7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June 30, 2022, net</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13,366,234</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Accrued Liabilities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at June 30, 2022 and December 31, 2021 include the following:</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8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2,294,622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2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1,057,475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1,636,727</w:t>
            </w:r>
          </w:p>
        </w:tc>
        <w:tc>
          <w:tcPr>
            <w:tcW w:w="8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16,792</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395,074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87,250</w:t>
            </w:r>
          </w:p>
        </w:tc>
      </w:tr>
      <w:tr>
        <w:trPr>
          <w:trHeight w:val="25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19,412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31,412</w:t>
            </w:r>
          </w:p>
        </w:tc>
      </w:tr>
      <w:tr>
        <w:trPr>
          <w:trHeight w:val="216"/>
        </w:trPr>
        <w:tc>
          <w:tcPr>
            <w:tcW w:w="7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3,788,458</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3,173,537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SVB Loan Facility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18, 2021, the Company entered into a $10 million loan facility (the “SVB Loan Facility”) with Silicon Valley Bank (“SVB”). Celsion immediately used $6 million from the SVB Loan Facility to retire all outstanding indebtedness with Horizon Technology Finance Corporation as further discussed below. Concurrently with this transaction, the Company used $6.0 million of other available funds to establish a restricted cash account which serves as security for the SVB Loan Facility.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SVB Loan Facility is in the form of money market secured indebtedness bearing interest at a calculated WSJ Prime-based variable rate (currently 5.50%). A final payment equal to 3% of the total $10 million commitment amount is due upon maturity or prepayment of the SVB Loan Facility. There was no facility commitment fee and no stock or warrants were issued to SVB. Payments under the loan agreement are interest only for the first 24 months after loan closing, followed by a 24-month amortization period of principal and interest through the scheduled maturity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SVB Loan Facility, the Company incurred financing fees and expenses totaling $243,370 which is recorded and classified as debt discount and are being amortized as interest expense using the effective interest method over the life of the loan. Also, in connection with the SVB Loan Facility, the Company is required to pay an end-of-term fee equal to 3.0% of the original loan amount at time of maturity. Therefore, these amounts totaling $300,000 are being amortized as interest expense using the effective interest method over the life of the loan. During the three-month and six-month periods ended June 30, 2022, the Company incurred interest expense of $109,084 and amortized $90,630 as interest expense for debt discounts and end-of-term fee in connection with the SVB Financing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schedule of future principal payments, net of unamortized debt discounts and amortized end-of-term fee, due on the SVB Loan Facility:</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16"/>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8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80" w:type="dxa"/>
            <w:vAlign w:val="bottom"/>
            <w:shd w:val="clear" w:color="auto" w:fill="CCEEFF"/>
          </w:tcPr>
          <w:p>
            <w:pPr>
              <w:spacing w:after="0"/>
              <w:rPr>
                <w:sz w:val="18"/>
                <w:szCs w:val="18"/>
                <w:color w:val="auto"/>
              </w:rPr>
            </w:pPr>
          </w:p>
        </w:tc>
      </w:tr>
      <w:tr>
        <w:trPr>
          <w:trHeight w:val="23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of future principal payments</w:t>
            </w:r>
          </w:p>
        </w:tc>
        <w:tc>
          <w:tcPr>
            <w:tcW w:w="2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premium, net</w:t>
            </w: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(54,909)</w:t>
            </w:r>
          </w:p>
        </w:tc>
      </w:tr>
      <w:tr>
        <w:trPr>
          <w:trHeight w:val="230"/>
        </w:trPr>
        <w:tc>
          <w:tcPr>
            <w:tcW w:w="4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5,945,091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Horizon Credit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On August 28, 2020, Horizon and the Company amended the Horizon Credit Agreement (the “Horizon Amendment”) whereby Celsion repaid $5 million of the loan’s principal with $5 million of the loan remaining outstanding.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18, 2021, as a condition of entering into the SVB Loan Facility, the Company paid the remaining outstanding principal balance, an early termination fee and the end of term charges in full satisfaction of the Horizon Credit Agreement, as amended.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is a schedule of the amounts paid to Horizon on June 18, 2021:</w:t>
            </w: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balance at June 18, 2021</w:t>
            </w:r>
          </w:p>
        </w:tc>
        <w:tc>
          <w:tcPr>
            <w:tcW w:w="7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Early termination fees</w:t>
            </w:r>
          </w:p>
        </w:tc>
        <w:tc>
          <w:tcPr>
            <w:tcW w:w="7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term charges</w:t>
            </w:r>
          </w:p>
        </w:tc>
        <w:tc>
          <w:tcPr>
            <w:tcW w:w="7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shd w:val="clear" w:color="auto" w:fill="CCEEFF"/>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7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initial fee in connection with the Horizon Credit Agreement, Celsion issued Horizon warrants exercisable for a total of 12,674 shares of Celsion’s common stock (the “Existing Warrants”) at a per share exercise price of $39.45. The Existing Warrants were immediately exercisable for cash or by net exercise from the date of grant and will expire after ten years from the date of grant. Pursuant to the Horizon Amendment, one-half of the aggregate Existing Warrants, exercisable for a total of 6,337 shares of Celsion’s common stock, were cancelled, and Celsion issued Horizon new warrants exercisable at a per share exercise price equal to $15.15 for a total of 16,501 shares of Celsion’s common stock (the “New Warrants”). The New Warrants were immediately exercisable for cash or by net exercise from the date of grant and will expire after ten years from the date of grant. The remaining 6,337 Existing Warrants issued in connection with the Horizon Credit Agreement remain outstanding at a per share exercise price of $39.45.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valued the warrants issued to Horizon using the Black-Scholes option pricing model and recorded as of the respective issuance dates a total of $507,116 for the Existing Warrants and $247,548 for the New Warrants as a direct deduction from the debt liability, consistent with the presentation of debt discounts, which was amortized as interest expense using the effective interest method over the life of the loan until the loan was terminated on June 18,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three-month and six-month periods ended June 30, 2021, the Company incurred $105,607 and $225,920, respectively, in interest expense and amortized $102,126 and $139,428, respectively, as interest expense for debt discounts and end of term charges in connection with the Horizon Credit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19, 2021, the Company filed with the SEC a new $100 million shelf registration statement on Form S-3 (the “2021 Registration Statement”) that allows the Company to issue any combination of common stock, preferred stock or warrants to purchase common stock or preferred stock. This shelf registration was declared effective on March 30,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Reverse 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2022, the Company effected a 15-for-1 reverse stock split of its common stock which was made effective for trading purposes as of the commencement of trading on March 1, 2022. As of that date, each 15 shares of issued and outstanding common stock and equivalents was consolidated into one share of common stock. All shares have been restated to reflect the effects of the 15-for-1 reverse stock split. In addition, at the market open on March 1, 2022, the Company’s common stock started trading under a new CUSIP number 15117N602 although the Company’s ticker symbol, CLSN, remained unchanged.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was previously approved by the Company’s stockholders at the 2022 Special Meeting held on February 24, 2022, and the Company subsequently filed a Certificate of Amendment to its Certificate of Incorporation to effect the stock consolidation. The primary reasons for the reverse stock split and the amendment were:</w:t>
      </w:r>
    </w:p>
    <w:p>
      <w:pPr>
        <w:spacing w:after="0" w:line="176" w:lineRule="exact"/>
        <w:rPr>
          <w:sz w:val="20"/>
          <w:szCs w:val="20"/>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Company with the ability to support its future anticipated growth and would provide greater flexibility to consider and respond to future business opportunities and needs as they arise, including equity financings and stock-based acquisitions of new technology and product development candidates. The availability of additional shares of Common Stock would permit the Company to undertake certain of the foregoing actions without delay and expense associated with holding a Special Meeting of Stockholders to obtain stockholder approval each time such an opportunity arises that would require the issuance of shares of our Common Stock;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listing on The NASDAQ Capital Market, which requires that the Company comply with the applicable listing requirements under NASDAQ Marketplace Rules, which requirements include, among others, a minimum bid price of at least $1.00 per share. On December 2, 2021, the Company received a letter from NASDAQ indicating that the closing bid price of the Company’s Common Stock fell below $1.00 per share for the previous 30 consecutive business days, and that the Company was therefore not in compliance with the minimum bid price requirement for continued inclusion on The NASDAQ Capital Market. The Company had 180 calendar days, until May 31, 2022, to regain compliance with this requirement, which occurs when the closing bid price of the Company’s Common Stock is at least $1.00 per share for a minimum of ten consecutive business days during the 180-day compliance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prior to the reverse stock split, the Company had 86,557,736 shares of common stock outstanding which consolidated into 5,770,467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amount of the Company’s outstanding convertible preferred stock was not affected by the reverse stock split. The number of outstanding options, stock awards and warrants were adjusted accordingly, with outstanding options and stock awards being reduced from approximately 6.6 million to approximately 0.4 million and outstanding warrants being reduced from approximately 2.5 million to approximately 0.2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25, 2022, the Company entered into an At the Market Offering Agreement (the “Agreement”) with H.C. Wainwright &amp; Co., LLC, as sales agent (“Wainwright”), pursuant to which the Company may offer and sell, from time to time, through Wainwright shares of common stock of Celsion having an aggregate offering price of up to $ 7,500,000. Celsion intends to use the net proceeds from the offering, if any, for general corporate purposes, including research and development activities, capital expenditures and working capital. The Company has not sold any shares under the Agreement with Wainwright in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on Demand</w:t>
      </w:r>
      <w:r>
        <w:rPr>
          <w:rFonts w:ascii="Times New Roman" w:cs="Times New Roman" w:eastAsia="Times New Roman" w:hAnsi="Times New Roman"/>
          <w:sz w:val="29"/>
          <w:szCs w:val="29"/>
          <w:i w:val="1"/>
          <w:iCs w:val="1"/>
          <w:u w:val="single" w:color="auto"/>
          <w:color w:val="auto"/>
          <w:vertAlign w:val="superscript"/>
        </w:rPr>
        <w:t>TM</w:t>
      </w:r>
      <w:r>
        <w:rPr>
          <w:rFonts w:ascii="Times New Roman" w:cs="Times New Roman" w:eastAsia="Times New Roman" w:hAnsi="Times New Roman"/>
          <w:sz w:val="18"/>
          <w:szCs w:val="18"/>
          <w:i w:val="1"/>
          <w:iCs w:val="1"/>
          <w:u w:val="single" w:color="auto"/>
          <w:color w:val="auto"/>
        </w:rPr>
        <w:t xml:space="preserve"> Sales Agreement</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4, 2018, the Company entered into the Capital on Demand Agreement with JonesTrading, pursuant to which the Company may offer and sell, from time to time, through JonesTrading, shares of common stock of Celsion having an aggregate offering price of up to $16.0 million. During the first six months of 2021, the Company has sold 0.5 million shares under the Capital on Demand Agreement, receiving approximately $6.9 million in gross proceeds. The Capital on Demand Agreement with JonesTrading was terminated in the first quarter of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January 2021 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22, 2021, the Company entered into a Securities Purchase Agreement (the “January 2021 Purchase Agreement”) with several institutional investors, pursuant to which the Company issued and sold, in a registered direct offering (the “January 2021 Offering”), an aggregate of 1,728,395 shares of the Company’s common stock at an offering price of $20.25 per share for gross proceeds of approximately $35 million before the deduction of the January 2021 Placement Agents (as defined below) fee and offering expenses. The closing of the January 2021 Offering occurred on January 26,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January 2021 Offering, the Company entered into a placement agent agreement with A.G.P./Alliance Global Partners (“AGP,” and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March 2021 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2021, the Company entered into a Securities Purchase Agreement (the “March 2021 Purchase Agreement”) with several institutional investors, pursuant to which the Company issued and sold, in a registered direct offering (the “March 2021 Offering”), an aggregate of 769,230 shares of the Company’s common stock, at an offering price of $19.50 per share for gross proceeds of approximately $15 million before the deduction of the placement agents fee and offering expenses. The closing of the offering occurred on April 5, 2021 and was accounted for in the second quarter of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March 2021 Offering, the Company entered into a placement agent agreement (the “March 2021 Placement Agent Agreement”) with AGP, as lead placement agent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March 2021 Purchase Agreement and March 2021 Placement Agent Agreement, the Company and its subsidiaries were prohibited, for a period of 90 days after the closing, from entering into any agreement to issue or announcing any issuance or proposed issuance of common stock or any other securities that are at any time convertible into, or exercisable or exchangeable for, or otherwise entitle the holder thereof to receive common stock without the prior written consent of AGP or the investors participating in the offering. For purposes of this offering, AGP and the investors from the Company’s January 2021 Offering waived a similar 90-day restriction in the placement agent agreement and purchase agreement for that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A and Series B Convertible Redeemable Preferred Stock Offering</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10, 2022, the Company entered into a Securities Purchase Agreement (the “Preferred Stock Purchase Agreement”) with several institutional investors, pursuant to which the Company agreed to issue and sell, in concurrent registered direct offerings (the “Preferred Offerings”), (i) 50,000 shares of the Company’s Series A Convertible Redeemable Preferred Stock, par value $0.01 per share (the “Series A Preferred Stock”), and (ii) 50,000 shares of the Company’s Series B Convertible Redeemable Preferred Stock, par value $0.01 per share (the “Series B Preferred Stock” and together with the Series A Preferred Stock, the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had a stated value of $300 per share and were convertible, at a conversion price of $13.65 per share, into 1,098,901 shares of common stock (subject in certain circumstances to adjustments). The shares of Series B Preferred Stock had a stated value of $300 per share and were convertible, at a conversion price of $15.00 per share, into 1,000,000 shares of common stock (subject in certain circumstances to adjustments). The closing of the Preferred Offerings occurred on January 13, 2022.</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held a special meeting of stockholders to consider an amendment (the “Amendment”) to the Company’s Certificate of Incorporation, as amended, to effect a reverse stock split of the outstanding shares of common stock (“Common Stock”) by a ratio to be determined by the Board of Directors of the Company (the “Reverse Stock Split”). The investors of the Preferred Stock Purchase Agreement had agreed to not transfer, offer, sell, contract to sell, hypothecate, pledge or otherwise dispose of the shares of the Preferred Stock until the Reverse Stock Split, to vote the shares of the Series A Preferred Stock purchased in the Preferred Offerings in favor of such Amendment and to vote the shares of the Series B Preferred Stock purchased in the Preferred Offerings in a manner that “mirrors” the proportions on which the shares of Common Stock (excluding any shares of Common Stock that are not voted) and Series A Preferred Stock are voted on the Reverse Stock Split and the Amendment.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Preferred Stock Purchase Agreement, the Company filed two certificates of designation (the “Certificates of Designation”) with the Secretary of the State of Delaware designating the rights, preferences and limitations of the shares of Preferred Stock. The Certificates of Designation provided, in particular, that the Preferred Stock had no voting rights, other than the right to vote as a class on certain specified matters, except that (i) each share of Series A Preferred Stock had the right to vote, on an as converted basis, on the Reverse Stock Split (together with the Company’s Common Stock and the Series B Preferred Stock as a single class), and (ii) each share of Series B Preferred Stock had the right to cast 3,000 votes per share of Series B Preferred Stock on the Reverse Stock Split.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holders of Preferred Stock were entitled to dividends, on an as-if converted basis, equal to dividends actually paid, if any, on shares of Common Stock. The Preferred Stock was convertible into shares of Common Stock at a rate of $13.65 per share for the Series A Preferred Stock and $15.00 per share for the Series B Preferred Stock, subject to adjustment. The Preferred Stock was convertible at the option of the holder at any time after the Company had received stockholder approval for the Reverse Stock Split and filed the requisite Amendment with the Delaware Secretary of State’s office to effectuate the Reverse Stock Split (the “Reverse Stock Split Date”), subject to beneficial ownership limitations set forth in the applicable Certificate of Designation. In addition, on or after the Reverse Stock Split Date, and subject to the satisfaction of certain conditions, the Company had the right to cause the holders of the Preferred Stock to convert their shares of Preferred Stock, subject to such beneficial ownership limitations.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holder of the Preferred Stock had the right to cause the Company to redeem all or part of their shares of the Preferred Stock from the earlier of receipt of stockholder approval of the Reverse Stock Split or of 90 days following the original issue date until 120 days following the original issue date, the “Redemption Date,” in cash at a redemption price equal to 105% of the stated value plus an amount equal to accumulated but unpaid dividends, if any, on such shares (whether or not earned or declared, but excluding interest on such dividends) up to, but excluding, the Redemption Date. In connection with the Preferred Offerings, the Company entered into a placement agent agreement (the “Placement Agent Agreement”) with AGP in which the Company paid $1,000,000 as a placement agent fee and $110,000 to reimburse AGP for certain expenses related to the Preferred Stock offering.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2022, the Company redeemed for cash at a price equal to 105% of the $300 stated value per share all of its 50,000 outstanding shares of Series A Preferred Stock and its 50,000 Series B Preferred Stock. As a result, all shares of the Preferred Stock have been retired and are no longer outstanding and the Company’s only class of outstanding stock is its common. Each share of common stock entitles the holder to one vote.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Preferred Stock and Series B Preferred Stock were recorded as a liability on the condensed consolidated balance sheet during the first quarter of 2022 until the preferred shares were redeemed during the same quarter. The Company recognized $4,551,567 as interest expense for the preferred shares during the first quarter of 2022, which was composed of: (a) $3,000,000 as the difference between the redemption price for the preferred shares and the net proceeds received from the issuance of the preferred shares, (b) $1,110,000 paid to AGP as a placement agent fee and reimbursement for certain expenses, and (c) $441,567 in legal fees recognized in the first quarter that were attributed to the preferred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Placement Agent Agreement contains customary representations, warranties and agreements by the Company, customary conditions to closing, indemnification obligations of the Company and AGP, including for liabilities under the Securities Act, other obligations of the parties and termination provisions.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April 2022 Registered Direct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April 2022 Purchase Agreement contains customary representations, warranties and agreements by the Company and customary conditions to closing. The closing of the April 2022 Offering occurred on April 8, 2022.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2018 Annual Stockholders Meeting of the Company held on May 15, 2018, stockholders approved the Celsion Corporation 2018 Stock Incentive Plan (the “2018 Plan”). The 2018 Plan, as adopted, permits the granting of 180,000 shares of Celsion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80,000 to a total of 260,000 under the 2018 Plan, as amended. Prior to the adoption of the 2018 Plan, the Company had maintained the Celsion Corporation 2007 Stock Incentive Plan (the “2007 Plan”). At the 2020 Annual Stockholders Meeting of the Company held on June 15, 2020, stockholders approved an amendment to the 2018 Plan, as previously amended, whereby the Company increased the number of shares of common stock available by 166,667 to a total of 426,667 under the 2018 Plan, as amended. At the 2021 Annual Stockholders Meeting of the Company held on June 10, 2021, stockholders approved an amendment to the 2018 Plan, as previously amended, whereby the Company increased the number of shares of common stock available by 513,333 to a total of 940,000 under the 2018 Plan, as amended.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28, 2018, and again on February 19, 2019, the Compensation Committee of the Board of Directors approved the grant of (i) inducement stock options (the “Inducement Option Grants”) to purchase a total of 10,933 and 9,332 shares of Celsion common stock, respectively and (ii) inducement restricted stock awards (the “Inducement Stock Grants”) totaling 1,266 and 8,666 shares of Celsion common stock to five new employees collectively. Each award has a grant date of the date of grant. Each Inducement Option Grant has an exercise price per share equal to $41.55 and $32.70 which represents the closing price of Celsion’s common stock as reported by Nasdaq on September 28, 2018 and February 19, 2019, respectively. Each Inducement Option Grant vests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there were a total of 946,454 shares of Celsion common stock reserved for issuance under the 2018 Plan, which were comprised of 924,699 shares of Celsion common stock subject to equity awards previously granted under the 2018 Plan and 2007 Plan and 21,755 shares of Celsion common stock available for future issuance under the 2018 Plan. As of June 30, 2022, there were a total of 9,336 shares of Celsion common stock subject to outstanding inducement awards.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awards and restricted stock grants for the six-months ended June 30, 2022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45"/>
        </w:trPr>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194"/>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Terms of</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r>
      <w:tr>
        <w:trPr>
          <w:trHeight w:val="245"/>
        </w:trPr>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 w:type="dxa"/>
            <w:vAlign w:val="bottom"/>
          </w:tcPr>
          <w:p>
            <w:pPr>
              <w:spacing w:after="0"/>
              <w:rPr>
                <w:sz w:val="21"/>
                <w:szCs w:val="21"/>
                <w:color w:val="auto"/>
              </w:rPr>
            </w:pP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1"/>
                <w:szCs w:val="21"/>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January 1, 2022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441,425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granted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508,488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terminated</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(17,659)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35.28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9.45</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June 30, 2022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932,254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19.25</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10.78</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outstanding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at June 30, 2022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3,277</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exercisable at June 30, 2022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521,262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equity awards exercisable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June 30, 2022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amounted to approximately $0.5 million and $0.8 million for the three-month periods ended June 30, 2022 and 2021, respectively. Of these amounts, $0.2 million and $0.3 million was charged to research and development during the three-month periods ended June 30, 2022 and 2021, respectively, and $0.3 million and $0.5 million was charged to general and administrative expenses during the three-month periods ended June 30, 2022 and 2021,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amounted to approximately $1.5 million and $2.4 million for the six-month periods ended June 30, 2022 and 2021, respectively. Of these amounts, $0.5 million and $0.9 million was charged to research and development during the six-month periods ended June 30, 2022 and 2021, respectively, and $1.0 million and $1.5 million was charged to general and administrative expenses during the six-month periods ended June 30, 2022 and 2021,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there was $1.5 million of total unrecognized compensation cost related to non-vested stock-based compensation arrangements. That cost is expected to be recognized over a weighted-average period of 1.3 years. The weighted average grant date fair values of the stock options granted was $2.81 and $1.98 during the six-month periods ended June 30, 2022 and 2021,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20" w:type="dxa"/>
            <w:vAlign w:val="bottom"/>
          </w:tcPr>
          <w:p>
            <w:pPr>
              <w:spacing w:after="0"/>
              <w:rPr>
                <w:sz w:val="21"/>
                <w:szCs w:val="21"/>
                <w:color w:val="auto"/>
              </w:rPr>
            </w:pPr>
          </w:p>
        </w:tc>
        <w:tc>
          <w:tcPr>
            <w:tcW w:w="33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7920" w:type="dxa"/>
            <w:vAlign w:val="bottom"/>
            <w:tcBorders>
              <w:bottom w:val="single" w:sz="8" w:color="CCEEFF"/>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bottom w:val="single" w:sz="8" w:color="CCEEFF"/>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1.74 to 3.43%</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 to 1.74%</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107.6% to 108.5%</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106.8 to 113%</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8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8.5 to 9.0</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 to 10.0</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Earn-Out Milestone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76"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 cash within 10 business days of achieving the milestone; or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in cash, common stock of the Company, or a combination of either, within one year of achieving the milestone.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the Company fair valued the earn-out milestone liability at $5.4 million. In assessing the fair value of the earnout milestone liability at June 30, 2022 and December 31, 2021, the Company considered each of the settlement provisions per the Amended Asset Purchase Agreement and equally weighted the probability of a cash or cash and common stock payment.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Warrants</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six-month period ended June 30, 2022:</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24"/>
                <w:szCs w:val="24"/>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45"/>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320" w:type="dxa"/>
            <w:vAlign w:val="bottom"/>
          </w:tcPr>
          <w:p>
            <w:pPr>
              <w:spacing w:after="0"/>
              <w:rPr>
                <w:sz w:val="21"/>
                <w:szCs w:val="21"/>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260" w:type="dxa"/>
            <w:vAlign w:val="bottom"/>
          </w:tcPr>
          <w:p>
            <w:pPr>
              <w:spacing w:after="0"/>
              <w:rPr>
                <w:sz w:val="21"/>
                <w:szCs w:val="21"/>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6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2021</w:t>
            </w: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175,792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20.96</w:t>
            </w:r>
          </w:p>
        </w:tc>
      </w:tr>
      <w:tr>
        <w:trPr>
          <w:trHeight w:val="216"/>
        </w:trPr>
        <w:tc>
          <w:tcPr>
            <w:tcW w:w="6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expired during the six months ended June 30, 2022</w:t>
            </w: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(7,273)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48.30</w:t>
            </w:r>
          </w:p>
        </w:tc>
      </w:tr>
      <w:tr>
        <w:trPr>
          <w:trHeight w:val="216"/>
        </w:trPr>
        <w:tc>
          <w:tcPr>
            <w:tcW w:w="68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June 30, 2022</w:t>
            </w:r>
          </w:p>
        </w:tc>
        <w:tc>
          <w:tcPr>
            <w:tcW w:w="3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168,519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June 30, 2022</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at June 30, 2022</w:t>
            </w: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 years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15. Leases</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2011, the Company executed a lease (the “Lease”) with Brandywine Operating Partnership, L.P. (Brandywine), a Delaware limited partnership, for a 10,870 square foot premises located in Lawrenceville, New Jersey and relocated its offices to Lawrenceville, New Jersey from Columbia, Maryland. The Lease had an initial term of 66 months. In late 2015, Lenox Drive Office Park LLC purchased the real estate and office building and assumed the Lease.</w:t>
      </w:r>
    </w:p>
    <w:p>
      <w:pPr>
        <w:spacing w:after="0" w:line="1"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This Lease was set to expire on April 30, 2017. In April 2017, the Company and the landlord amended the Lease effective May 1, 2017.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extended the term of the agreement for an additional 64 months, reduced the premises to 7,565 square feet, reduced the monthly rent and provided four months free rent. The monthly rent ranged from approximately $18,900 in the first year to approximately $20,500 in the final year of the 1</w:t>
      </w:r>
      <w:r>
        <w:rPr>
          <w:rFonts w:ascii="Times New Roman" w:cs="Times New Roman" w:eastAsia="Times New Roman" w:hAnsi="Times New Roman"/>
          <w:sz w:val="29"/>
          <w:szCs w:val="29"/>
          <w:color w:val="auto"/>
          <w:vertAlign w:val="superscript"/>
        </w:rPr>
        <w:t>st</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Lease Amendment. Effective January 9, 2019, the Company amended the current terms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to increase the size of the premises by 2,285 square feet to 9,850 square feet and also extended the lease term by one year to September 1, 2023. The monthly rent ranges from approximately $25,035 in the first year to approximately $27,088 in the final year of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Lease Amendment.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EGEN Asset Purchase Agreement in June 2014, the Company assumed the existing lease with another landlord for an 11,500 square foot premises located in Huntsville Alabama. In January 2018, the Company and the Huntsville landlord entered into a new 60-month lease which reduced the premises to 9,049 square feet with rent payments of approximately $18,100 per month. On June 9, 2021 and, as amended on July 7, 2021, the Company and the Huntsville landlord entered into a 22-month lease for an additional 2,197 square foot premises with rent payments of approximately $5,500 per month.</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adopted ASC Topic 842 on January 1, 2019 using the modified retrospective transition method for all lease arrangements at the beginning of the period of adoption.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table of the lease payments and maturity of our operating lease liabilities as of June 30, 2022:</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8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38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301,548</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238,609</w:t>
            </w:r>
          </w:p>
        </w:tc>
      </w:tr>
      <w:tr>
        <w:trPr>
          <w:trHeight w:val="249"/>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9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7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 future lease payments</w:t>
            </w:r>
          </w:p>
        </w:tc>
        <w:tc>
          <w:tcPr>
            <w:tcW w:w="9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540,157</w:t>
            </w:r>
          </w:p>
        </w:tc>
        <w:tc>
          <w:tcPr>
            <w:tcW w:w="160" w:type="dxa"/>
            <w:vAlign w:val="bottom"/>
            <w:tcBorders>
              <w:top w:val="single" w:sz="8" w:color="CCEEFF"/>
            </w:tcBorders>
          </w:tcPr>
          <w:p>
            <w:pPr>
              <w:spacing w:after="0"/>
              <w:rPr>
                <w:sz w:val="17"/>
                <w:szCs w:val="17"/>
                <w:color w:val="auto"/>
              </w:rPr>
            </w:pPr>
          </w:p>
        </w:tc>
      </w:tr>
      <w:tr>
        <w:trPr>
          <w:trHeight w:val="24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9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(27,196)</w:t>
            </w:r>
          </w:p>
        </w:tc>
      </w:tr>
      <w:tr>
        <w:trPr>
          <w:trHeight w:val="257"/>
        </w:trPr>
        <w:tc>
          <w:tcPr>
            <w:tcW w:w="87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920" w:type="dxa"/>
            <w:vAlign w:val="bottom"/>
            <w:tcBorders>
              <w:top w:val="single" w:sz="8" w:color="CCEEFF"/>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512,961</w:t>
            </w:r>
          </w:p>
        </w:tc>
        <w:tc>
          <w:tcPr>
            <w:tcW w:w="160" w:type="dxa"/>
            <w:vAlign w:val="bottom"/>
            <w:tcBorders>
              <w:top w:val="single" w:sz="8" w:color="CCEEFF"/>
              <w:bottom w:val="single" w:sz="8" w:color="CCEEFF"/>
            </w:tcBorders>
          </w:tcPr>
          <w:p>
            <w:pPr>
              <w:spacing w:after="0"/>
              <w:rPr>
                <w:sz w:val="22"/>
                <w:szCs w:val="22"/>
                <w:color w:val="auto"/>
              </w:rPr>
            </w:pPr>
          </w:p>
        </w:tc>
      </w:tr>
      <w:tr>
        <w:trPr>
          <w:trHeight w:val="197"/>
        </w:trPr>
        <w:tc>
          <w:tcPr>
            <w:tcW w:w="8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three-month and six-month periods ended June 30, 2022, operating lease expense was $146,936 and $293,872, respectively, and cash paid for operating leases included in operating cash flows was $150,374 and $299,947,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three-month and six-month periods ended June 30, 2021, operating lease expense was $130,595 and $261,190, respectively, and cash paid for operating leases included in operating cash flows was $132,452 and $264,546,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May 7, 2012, the Company entered into a long-term commercial supply agreement with Zhejiang Hisun Pharmaceutical Co. Ltd. (Hisun) for the production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w:t>
      </w:r>
    </w:p>
    <w:p>
      <w:pPr>
        <w:jc w:val="both"/>
        <w:spacing w:after="0" w:line="185" w:lineRule="auto"/>
        <w:rPr>
          <w:sz w:val="20"/>
          <w:szCs w:val="20"/>
          <w:color w:val="auto"/>
        </w:rPr>
      </w:pPr>
      <w:r>
        <w:rPr>
          <w:rFonts w:ascii="Times New Roman" w:cs="Times New Roman" w:eastAsia="Times New Roman" w:hAnsi="Times New Roman"/>
          <w:sz w:val="18"/>
          <w:szCs w:val="18"/>
          <w:color w:val="auto"/>
        </w:rPr>
        <w:t>the manufacture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Celsion will repay Hisun for the aggregate amount of these development costs and fees commencing on the successful completion of three registration batches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Hisun is also obligated to certain performance requirements under the agreement. The agreement</w:t>
      </w:r>
    </w:p>
    <w:p>
      <w:pPr>
        <w:jc w:val="both"/>
        <w:spacing w:after="0" w:line="209" w:lineRule="auto"/>
        <w:rPr>
          <w:sz w:val="20"/>
          <w:szCs w:val="20"/>
          <w:color w:val="auto"/>
        </w:rPr>
      </w:pPr>
      <w:r>
        <w:rPr>
          <w:rFonts w:ascii="Times New Roman" w:cs="Times New Roman" w:eastAsia="Times New Roman" w:hAnsi="Times New Roman"/>
          <w:sz w:val="18"/>
          <w:szCs w:val="18"/>
          <w:color w:val="auto"/>
        </w:rPr>
        <w:t>will initially be limited to a percentage of the production requirements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with Hisun retaining an option for additional global supply after local regulatory approval in the China territory. In addition, Hisun will collaborate with Celsion around the regulatory approval</w:t>
      </w:r>
    </w:p>
    <w:p>
      <w:pPr>
        <w:jc w:val="both"/>
        <w:spacing w:after="0" w:line="228" w:lineRule="auto"/>
        <w:rPr>
          <w:sz w:val="20"/>
          <w:szCs w:val="20"/>
          <w:color w:val="auto"/>
        </w:rPr>
      </w:pPr>
      <w:r>
        <w:rPr>
          <w:rFonts w:ascii="Times New Roman" w:cs="Times New Roman" w:eastAsia="Times New Roman" w:hAnsi="Times New Roman"/>
          <w:sz w:val="18"/>
          <w:szCs w:val="18"/>
          <w:color w:val="auto"/>
        </w:rPr>
        <w:t>activities for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with the China State Food and Drug Administration (CHINA FDA). During the first quarter of 2015, Hisun completed the successful manufacture of three registration batches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On January 18, 2013, we entered into a technology development contract with Hisun, pursuant to which Hisun paid us a non-refundable research and development fee of $5 million to support our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include the sub-group analysis of patients in the Phase III HEAT Study for the hepatocellular carcinoma clinical indication</w:t>
      </w:r>
    </w:p>
    <w:p>
      <w:pPr>
        <w:jc w:val="both"/>
        <w:spacing w:after="0" w:line="209" w:lineRule="auto"/>
        <w:rPr>
          <w:sz w:val="20"/>
          <w:szCs w:val="20"/>
          <w:color w:val="auto"/>
        </w:rPr>
      </w:pPr>
      <w:r>
        <w:rPr>
          <w:rFonts w:ascii="Times New Roman" w:cs="Times New Roman" w:eastAsia="Times New Roman" w:hAnsi="Times New Roman"/>
          <w:sz w:val="18"/>
          <w:szCs w:val="18"/>
          <w:color w:val="auto"/>
        </w:rPr>
        <w:t>and other activities to further the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time as the parties find a mutually acceptable path forward on the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findings of the ongoing post-study analysis of the HEAT Study data.</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spacing w:after="0" w:line="232" w:lineRule="auto"/>
        <w:rPr>
          <w:sz w:val="20"/>
          <w:szCs w:val="20"/>
          <w:color w:val="auto"/>
        </w:rPr>
      </w:pPr>
      <w:r>
        <w:rPr>
          <w:rFonts w:ascii="Times New Roman" w:cs="Times New Roman" w:eastAsia="Times New Roman" w:hAnsi="Times New Roman"/>
          <w:sz w:val="18"/>
          <w:szCs w:val="18"/>
          <w:color w:val="auto"/>
        </w:rPr>
        <w:t>On July 19, 2013, the Company and Hisun entered into a Memorandum of Understanding to pursue ongoing cooperation for the continued clinical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well as the technology transfer relating to the commercial manufacture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the China territory. This expanded level of cooperation includes development of the next generation liposomal formulation with the goal of creating safer, more efficacious versions of marketed cancer chemotherapeutics.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key provisions of the Celsion-Hisun Memorandum of Understanding are:</w:t>
      </w:r>
    </w:p>
    <w:p>
      <w:pPr>
        <w:spacing w:after="0" w:line="225"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Hisun will provide the Company with internal resources necessary to complete the technology transfer of the Company’s proprietary manufacturing process and the production of registration batches for the China territory;</w:t>
      </w:r>
    </w:p>
    <w:p>
      <w:pPr>
        <w:spacing w:after="0" w:line="165"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5"/>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Hisun will coordinate with the Company around the clinical and regulatory approval activities for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well as other liposomal formations with the CHINA FDA; and</w:t>
      </w:r>
    </w:p>
    <w:p>
      <w:pPr>
        <w:spacing w:after="0" w:line="202" w:lineRule="exact"/>
        <w:rPr>
          <w:rFonts w:ascii="Times New Roman" w:cs="Times New Roman" w:eastAsia="Times New Roman" w:hAnsi="Times New Roman"/>
          <w:sz w:val="36"/>
          <w:szCs w:val="36"/>
          <w:b w:val="1"/>
          <w:bCs w:val="1"/>
          <w:color w:val="auto"/>
          <w:vertAlign w:val="superscript"/>
        </w:rPr>
      </w:pPr>
    </w:p>
    <w:p>
      <w:pPr>
        <w:ind w:left="660" w:hanging="328"/>
        <w:spacing w:after="0" w:line="188" w:lineRule="auto"/>
        <w:tabs>
          <w:tab w:leader="none" w:pos="660" w:val="left"/>
        </w:tabs>
        <w:numPr>
          <w:ilvl w:val="0"/>
          <w:numId w:val="5"/>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 xml:space="preserve">Hisun will be granted a right of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offer for a commercial license to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the sale and distribution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8, 2016, the Company signed a Technology Transfer, Manufacturing and Commercial Supply Agreement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U.S., and for potential future studies of GEN-1 in China. GEN-1 is currently being evaluated by Celsion in first line ovarian cancer patients.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provisions of the GEN-1 Agreement are as follows:</w:t>
      </w:r>
    </w:p>
    <w:p>
      <w:pPr>
        <w:spacing w:after="0" w:line="225"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GEN-1 Agreement has targeted unit costs for clinical supplies of GEN-1 that are substantially competitive with the Company’s current suppliers;</w:t>
      </w:r>
    </w:p>
    <w:p>
      <w:pPr>
        <w:spacing w:after="0" w:line="16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Once approved, the cost structure for GEN-1 will support rapid market adoption and significant gross margins across global markets;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Celsion will provide Hisun a certain percentage of China’s commercial unit demand, and separately of global commercial unit demand, subject to regulatory approval;</w:t>
      </w:r>
    </w:p>
    <w:p>
      <w:pPr>
        <w:spacing w:after="0" w:line="161" w:lineRule="exact"/>
        <w:rPr>
          <w:rFonts w:ascii="Times New Roman" w:cs="Times New Roman" w:eastAsia="Times New Roman" w:hAnsi="Times New Roman"/>
          <w:sz w:val="18"/>
          <w:szCs w:val="18"/>
          <w:b w:val="1"/>
          <w:bCs w:val="1"/>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and Celsion will commence technology transfer activities relating to the manufacture of GEN-1, including all studies required by CHINA FDA for site approval; and</w:t>
      </w:r>
    </w:p>
    <w:p>
      <w:pPr>
        <w:spacing w:after="0" w:line="161"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collaborate with Celsion around the regulatory approval activities for GEN-1 with the CHINA FDA. A local China partner affords Celsion access to accelerated CHINA FDA review and potential regulatory exclusivity for the approved indication.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the Hisun arrangement in accordance with ASC 606 and determined that its performance obligations under the agreement include the non-exclusive, royalty-free license, research and development services to be provided by the Company, and its obligation to serve on a joint committee. The Company concluded that the license was not distinct since its value is closely tied to the ongoing research and development activities. As such, the license and the research and development services are bundled as a single performance obligation. Since the provision of the license and research and development services are considered a single performance obligation, the $5,000,000 upfront payment is being recognized as revenue ratably through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Times New Roman" w:cs="Times New Roman" w:eastAsia="Times New Roman" w:hAnsi="Times New Roman"/>
          <w:sz w:val="18"/>
          <w:szCs w:val="18"/>
          <w:i w:val="1"/>
          <w:iCs w:val="1"/>
          <w:color w:val="auto"/>
        </w:rPr>
        <w:t>Spar v. Celsion Corporation, et al.</w:t>
      </w:r>
      <w:r>
        <w:rPr>
          <w:rFonts w:ascii="Times New Roman" w:cs="Times New Roman" w:eastAsia="Times New Roman" w:hAnsi="Times New Roman"/>
          <w:sz w:val="18"/>
          <w:szCs w:val="18"/>
          <w:color w:val="auto"/>
        </w:rPr>
        <w:t>, Case No. 1:20-cv-15228. The plaintiff alleges that the Company and Individual Defendants made false and misleading statements regarding one of the Company’s product candidates, ThermoDox®, and brings claims for damages under Section 10(b) of the Exchange Act and Rule 10b-5 promulgated thereunder against all Defendants, and under Section 20(a) of the Exchange Act of 1934 against the Individual Defendants. The Company believes that the case is without merit and intends to defend it vigorously. At this stage of the case neither the likelihood that a loss, if any, will be realized, nor an estimate of possible loss or range of loss, if any, can be determined.</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Times New Roman" w:cs="Times New Roman" w:eastAsia="Times New Roman" w:hAnsi="Times New Roman"/>
          <w:sz w:val="18"/>
          <w:szCs w:val="18"/>
          <w:i w:val="1"/>
          <w:iCs w:val="1"/>
          <w:color w:val="auto"/>
        </w:rPr>
        <w:t>Fidler v. Michael H. Tardugno, et al.</w:t>
      </w:r>
      <w:r>
        <w:rPr>
          <w:rFonts w:ascii="Times New Roman" w:cs="Times New Roman" w:eastAsia="Times New Roman" w:hAnsi="Times New Roman"/>
          <w:sz w:val="18"/>
          <w:szCs w:val="18"/>
          <w:color w:val="auto"/>
        </w:rPr>
        <w:t>, Case No. 3:21-cv-02662. The plaintiff alleges breach of fiduciary duty and other claims arising out of alleged statements made by certain of the Company’s directors and/or officers regarding</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Company believes it has meritorious defenses to these claims and intends to vigorously contest this suit. At this stage of the case neither the likelihood that a loss, if any, will be realized, nor an estimate of possible loss or range of loss, if any, can be determined.</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2021, a complaint regarding a corporate books and records demand was filed against the Company in the Court of Chancery of the State of Delaware, captioned </w:t>
      </w:r>
      <w:r>
        <w:rPr>
          <w:rFonts w:ascii="Times New Roman" w:cs="Times New Roman" w:eastAsia="Times New Roman" w:hAnsi="Times New Roman"/>
          <w:sz w:val="18"/>
          <w:szCs w:val="18"/>
          <w:i w:val="1"/>
          <w:iCs w:val="1"/>
          <w:color w:val="auto"/>
        </w:rPr>
        <w:t>Pacheco v. Celsion Corporation</w:t>
      </w:r>
      <w:r>
        <w:rPr>
          <w:rFonts w:ascii="Times New Roman" w:cs="Times New Roman" w:eastAsia="Times New Roman" w:hAnsi="Times New Roman"/>
          <w:sz w:val="18"/>
          <w:szCs w:val="18"/>
          <w:color w:val="auto"/>
        </w:rPr>
        <w:t>, Case No. 2021-0705. The plaintiff alleges he is entitled to inspect the Company’s books and records concerning the OPTIMA Study and other materials. The Company believes that the scope of the demand is without merit and intends to defend it vigorously. At this stage of the case neither the likelihood that a loss, if any, will be realized, nor an estimate of possible loss or range of loss, if any, can be determined.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987"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Clinical Overview</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Celsion Corporation (“Celsion” or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Celsion’s proprietary heat-activated liposomal encapsulation of doxorubicin, currently under investigator-sponsored development for several cancer indications, is being managed though Celsion’s wholly owned subsidiary, Celsion GmbH. Additionally,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2014, the Company completed the acquisition of substantially all of the assets of EGEN, a private company located in Huntsville, Alabama. Pursuant to the Asset Purchase Agreement, CLSN Laboratories acquired all of EGEN’s right, title and interest in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The first drug candidate developed from this technology platform is GEN-1.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THERAPLAS Technology Platform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DNA/mRNA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may be a viable alternative to current approaches to gene delivery due to several distinguishing characteristics, including enhanced molecular versatility that allows for complex modifications to potentially improve activity and safety.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escaping into the systemic circulation. PPC is the delivery component of our lead TheraPlas product, GEN-1, which is in clinical development for the treatment of ovarian cancer. The PPC manufacturing process has been scaled up from bench scale (1-2 g) to 0.6Kg, and several current Good Manufacturing Practice (“cGMP”) lots have been produced with reproducible quality.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TheraPlas has emerged as a viable alternative to current approaches due to several distinguishing characteristics such as strong molecular versatility that may allow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a strong position to capitalize on this technology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an overall five-year survival rate of 45%. This poor outcome is due in part to the lack of effective prevention and early detection strategies. There were approximately 20,000 new cases of ovarian cancer in the U.S. in 2021 with an estimated 13,000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The five-year survival rates for Stages III and IV are 39% and 17%, respectively. First-line chemotherapy regimens are typically platinum-based combination therapies. Although this first line of treatment has an approximate 80% response rate, 55% to 75%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with median overall survival (“OS”)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87"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I Study. </w:t>
      </w:r>
      <w:r>
        <w:rPr>
          <w:rFonts w:ascii="Times New Roman" w:cs="Times New Roman" w:eastAsia="Times New Roman" w:hAnsi="Times New Roman"/>
          <w:sz w:val="18"/>
          <w:szCs w:val="18"/>
          <w:color w:val="auto"/>
        </w:rPr>
        <w:t>In February 2015, we announced that the U.S. Food and Drug Administration (“FDA”) accepted, without objection, the Phase I dose-escalation clinical trial of GEN-1 in combination with the standard of care in neoadjuvant ovarian cancer (the “OVATION I Study”). The OVATION I Study was designed to:</w:t>
      </w:r>
    </w:p>
    <w:p>
      <w:pPr>
        <w:spacing w:after="0" w:line="17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safe, tolerable and therapeutically active dose of GEN-1 by recruiting and maximizing an immune response;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I Study established a unique opportunity to assess how cytokine-based compounds such as GEN-1, directly affect ovarian cancer cells and the tumor microenvironment in newly diagnosed ovarian cancer patients. The study was designed to characterize the nature of the immune response triggered by GEN-1 at various levels of the patients’ immune system, including:</w:t>
      </w:r>
    </w:p>
    <w:p>
      <w:pPr>
        <w:spacing w:after="0" w:line="176"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immunosuppressive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positive clinical data from the first fourteen patients who completed treatment in the OVATION I Study. GEN-1 plus standard chemotherapy produced no dose limiting toxicities and positive dose dependent efficacy signals which correlate well with positive surgical outcomes as summarized below:</w:t>
      </w:r>
    </w:p>
    <w:p>
      <w:pPr>
        <w:spacing w:after="0" w:line="183" w:lineRule="exact"/>
        <w:rPr>
          <w:sz w:val="20"/>
          <w:szCs w:val="20"/>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Key translational research findings from all evaluable patients are consistent with the earlier reports from partial analysis of the data and are summarized below:</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GEN-1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Celsion believes these data may warrant consideration of strategies to accelerate the clinical development program for GEN-1 in newly diagnosed, advanced ovarian cancer patients by the FDA. In its March 2019 discussion with Celsion, the FDA noted that preliminary findings from the Phase Ib OVATION I Study were exciting but lacked a control group to evaluate GEN-1’s independent impact on impressive tumor response, surgical results and PFS. The FDA encouraged the Company to continue its GEN-1 development program and consult with FDA with new findings that may have a bearing on designations such as Fast Track and Breakthrough Therapy.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progression free survival (“PFS”) results from the OVATION I Study published in the Journal of Clinical Cancer Research. Median PFS in patients treated per protocol (n=14) was 21 months and was 18.4 months for the intent-to-treat (“ITT”) population (n=18) for all dose cohorts, including three patients who dropped out of the study after 13 days or less, and two patients who did not receive full NAC and GEN-1 cycles. Under the current standard of care, in women with Stage III/IV ovarian cancer undergoing NAC, their disease progresses within about 12 months on average. The results from the OVATION I Study support continued evaluation of GEN-1 based on promising tumor response, as reported in the PFS data, and the ability for surgeons to completely remove visible tumor at interval debulking surgery. GEN-1 was well tolerated, and no dose-limiting toxicities were detected. Intraperitoneal administration of GEN-1 was feasible with broad patient acceptance.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the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I Study to determine the next steps forward for our GEN-1 immunotherapy program. On November 13, 2017, the Company filed its Phase I/II clinical trial protocol with the FDA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approximately 110 patients randomized Phase II study.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OVATION 2 Study, patients in the GEN-1 treatment arm will receive GEN-1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ind w:right="20"/>
        <w:spacing w:after="0" w:line="282" w:lineRule="auto"/>
        <w:rPr>
          <w:sz w:val="20"/>
          <w:szCs w:val="20"/>
          <w:color w:val="auto"/>
        </w:rPr>
      </w:pPr>
      <w:r>
        <w:rPr>
          <w:rFonts w:ascii="Times New Roman" w:cs="Times New Roman" w:eastAsia="Times New Roman" w:hAnsi="Times New Roman"/>
          <w:sz w:val="18"/>
          <w:szCs w:val="18"/>
          <w:color w:val="auto"/>
        </w:rPr>
        <w:t>GEN-1 plus standard NACT produced positive dose-dependent efficacy results, with no dose-limiting toxicities, which correlates well with successful surgical outcomes as summarized below:</w:t>
      </w:r>
    </w:p>
    <w:p>
      <w:pPr>
        <w:spacing w:after="0" w:line="162" w:lineRule="exact"/>
        <w:rPr>
          <w:sz w:val="20"/>
          <w:szCs w:val="20"/>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15 patients treated in the Phase I portion of the OVATION 2 Study, nine patients were treated with GEN-1 at a dose of 100 mg/m² plus NACT and six patients were treated with NACT only. All 15 patients had successful resections of their tumors, with eight out of nine patients (88%) in the GEN-1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75" w:lineRule="exact"/>
        <w:rPr>
          <w:rFonts w:ascii="Times New Roman" w:cs="Times New Roman" w:eastAsia="Times New Roman" w:hAnsi="Times New Roman"/>
          <w:sz w:val="18"/>
          <w:szCs w:val="18"/>
          <w:color w:val="auto"/>
        </w:rPr>
      </w:pPr>
    </w:p>
    <w:p>
      <w:pPr>
        <w:ind w:left="10480" w:hanging="189"/>
        <w:spacing w:after="0"/>
        <w:tabs>
          <w:tab w:leader="none" w:pos="104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w:t>
      </w:r>
    </w:p>
    <w:p>
      <w:pPr>
        <w:spacing w:after="0" w:line="27" w:lineRule="exact"/>
        <w:rPr>
          <w:rFonts w:ascii="Times New Roman" w:cs="Times New Roman" w:eastAsia="Times New Roman" w:hAnsi="Times New Roman"/>
          <w:sz w:val="18"/>
          <w:szCs w:val="18"/>
          <w:color w:val="auto"/>
        </w:rPr>
      </w:pPr>
    </w:p>
    <w:p>
      <w:pPr>
        <w:ind w:left="10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w:t>
      </w:r>
    </w:p>
    <w:p>
      <w:pPr>
        <w:spacing w:after="0" w:line="9" w:lineRule="exact"/>
        <w:rPr>
          <w:rFonts w:ascii="Times New Roman" w:cs="Times New Roman" w:eastAsia="Times New Roman" w:hAnsi="Times New Roman"/>
          <w:sz w:val="18"/>
          <w:szCs w:val="18"/>
          <w:color w:val="auto"/>
        </w:rPr>
      </w:pPr>
    </w:p>
    <w:p>
      <w:pPr>
        <w:ind w:left="10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Resections</w:t>
            </w:r>
          </w:p>
        </w:tc>
        <w:tc>
          <w:tcPr>
            <w:tcW w:w="160" w:type="dxa"/>
            <w:vAlign w:val="bottom"/>
            <w:tcBorders>
              <w:bottom w:val="single" w:sz="8" w:color="CCEEFF"/>
            </w:tcBorders>
          </w:tcPr>
          <w:p>
            <w:pPr>
              <w:spacing w:after="0"/>
              <w:rPr>
                <w:sz w:val="19"/>
                <w:szCs w:val="19"/>
                <w:color w:val="auto"/>
              </w:rPr>
            </w:pPr>
          </w:p>
        </w:tc>
      </w:tr>
      <w:tr>
        <w:trPr>
          <w:trHeight w:val="216"/>
        </w:trPr>
        <w:tc>
          <w:tcPr>
            <w:tcW w:w="6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 36, 47 mg/m² of GEN-1 plus NACT</w:t>
            </w:r>
          </w:p>
        </w:tc>
        <w:tc>
          <w:tcPr>
            <w:tcW w:w="364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N =12</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6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61, 79, 100 mg/m² of GEN-1 plus NACT</w:t>
            </w:r>
          </w:p>
        </w:tc>
        <w:tc>
          <w:tcPr>
            <w:tcW w:w="364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N = 17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79"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has recommended that GEN-1 be designated as an orphan medicinal product for the treatment of ovarian cancer. GEN-1 is an IL-12 DNA plasmid vector encased in a non-viral nanoparticle delivery system, which enables cell transfection followed by persistent, local secretion of the IL-12 protein. GEN-1 previously received orphan designation from the FDA.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27, 2020, the Company announced the randomization of the first two patients in the Phase II portion of the OVATION 2 Study with GEN-1 in advanced ovarian cancer. The Company anticipates completing enrollment of up to 110 patients before the end of the third quarter of 2022. Because this is an open-label study, the Company has provided clinical updates throughout the course of treatment including response rates and surgical resection scores.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2021, the Company announced that it has received Fast Track designation from the FDA for GEN-1, its DNA-mediated IL-12 immunotherapy currently in Phase II development for the treatment of advanced ovarian cancer and also provided an update on the OVATION 2 Study. The Company reported that approximately one-third, or 34 patients, of the anticipated 110 patients had been enrolled into the OVATION 2 Study, of which 20 are in the treatment arm and 14 are in the control. Of the 34 patients enrolled in the trial, 27 patients have had their interval debulking surgery with the following results:</w:t>
      </w:r>
    </w:p>
    <w:p>
      <w:pPr>
        <w:spacing w:after="0" w:line="183"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treated with GEN-1 had a R0 resection, which indicates a microscopically margin-negative complete resection in which no gross or microscopic tumor remains in the tumor bed.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patients in the control arm had an R0 resection.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interim data represents a 38% improvement in R0 resection rates for GEN-1 patients compared with control arm patients and is consistent with the reported improvement in resection scores noted in the encouraging Phase I OVATION I Study, the manuscript of which has been submitted for peer review publication.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w:t>
      </w:r>
    </w:p>
    <w:p>
      <w:pPr>
        <w:jc w:val="both"/>
        <w:spacing w:after="0" w:line="236" w:lineRule="auto"/>
        <w:rPr>
          <w:sz w:val="20"/>
          <w:szCs w:val="20"/>
          <w:color w:val="auto"/>
        </w:rPr>
      </w:pPr>
      <w:r>
        <w:rPr>
          <w:rFonts w:ascii="Times New Roman" w:cs="Times New Roman" w:eastAsia="Times New Roman" w:hAnsi="Times New Roman"/>
          <w:sz w:val="18"/>
          <w:szCs w:val="18"/>
          <w:color w:val="auto"/>
        </w:rPr>
        <w:t>OVATION 2 Study continue treating patients with the dose of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DSMB also determined that safety is satisfactory with an acceptable risk/benefit, and that patients tolerate GEN-1 during a course of treatment that lasts up to six months. No dose-limiting toxicities were reported. Interim clinical data from patients who have undergone interval debulking surgery showed that the GEN-1 treatment arm is continuing to show improvement in R0 surgical resection rates and CRS 3 chemotherapy response scores over the control arm. A complete tumor resection (R0) is a microscopically margin-negative resection in which no gross or microscopic tumor remains in the tumor bed. The chemotherapy response score is a three-tier standardized scoring system for histological tumor regression into complete/near complete (CRS 3), partial (CRS 2) and no/minimal (CRS 1) response based on omental examination.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Through July 31, 2022, over 90% of the patients have been enrolled in the OVATION 2 study. To date no patient in the treatment arm of the phase 2 portion of the trial has received all 17 doses of the GEN-1 treatment as prescribed in the study protocol. Implications will be assessed in conjunction with the primary end point, PFS,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TECHNOLOGY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Celsion’s PLACCINE DNA vaccine technology platform is characterized by a single multi-cistronic DNA plasmid vector expressing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a Phase II trial for the treatment of late-stage ovarian cancer with GEN-1. Celsion’s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Celsion’s extensive experience with TheraPlas suggests that the PLACCINE-based</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nanoparticles are stable at storage temperatures of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to 25</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making vaccines developed on this platform easily suitable for broad world-wide distribution.</w:t>
      </w:r>
    </w:p>
    <w:p>
      <w:pPr>
        <w:spacing w:after="0" w:line="20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Celsion’s vaccine approach is designed to optimize the quality of the immune response dictating the efficiency of pathogen clearance and patient recovery. Celsion has taken a multivalent approach in an effort to generate an even more robust immune response that not only results in a strong neutralizing antibody response, but also a more robust and durable T-cell response. Delivered with Celsion’s synthetic polymeric system, the proprietary DNA plasmid is protected from degradation and its cellular uptake is facilitated.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The vast majority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Celsion’s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Celsion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660" w:hanging="328"/>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 plasmid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vector.</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 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viral antigens.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 viruses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equipment to deliver its payload.</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2, 2021, the Company announced results from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 the potential immunogenicity of Celsion’s PLACCINE DNA vaccine, which is intended to provide broad-spectrum protection and resistance against variants by incorporating multiple viral antigens, to improve vaccine stability at storage temperatures of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 xml:space="preserve"> C and above, and to facilitate cheaper and easier manufacturing.</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it had engaged BIOQUAL, Inc., a preclinical testing contract research organization, to conduct a non-human primate (NHP) challenge study with Celsion’s DNA-based approach for a SARS-CoV-2 vaccine. The NHP pilot study follows the generation of encouraging mouse data and will evaluate the Company’s lead vaccine formulations for safety, immunogenicity and protection against SARS-CoV-2. In completed preclinical studies, Celsion demonstrated safe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Celsion’s novel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2022, the Company presented its PLACCINE platform technology at the 2022 World Vaccine Congress. In an oral presentation during a Session on Cancer and Immunotherapy, Dr. Khursheed Anwer, Celsion’s Chief Science Officer, highlighted the Company’s technology platform in his presentation entitled: “</w:t>
      </w:r>
      <w:r>
        <w:rPr>
          <w:rFonts w:ascii="Times New Roman" w:cs="Times New Roman" w:eastAsia="Times New Roman" w:hAnsi="Times New Roman"/>
          <w:sz w:val="18"/>
          <w:szCs w:val="18"/>
          <w:i w:val="1"/>
          <w:iCs w:val="1"/>
          <w:color w:val="auto"/>
        </w:rPr>
        <w:t>Novel DNA Approaches for Cancer Immunotherapies and Multivalent Infectious Disease Vaccines</w:t>
      </w:r>
      <w:r>
        <w:rPr>
          <w:rFonts w:ascii="Times New Roman" w:cs="Times New Roman" w:eastAsia="Times New Roman" w:hAnsi="Times New Roman"/>
          <w:sz w:val="18"/>
          <w:szCs w:val="18"/>
          <w:color w:val="auto"/>
        </w:rPr>
        <w:t>.” PLACCINE is demonstrating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6 months.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murine model, our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 The Company continues to evaluate our technology and look forward to the results from our ongoing proof-of-concept non-human primate study evaluating our PLACCINE vaccine against the challenge from live SARS-CoV-2 virus in the second quarter, with durability results available in the second half of this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THERMODOX</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 DIRECTED CHEMOTHERAPY</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This novel, heat-activated liposomal technology is differentiated from other liposomes through its unique low heat-activated release of encapsulated chemotherapeutic agents. We are able to use several available focused-heat technologies, such as radiofrequency ablation (“RFA”), microwave energy and high intensity focused ultrasound (“HIFU”), to activate the release of drugs from our novel heat sensitive liposomes.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OPTIMA Study</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OPTIMA Study represents an evaluation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a first line therapy, RFA, for newly diagnosed, intermediate stage HCC patients. The OPTIMA Study was designed to enroll up to 550 patients globally at approximately 65 clinical sites in the U.S., Canada, European Union</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(EU), China and other countries in the Asia-Pacific region and will evaluate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standardized RFA, which will require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calls for two interim efficacy analyses by an independent Data Monitoring Committee (“DMC”).</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2018, the Company announced that the OPTIMA Study was fully enrolled. 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 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 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provides uncertainty, subsequently, the DMC left the final decision of whether or not to stop the OPTIMA Study to Celsion. There were no safety concerns noted during the interim analysis. The Company followed the advice of the DMC considered its options either to stop the study or continue to follow patients after a thorough review of the data, and an evaluation of our probability of success.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4, 2020, the Company issued a press release announcing it would continue following patients for OS, noting that the unexpected and marginally crossed futility boundary, suggested by the Kaplan-Meier analysis at the second interim analysis on July 9, 2020, may be associated with a data maturity</w:t>
      </w:r>
    </w:p>
    <w:p>
      <w:pPr>
        <w:jc w:val="both"/>
        <w:spacing w:after="0" w:line="228" w:lineRule="auto"/>
        <w:rPr>
          <w:sz w:val="20"/>
          <w:szCs w:val="20"/>
          <w:color w:val="auto"/>
        </w:rPr>
      </w:pPr>
      <w:r>
        <w:rPr>
          <w:rFonts w:ascii="Times New Roman" w:cs="Times New Roman" w:eastAsia="Times New Roman" w:hAnsi="Times New Roman"/>
          <w:sz w:val="18"/>
          <w:szCs w:val="18"/>
          <w:color w:val="auto"/>
        </w:rPr>
        <w:t>issue. On October 12, 2020, the Company provided an update on the ongoing data analysis from its Phase III OPTIMA Study with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well as growing interest among clinical investigators in conducting studies with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a monotherapy or in combination with other therapies.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is now be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Investigator-Sponsored Studies with ThermoDox</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Celsion continues working closely and supporting investigations by others to evaluate the use of ThermoDox for the treatment of various cancer. Following inquiries from the NIH, we renewed our Cooperative Research and Development Agreement (CRADA) with the Institute at a nominal cost, one goal of</w:t>
      </w:r>
    </w:p>
    <w:p>
      <w:pPr>
        <w:jc w:val="both"/>
        <w:spacing w:after="0" w:line="221" w:lineRule="auto"/>
        <w:rPr>
          <w:sz w:val="20"/>
          <w:szCs w:val="20"/>
          <w:color w:val="auto"/>
        </w:rPr>
      </w:pPr>
      <w:r>
        <w:rPr>
          <w:rFonts w:ascii="Times New Roman" w:cs="Times New Roman" w:eastAsia="Times New Roman" w:hAnsi="Times New Roman"/>
          <w:sz w:val="18"/>
          <w:szCs w:val="18"/>
          <w:color w:val="auto"/>
        </w:rPr>
        <w:t>which is to pursue their interest in 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treat patients with bladder cancer. Importantly, Celsion is developing a business model to support these investigator-sponsored studies in a manner that will not interfere with the Company’s focus on our GEN-1 program and vaccine development initiative.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June 30, 2022, the Company has incurred approximately $xxx million of cumulative net losses. As of June 30, 2022, the Company had $48.1 million in cash and cash equivalents, short-term investments, interest receivable and restricted cash. The Company has substantial future capital requirements to continue its research and development activities and advance its product candidates through various development stages. The Company believes these expenditures are essential for the commercialization of its technologies.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2020, the World Health Organization declared an outbreak of coronavirus, COVID-19, to be a “Public Health Emergency of International Concern,” and the U.S. Department of Health and Human Services declared a public health emergency to aid the U.S. healthcare community in responding to COVID-19. This virus continues to evolve and may have an adverse effect on our operations and product development timelines. Uncertainty with respect to the economic impacts of the pandemic has introduced significant volatility in the financial markets.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 and the geopolitical turmoil caused by the war in Ukraine. These disruptions may have a negative impact on the Company’s clinical trials process and enrollment of patients. The ongoing geopolitical turmoil caused by the war in Ukraine has contributed to highly volatile financial markets which may impact our ability to access the capital markets and rising levels of inflation which may impact our expenditures and supply chain. The Company continues to monitor its operating activities in light of these events, and it is reasonably possible that these events could have a negative effect on the Company’s financial condition and results of operations. The specific impact, if any, is not readily determinable as of the date of the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spacing w:after="0" w:line="282"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following:</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research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research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and clinical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the Company has entered into research and development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additional clinical trials of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current research and development licensing arrangements and to establish new research and development and licensing arrangements;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milestones under licensing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claims and other intellectual property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July 13, 2020, the Company announced that it has received a recommendation from the independent DMC to consider stopping the global Phase III OPTIMA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that the Company was notifying all clinical sites to discontinue following patients in the OPTIMA Study.</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New Jersey NOLs and unused research and development credits are allowed to sell these benefits to other New Jersey-based companies. In 2018 and 2019, the Company sold cumulative New Jersey NOLs from 2011 to 2018 totaling $13 million and received net proceeds of $12.2 million. As part of the Technology Business Tax Certificate Program, the Company sold $1.5 million and $2.0 million of its New Jersey NOLs in 2021 and 2020, respectively. The sale of these net operating losses resulted in net proceeds to the Company of approximately $1.4 million in 2021 and $1.9 million in 2020. During 2021, the New Jersey State Legislature increased the maximum lifetime benefit per company from $15 million to $20 million, which will allow the Company to participate in this funding program in future years for up to an additional $3.5 million in net operating losses under this maximum lifetime benefit. In June 2022, the Company filed an application with The New Jersey Economic Development Authority to sell $1.7 million of its New Jersey NOL’s for the tax year 2021 which is expected to generate net proceeds to the Company of approximately $1.6 million.</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Celsion repaid $5 million of the $10 million loan and $0.2 million in related end of term charges, and the remaining $5 million in obligations were restructured. As more fully discussed in Note 10 to the Financial Statements, in June 2021, the Company entered into a $10 million loan facility with Silicon Valley Bank (“SVB”). The Company immediately used $6 million from this facility to retire all outstanding indebtedness with Horizon and deposited $6 million with SVB as restricted cash as discussed in more detail in Note 4. The remaining $4 million under the SVB loan facility (“SVB Loan Facility”) will be available to be drawn down up to 12 months after closing. Payments under the loan agreement are interest only for the first 24 months after loan closing, followed by a 24-month amortization period of principal and interest through the scheduled maturity date.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$48.1 million in cash and cash equivalents, short-term investments, interest receivable and restricted cash, coupled with approximately $3.5 million of future planned sales of the Company’s State of New Jersey net operating losses, the Company believes it has sufficient capital resources to fund its operations into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New Jersey NOLs and other sources. If the Company raises funds by selling additional shares of common stock or other securities convertible into common stock, the ownership interest of existing stockholders may be diluted.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19, 2021, the Company filed with the SEC a new $100 million shelf registration statement on Form S-3 (File No. 333-254515) (the “2021 Registration Statement”) that allows the Company to issue any combination of common stock, preferred stock or warrants to purchase common stock or preferred stock. This shelf registration was declared effective on March 30, 2021.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2021 and 2022 through the date of this Quarterly Report filed on Form 10-Q, we issued a total of 4.4 million shares of common stock as discussed below for an aggregate $65.4 million in gross proceeds.</w:t>
      </w:r>
    </w:p>
    <w:p>
      <w:pPr>
        <w:spacing w:after="0" w:line="162" w:lineRule="exact"/>
        <w:rPr>
          <w:sz w:val="20"/>
          <w:szCs w:val="20"/>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 During 2021, the Company sold 0.5 million shares under the Capital on Demand Agreement, receiving approximately $6.9 million in gross proceeds under the Capital on Demand Agreement.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2021, the Company entered into a Securities Purchase Agreement (the “January 2021 Purchase Agreement”) with several institutional investors, pursuant to which the Company agreed to issue and sell, in a registered direct offering (the “January 2021 Offering”), an aggregate of 1,728,395 shares of the Company’s common stock at an offering price of $20.25 per share for gross proceeds of approximately $35 million before the deduction of the January 2021 Placement Agents (as defined below) fee and offering expenses. The January 2021 Purchase Agreement contains customary representations, warranties and agreements by the Company and customary conditions to closing. The closing of the January 2021 Offering occurred on January 26, 2021. In connection with the January 2021 Offering, the Company entered into a placement agent agreement with A.G.P./Alliance Global Partners (“AGP” and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2021, the Company entered into a Securities Purchase Agreement (the “March 2021 Purchase Agreement”) with several institutional investors, pursuant to which the Company agreed to issue and sell, in a registered direct offering (the “March 2021 Offering”), an aggregate of 769,230 shares of the Company’s common stock, at an offering price of $19.50 per share for gross proceeds of approximately $15 million before the deduction of the placement agents fee and offering expenses. The shares were offered by the Company pursuant to the 2021 Registration Statement. The closing of the offering occurred on April 5, 2021.</w:t>
      </w:r>
    </w:p>
    <w:p>
      <w:pPr>
        <w:spacing w:after="0" w:line="183"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March 2021 Offering, the Company entered into a placement agent agreement with AGP, as lead placement agent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10, 2022, the Company entered into the Preferred Stock Purchase Agreement with several institutional investors, pursuant to which the Company agreed to issue and sell, in the Preferred Offerings, (i) 50,000 shares of Series A Preferred Stock, and (ii) 50,000 shares of Series B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had a stated value of $300 per share and were convertible, at a conversion price of $13.65 per share, into 1,098,901 shares of common stock (subject in certain circumstances to adjustments). The shares of Series B Preferred Stock had a stated value of $300 per share and were convertible, at a conversion price of $15.00 per share, into 1,000,000 shares of common stock (subject in certain circumstances to adjustments). The closing of the Preferred Offerings occurred on January 13, 2022.</w:t>
      </w:r>
    </w:p>
    <w:p>
      <w:pPr>
        <w:spacing w:after="0" w:line="188"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held a special meeting of stockholders to consider an amendment (the “Amendment”) to the Company’s Certificate of Incorporation, as amended, to effect a reverse stock split of the outstanding shares of common stock (“Common Stock”) by a ratio to be determined by the Board of Directors of the Company (the “Reverse Stock Split”). The investors have agreed in the Purchase Agreement to not transfer, offer, sell, contract to sell, hypothecate, pledge or otherwise dispose of the shares of the Preferred Stock until the Reverse Stock Split, to vote the shares of the Series A Preferred Stock purchased in the Preferred Offerings in favor of such Amendment and to vote the shares of the Series B Preferred Stock purchased in the Preferred Offerings in a manner that “mirrors” the proportions on which the shares of Common Stock (excluding any shares of Common Stock that are not voted) and Series A Preferred Stock are voted on the Reverse Stock Split and the Amendment.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holders of Preferred Stock were entitled to dividends, on an as-if converted basis, equal to dividends actually paid, if any, on shares of Common Stock. The Preferred Stock was convertible into shares of Common Stock at a rate of $13.65 per share for the Series A Preferred Stock and $15.00 per share for the Series B Preferred Stock, subject to adjustment. The Preferred Stock was convertible at the option of the holder at any time after the Company had received stockholder approval for the Reverse Stock Split and filed the requisite Amendment with the Delaware Secretary of State’s office to effectuate the Reverse Stock Split (the “Reverse Stock Split Date”), subject to beneficial ownership limitations set forth in the applicable Certificate of Designation. In addition, on or after the Reverse Stock Split Date, and subject to the satisfaction of certain conditions, the Company had the right to cause the holders of the Preferred Stock to convert their shares of Preferred Stock, subject to such beneficial ownership limitations.</w:t>
      </w:r>
    </w:p>
    <w:p>
      <w:pPr>
        <w:spacing w:after="0" w:line="19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Each holder of the Preferred Stock had the right to cause the Company to redeem all or part of their shares of the Preferred Stock from the earlier of receipt of stockholder approval of the Reverse Stock Split or of 90 days following the original issue date until 120 days following the original issue date, the “Redemption Date,” in cash at a redemption price equal to 105% of the stated value plus an amount equal to accumulated but unpaid dividends, if any, on such shares (whether or not earned or declared, but excluding interest on such dividends) up to, but excluding, the Redemption Date. In connection with the Preferred Offerings, the Company entered into a placement agent agreement (the “Placement Agent Agreement”) with AGP in which the Company paid $1,000,000 as a placement agent fee and $110,000 to reimburse AGP for certain expenses related to the Preferred Stock offering.</w:t>
      </w:r>
    </w:p>
    <w:p>
      <w:pPr>
        <w:spacing w:after="0" w:line="18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March 3, 2022, the Company redeemed for cash at a price equal to 105% of the $300 stated value per share all of its 50,000 outstanding shares of Series A Preferred Stock and its 50,000 outstanding Series B Preferred Stock. As a result, all shares of the Preferred Stock have been retired and are no longer outstanding and Celsion’s only class of outstanding stock is its common stock. Each share of common stock entitles the holder to one vote.</w:t>
      </w:r>
    </w:p>
    <w:p>
      <w:pPr>
        <w:spacing w:after="0" w:line="180" w:lineRule="exact"/>
        <w:rPr>
          <w:sz w:val="20"/>
          <w:szCs w:val="20"/>
          <w:color w:val="auto"/>
        </w:rPr>
      </w:pPr>
    </w:p>
    <w:p>
      <w:pPr>
        <w:jc w:val="both"/>
        <w:ind w:left="660"/>
        <w:spacing w:after="0" w:line="277" w:lineRule="auto"/>
        <w:rPr>
          <w:sz w:val="20"/>
          <w:szCs w:val="20"/>
          <w:color w:val="auto"/>
        </w:rPr>
      </w:pPr>
      <w:r>
        <w:rPr>
          <w:rFonts w:ascii="Times New Roman" w:cs="Times New Roman" w:eastAsia="Times New Roman" w:hAnsi="Times New Roman"/>
          <w:sz w:val="17"/>
          <w:szCs w:val="17"/>
          <w:color w:val="auto"/>
        </w:rPr>
        <w:t>The Series A Preferred Stock and Series B Preferred Stock were recorded as a liability on the condensed consolidated balance sheet during the first quarter of 2022 until the preferred shares were redeemed during the same quarter. The Company recognized $4,551,567 as interest expense for the preferred shares during the first quarter of 2022, which was composed of: (a) $3,000,000 as the difference between the redemption price for the preferred shares and the net proceeds received from the issuance of the preferred shares, (b) $1,110,000 paid to AGP as a placement agent fee and reimbursement for certain expenses, and (c) $441,567 in legal fees recognized in the first quarter that were attributed to the preferred shares.</w:t>
      </w:r>
    </w:p>
    <w:p>
      <w:pPr>
        <w:spacing w:after="0" w:line="168" w:lineRule="exact"/>
        <w:rPr>
          <w:sz w:val="20"/>
          <w:szCs w:val="20"/>
          <w:color w:val="auto"/>
        </w:rPr>
      </w:pPr>
    </w:p>
    <w:p>
      <w:pPr>
        <w:jc w:val="both"/>
        <w:ind w:left="660" w:hanging="328"/>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April 2022 Purchase Agreement contains customary representations, warranties and agreements by the Company and customary conditions to closing. The closing of the April 2022 Offering occurred on April 8, 2022.</w:t>
      </w:r>
    </w:p>
    <w:p>
      <w:pPr>
        <w:spacing w:after="0" w:line="187"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in our 2021 Annual Report on Form 10-K for the year ended December 31, 2021 filed with the SEC on March 31, 2022. See Note 3 to the Condensed Consolidated Financial Statements contained in this Quarterly Report on Form 10-Q.</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FINANCIAL REVIEW FOR THE THREE MONTHS ENDED JUNE 30,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2022 our net loss was $6.0 million compared to a net loss of $5.4 million for the same three-month period of 2021.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$48.1 million in cash and cash equivalents, short-term investments, interest receivable and restricted cash, coupled with approximately $3.5 million of future planned sales of the Company’s State of New Jersey net operating losses, the Company believes it has sufficient capital resources to fund its operations into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gridSpan w:val="6"/>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40" w:type="dxa"/>
            <w:vAlign w:val="bottom"/>
            <w:gridSpan w:val="2"/>
          </w:tcPr>
          <w:p>
            <w:pPr>
              <w:jc w:val="right"/>
              <w:ind w:right="121"/>
              <w:spacing w:after="0" w:line="194" w:lineRule="exact"/>
              <w:rPr>
                <w:sz w:val="20"/>
                <w:szCs w:val="20"/>
                <w:color w:val="auto"/>
              </w:rPr>
            </w:pPr>
            <w:r>
              <w:rPr>
                <w:rFonts w:ascii="Times New Roman" w:cs="Times New Roman" w:eastAsia="Times New Roman" w:hAnsi="Times New Roman"/>
                <w:sz w:val="18"/>
                <w:szCs w:val="18"/>
                <w:b w:val="1"/>
                <w:bCs w:val="1"/>
                <w:color w:val="auto"/>
              </w:rPr>
              <w:t>Change Increase</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5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5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2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28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1,210</w:t>
            </w:r>
          </w:p>
        </w:tc>
        <w:tc>
          <w:tcPr>
            <w:tcW w:w="440" w:type="dxa"/>
            <w:vAlign w:val="bottom"/>
          </w:tcPr>
          <w:p>
            <w:pPr>
              <w:spacing w:after="0"/>
              <w:rPr>
                <w:sz w:val="18"/>
                <w:szCs w:val="18"/>
                <w:color w:val="auto"/>
              </w:rPr>
            </w:pPr>
          </w:p>
        </w:tc>
        <w:tc>
          <w:tcPr>
            <w:tcW w:w="1840" w:type="dxa"/>
            <w:vAlign w:val="bottom"/>
            <w:gridSpan w:val="2"/>
          </w:tcPr>
          <w:p>
            <w:pPr>
              <w:jc w:val="right"/>
              <w:ind w:right="981"/>
              <w:spacing w:after="0"/>
              <w:rPr>
                <w:sz w:val="20"/>
                <w:szCs w:val="20"/>
                <w:color w:val="auto"/>
              </w:rPr>
            </w:pPr>
            <w:r>
              <w:rPr>
                <w:rFonts w:ascii="Times New Roman" w:cs="Times New Roman" w:eastAsia="Times New Roman" w:hAnsi="Times New Roman"/>
                <w:sz w:val="18"/>
                <w:szCs w:val="18"/>
                <w:color w:val="auto"/>
              </w:rPr>
              <w:t>295</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r>
      <w:tr>
        <w:trPr>
          <w:trHeight w:val="25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Chemistry, Manufacturing and Controls (CMC)</w:t>
            </w: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1,721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1,383</w:t>
            </w:r>
          </w:p>
        </w:tc>
        <w:tc>
          <w:tcPr>
            <w:tcW w:w="44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color w:val="auto"/>
              </w:rPr>
              <w:t>338</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r>
      <w:tr>
        <w:trPr>
          <w:trHeight w:val="203"/>
        </w:trPr>
        <w:tc>
          <w:tcPr>
            <w:tcW w:w="520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3,226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2,593</w:t>
            </w:r>
          </w:p>
        </w:tc>
        <w:tc>
          <w:tcPr>
            <w:tcW w:w="3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633</w:t>
            </w:r>
          </w:p>
        </w:tc>
        <w:tc>
          <w:tcPr>
            <w:tcW w:w="10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24.4%</w:t>
            </w:r>
          </w:p>
        </w:tc>
      </w:tr>
      <w:tr>
        <w:trPr>
          <w:trHeight w:val="25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2,877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2,603</w:t>
            </w:r>
          </w:p>
        </w:tc>
        <w:tc>
          <w:tcPr>
            <w:tcW w:w="44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color w:val="auto"/>
              </w:rPr>
              <w:t>274</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210"/>
        </w:trPr>
        <w:tc>
          <w:tcPr>
            <w:tcW w:w="52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6,103</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5,196</w:t>
            </w:r>
          </w:p>
        </w:tc>
        <w:tc>
          <w:tcPr>
            <w:tcW w:w="3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907</w:t>
            </w:r>
          </w:p>
        </w:tc>
        <w:tc>
          <w:tcPr>
            <w:tcW w:w="106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17.5%</w:t>
            </w:r>
          </w:p>
        </w:tc>
      </w:tr>
      <w:tr>
        <w:trPr>
          <w:trHeight w:val="229"/>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60" w:type="dxa"/>
            <w:vAlign w:val="bottom"/>
            <w:tcBorders>
              <w:bottom w:val="single" w:sz="8" w:color="CCEEFF"/>
            </w:tcBorders>
            <w:shd w:val="clear" w:color="auto" w:fill="CCEEFF"/>
          </w:tcPr>
          <w:p>
            <w:pPr>
              <w:jc w:val="right"/>
              <w:ind w:right="9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each of the second quarters of 2022 and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were $3.2 million in the second quarter of 2022 compared $2.6 million in same period of 2021. Costs associated the OVATION 2 Study were $0.4 million in each of the second quarters of 2022 and 2021. Costs associated with the OPTIMA Study were $0.5 million in the second quarter of 2022 compared to $0.2 million in the same period of 2021. In July 2020, the Company unblinded the OPTIMA Study at the recommendation of the DMC to halt the study due to futility. Other clinical and regulatory costs were $0.7 million the second quarter of 2022 compared to $0.6 million in the same period of 2021. R&amp;D costs associated with the development of GEN-1 to support the OVATION 2 Study as well as development of the PLACCINE DNA vaccine technology platform increased to $1.5 million in the second quarter of 2022 compared to $1.0 million in the same period of 2021. CMC costs decreased to $0.3 million in the second quarter of 2022 compared to $0.4 million in the same period of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$2.9 million in the second quarter of 2022 compared to $2.6 million in the same period of 2021. The increase of costs is associated with higher professional fees partially offset by less stock compensation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IPR&amp;D Liability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continuing deterioration of public capital markets in the biotech industry and its impact on market capitalization rates in this section, IPR&amp;D related to the ovarian cancer indication was reviewed for impairment during the second quarter of 2022. Based on the Company’s analysis of the IPR&amp;D, the Company has concluded that it is not more than likely that the asset had been impaired as of June 30, 2022. As such, no impairment charges for IPR&amp;D related to the ovarian cancer indication were recorded during the second quarter of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Earn-out Milestone Liability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2022 and March 31, 2022, the Company fair valued the earn-out milestone liability at $5.4 million with no change recorded to the fair value of the earn-out milestone during the second quarter of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income and interest expense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recognized interest expense of $0.1 million in the second quarter of 2022 compared to $0.2 million in the same period of 2021. As more fully discussed in Note 10, in June 2021, the Company entered into a $10 million loan facility with Silicon Valley Bank. The Company immediately used $6 million from this facility to retire all outstanding indebtedness with Horizon Technology Finance Corporation. The remaining $4 million will be available to be drawn down up to 12 months after closing and will be used for working capital and to fund the advancement of the Company’s product pipelines. In connection with this Horizon Technology Financing Facility, the Company incurred $0.2 million in interest expense in the second quarter of 2021 compared to $0.3 million during the same period of 2020. In connection with the termination of the Horizon Technology Financing Facility in the second quarter of 2021, the Company paid early termination and end of term charges to Horizon and recognized $0.2 million as a loss on debt extinguishment.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from its short-term investments was insignificant in the second quarter of 2021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SIX MONTHS ENDED JUNE 30,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2022 our net loss was $16.5 million compared to a net loss of $11.1 million for the same six-month period of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6"/>
          </w:tcPr>
          <w:p>
            <w:pPr>
              <w:jc w:val="right"/>
              <w:ind w:right="128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2"/>
          </w:tcPr>
          <w:p>
            <w:pPr>
              <w:jc w:val="right"/>
              <w:ind w:right="141"/>
              <w:spacing w:after="0" w:line="194" w:lineRule="exact"/>
              <w:rPr>
                <w:sz w:val="20"/>
                <w:szCs w:val="20"/>
                <w:color w:val="auto"/>
              </w:rPr>
            </w:pPr>
            <w:r>
              <w:rPr>
                <w:rFonts w:ascii="Times New Roman" w:cs="Times New Roman" w:eastAsia="Times New Roman" w:hAnsi="Times New Roman"/>
                <w:sz w:val="18"/>
                <w:szCs w:val="18"/>
                <w:b w:val="1"/>
                <w:bCs w:val="1"/>
                <w:color w:val="auto"/>
              </w:rPr>
              <w:t>Change Increase</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5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2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2,364</w:t>
            </w:r>
          </w:p>
        </w:tc>
        <w:tc>
          <w:tcPr>
            <w:tcW w:w="420" w:type="dxa"/>
            <w:vAlign w:val="bottom"/>
          </w:tcPr>
          <w:p>
            <w:pPr>
              <w:spacing w:after="0"/>
              <w:rPr>
                <w:sz w:val="18"/>
                <w:szCs w:val="18"/>
                <w:color w:val="auto"/>
              </w:rPr>
            </w:pPr>
          </w:p>
        </w:tc>
        <w:tc>
          <w:tcPr>
            <w:tcW w:w="1820" w:type="dxa"/>
            <w:vAlign w:val="bottom"/>
            <w:gridSpan w:val="2"/>
          </w:tcPr>
          <w:p>
            <w:pPr>
              <w:jc w:val="right"/>
              <w:ind w:right="941"/>
              <w:spacing w:after="0"/>
              <w:rPr>
                <w:sz w:val="20"/>
                <w:szCs w:val="20"/>
                <w:color w:val="auto"/>
              </w:rPr>
            </w:pPr>
            <w:r>
              <w:rPr>
                <w:rFonts w:ascii="Times New Roman" w:cs="Times New Roman" w:eastAsia="Times New Roman" w:hAnsi="Times New Roman"/>
                <w:sz w:val="18"/>
                <w:szCs w:val="18"/>
                <w:color w:val="auto"/>
              </w:rPr>
              <w:t>462</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r>
      <w:tr>
        <w:trPr>
          <w:trHeight w:val="25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Chemistry, Manufacturing and Controls (CMC)</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3,496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2,801</w:t>
            </w:r>
          </w:p>
        </w:tc>
        <w:tc>
          <w:tcPr>
            <w:tcW w:w="4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rPr>
              <w:t>695</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r>
      <w:tr>
        <w:trPr>
          <w:trHeight w:val="203"/>
        </w:trPr>
        <w:tc>
          <w:tcPr>
            <w:tcW w:w="520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6,322</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5,165</w:t>
            </w:r>
          </w:p>
        </w:tc>
        <w:tc>
          <w:tcPr>
            <w:tcW w:w="3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1,157</w:t>
            </w:r>
          </w:p>
        </w:tc>
        <w:tc>
          <w:tcPr>
            <w:tcW w:w="10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22.4%</w:t>
            </w:r>
          </w:p>
        </w:tc>
      </w:tr>
      <w:tr>
        <w:trPr>
          <w:trHeight w:val="25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5,748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5,540</w:t>
            </w:r>
          </w:p>
        </w:tc>
        <w:tc>
          <w:tcPr>
            <w:tcW w:w="4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rPr>
              <w:t>208</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52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12,070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10,705</w:t>
            </w:r>
          </w:p>
        </w:tc>
        <w:tc>
          <w:tcPr>
            <w:tcW w:w="3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1,365</w:t>
            </w:r>
          </w:p>
        </w:tc>
        <w:tc>
          <w:tcPr>
            <w:tcW w:w="102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12.8%</w:t>
            </w:r>
          </w:p>
        </w:tc>
      </w:tr>
      <w:tr>
        <w:trPr>
          <w:trHeight w:val="229"/>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2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$250,000 in each of the first two quarters of 2022 and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were $6.3 million in the first half of 2022 compared $5.2 million in same period of 2021. Costs associated the OVATION 2 Study were $0.8 million in the first half of 2022 compared to $0.9 million in the same period of 2021. Costs associated with the OPTIMA Study were $0.5 million in the first half of 2022 compared to $0.4 million in the same period of 2021. In July 2020, the Company unblinded the OPTIMA Study at the recommendation of the DMC to halt the study due to futility. Other clinical and regulatory costs were $1.5 million the first half of 2022 compared to $1.2 million in the same period of 2021. R&amp;D costs associated with the development of GEN-1 to support the OVATION 2 Study as well as development of the PLACCINE DNA vaccine technology platform increased to $2.9 million in the first half of 2022 compared to $2.0 million in the same period of 2021. CMC costs decreased to $0.6 million in the first half of 2022 compared to $0.8 million in the same period of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$5.7 million in the first half of 2022 compared to $5.5 million in the same period of 2021. The increase of costs is associated with higher professional fees partially offset by less stock compensation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IPR&amp;D Liability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continuing deterioration of public capital markets in the biotech industry and its impact on market capitalization rates in this section, IPR&amp;D related to the ovarian cancer indication was reviewed for impairment during the first half of 2022. Based on the Company’s analysis of the IPR&amp;D, the Company has concluded that it is not more than likely that the asset had been impaired as of June 30, 2022. As such, no impairment charges for IPR&amp;D related to the ovarian cancer indication were recorded during the first half of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Earn-out Milestone Liability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fair valued the earn-out milestone liability at $5.4 million with no change recorded to the fair value of the earn-out milestone liability during the first half of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income and interest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interest expense of $4.8 million in the first half of 2022. As more fully discussed in Notes 10 and 11 of the financial statements, the Company expensed $0.2 million in interest due to the Silicon Valley Bank loan facility and $4.6 million in interest attributed to the Series A Preferred Stock and Series B Preferred Stock during the first quarter of 2022.</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more fully discussed in Note 10, in June 2021, the Company entered into a $10 million loan facility with Silicon Valley Bank. The Company immediately used $6 million from this facility to retire all outstanding indebtedness with Horizon Technology Finance Corporation. The remaining $4 million will be available to be drawn down up to 12 months after closing and will be used for working capital and to fund the advancement of the Company’s product pipelines. In connection with this Horizon Technology Financing Facility, the Company incurred $0.4 million in interest expense in the first half of 202. In connection with the termination of the Horizon Technology Financing Facility in the second quarter of 2021, the Company paid early termination and end of term charges to Horizon and recognized $0.2 million as a loss on debt extinguishment.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from its short-term investments was insignificant in the first half of 2021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w:t>
      </w:r>
    </w:p>
    <w:p>
      <w:pPr>
        <w:jc w:val="both"/>
        <w:spacing w:after="0" w:line="227" w:lineRule="auto"/>
        <w:rPr>
          <w:sz w:val="20"/>
          <w:szCs w:val="20"/>
          <w:color w:val="auto"/>
        </w:rPr>
      </w:pPr>
      <w:r>
        <w:rPr>
          <w:rFonts w:ascii="Times New Roman" w:cs="Times New Roman" w:eastAsia="Times New Roman" w:hAnsi="Times New Roman"/>
          <w:sz w:val="18"/>
          <w:szCs w:val="18"/>
          <w:color w:val="auto"/>
        </w:rPr>
        <w:t>development agreement with Hisun. The process of developing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$349 million at June 30, 2022.</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2022, we had total current assets of $44.9 million and current liabilities of $6.9 million, resulting in net working capital of $38.0 million. At June 30, 2022, we had cash and cash equivalents, short-term investments, interest receivable on short term investments and money market investments ($6.0 million of which is included in other assets) of $48.1 million. At December 31, 2021 we had total current assets of $51.9 million and current liabilities of $6.8 million, resulting in net working capital of $45.1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first six months of 2022 was $13.4 million. Net cash provided by investing activities was $14.2 million during the first six months of 2022. Cash provided by financing activities during the first six months of 2022 totaled $6.3 million. With $48.1 million in cash and cash equivalents, short-term investments, interest receivable and restricted cash, coupled with approximately $3.5 million of future planned sales of the Company’s State of New Jersey net operating losses, the Company believes it has sufficient capital resources to fund its operations into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June 30, 2022,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Times New Roman" w:cs="Times New Roman" w:eastAsia="Times New Roman" w:hAnsi="Times New Roman"/>
          <w:sz w:val="18"/>
          <w:szCs w:val="18"/>
          <w:i w:val="1"/>
          <w:iCs w:val="1"/>
          <w:color w:val="auto"/>
        </w:rPr>
        <w:t>Spar v. Celsion Corporation, et al</w:t>
      </w:r>
      <w:r>
        <w:rPr>
          <w:rFonts w:ascii="Times New Roman" w:cs="Times New Roman" w:eastAsia="Times New Roman" w:hAnsi="Times New Roman"/>
          <w:sz w:val="18"/>
          <w:szCs w:val="18"/>
          <w:color w:val="auto"/>
        </w:rPr>
        <w:t>., Case No. 1:20-cv-15228. The plaintiff alleges that the Company and Individual Defendants made false and misleading statements regarding one of the Company’s product candidates, ThermoDox®, and brings claims for damages under Section 10(b) of the Exchange Act and Rule 10b-5 promulgated thereunder against all Defendants, and under Section 20(a) of the Exchange Act of 1934 against the Individual Defendants. The Company believes that the case is without merit and intends to defend it vigorously. At this stage of the case neither the likelihood that a loss, if any, will be realized, nor an estimate of possible loss or range of loss, if any, can be determined.</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Times New Roman" w:cs="Times New Roman" w:eastAsia="Times New Roman" w:hAnsi="Times New Roman"/>
          <w:sz w:val="18"/>
          <w:szCs w:val="18"/>
          <w:i w:val="1"/>
          <w:iCs w:val="1"/>
          <w:color w:val="auto"/>
        </w:rPr>
        <w:t>Fidler v. Michael H. Tardugno, et al.</w:t>
      </w:r>
      <w:r>
        <w:rPr>
          <w:rFonts w:ascii="Times New Roman" w:cs="Times New Roman" w:eastAsia="Times New Roman" w:hAnsi="Times New Roman"/>
          <w:sz w:val="18"/>
          <w:szCs w:val="18"/>
          <w:color w:val="auto"/>
        </w:rPr>
        <w:t>, Case No. 3:21-cv-02662. The plaintiff alleges breach of fiduciary duty and other claims arising out of alleged statements made by certain of the Company’s directors and/or officers regarding</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Company believes it has meritorious defenses to these claims and intends to vigorously contest this suit. At this stage of the case neither the likelihood that a loss, if any, will be realized, nor an estimate of possible loss or range of loss, if any, can be determined.</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2021, a complaint regarding a corporate books and records demand was filed against the Company in the Court of Chancery of the State of Delaware, captioned </w:t>
      </w:r>
      <w:r>
        <w:rPr>
          <w:rFonts w:ascii="Times New Roman" w:cs="Times New Roman" w:eastAsia="Times New Roman" w:hAnsi="Times New Roman"/>
          <w:sz w:val="18"/>
          <w:szCs w:val="18"/>
          <w:i w:val="1"/>
          <w:iCs w:val="1"/>
          <w:color w:val="auto"/>
        </w:rPr>
        <w:t>Pacheco v. Celsion Corporation</w:t>
      </w:r>
      <w:r>
        <w:rPr>
          <w:rFonts w:ascii="Times New Roman" w:cs="Times New Roman" w:eastAsia="Times New Roman" w:hAnsi="Times New Roman"/>
          <w:sz w:val="18"/>
          <w:szCs w:val="18"/>
          <w:color w:val="auto"/>
        </w:rPr>
        <w:t>, Case No. 2021-0705. The plaintiff alleges he is entitled to inspect the Company’s books and records concerning the OPTIMA Study and other materials. The Company believes that the scope of the demand is without merit and intends to defend it vigorously. At this stage of the case neither the likelihood that a loss, if any, will be realized, nor an estimate of possible loss or range of loss, if any, can be determined.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risk factors from those disclosed under “Risk Factors” in Part I, Item 1A of our 2021 Annual Report on Form 10-K. The risks and uncertainties described in our 2021 Annual Report on Form 10-K are not the only ones we face. Additional risks and uncertainties not presently known to us or that we currently deem immaterial may also materially adversely affect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880" w:type="dxa"/>
            <w:vAlign w:val="bottom"/>
            <w:gridSpan w:val="5"/>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At the Market Offering Agreement, dated May 25, 2022 by and between Celsion Corporation and H.C. Wainwright &amp; Co. LLC,</w:t>
              </w:r>
            </w:hyperlink>
          </w:p>
        </w:tc>
      </w:tr>
      <w:tr>
        <w:trPr>
          <w:trHeight w:val="20"/>
        </w:trPr>
        <w:tc>
          <w:tcPr>
            <w:tcW w:w="13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5"/>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incorporated by reference to Exhibit 10.1 to the Current Report on Form 8-K of the Company, filed on May 25, 2022, (SEC File NO.</w:t>
              </w:r>
            </w:hyperlink>
          </w:p>
        </w:tc>
      </w:tr>
      <w:tr>
        <w:trPr>
          <w:trHeight w:val="196"/>
        </w:trPr>
        <w:tc>
          <w:tcPr>
            <w:tcW w:w="136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50">
              <w:r>
                <w:rPr>
                  <w:rFonts w:ascii="Times New Roman" w:cs="Times New Roman" w:eastAsia="Times New Roman" w:hAnsi="Times New Roman"/>
                  <w:sz w:val="18"/>
                  <w:szCs w:val="18"/>
                  <w:color w:val="0000EE"/>
                  <w:w w:val="97"/>
                </w:rPr>
                <w:t>001-15911).</w:t>
              </w:r>
            </w:hyperlink>
          </w:p>
        </w:tc>
        <w:tc>
          <w:tcPr>
            <w:tcW w:w="20" w:type="dxa"/>
            <w:vAlign w:val="bottom"/>
            <w:tcBorders>
              <w:top w:val="single" w:sz="8" w:color="0000EE"/>
            </w:tcBorders>
          </w:tcPr>
          <w:p>
            <w:pPr>
              <w:spacing w:after="0"/>
              <w:rPr>
                <w:sz w:val="17"/>
                <w:szCs w:val="17"/>
                <w:color w:val="auto"/>
              </w:rPr>
            </w:pPr>
          </w:p>
        </w:tc>
        <w:tc>
          <w:tcPr>
            <w:tcW w:w="78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13a-14(a)/15d-14(a), as adopted pursuant to Section 302 of the Sarbanes-Oxley</w:t>
            </w:r>
          </w:p>
        </w:tc>
      </w:tr>
      <w:tr>
        <w:trPr>
          <w:trHeight w:val="196"/>
        </w:trPr>
        <w:tc>
          <w:tcPr>
            <w:tcW w:w="1360" w:type="dxa"/>
            <w:vAlign w:val="bottom"/>
          </w:tcPr>
          <w:p>
            <w:pPr>
              <w:spacing w:after="0"/>
              <w:rPr>
                <w:sz w:val="17"/>
                <w:szCs w:val="17"/>
                <w:color w:val="auto"/>
              </w:rPr>
            </w:pPr>
          </w:p>
        </w:tc>
        <w:tc>
          <w:tcPr>
            <w:tcW w:w="98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13a-14(a)/15d-14(a), as adopted pursuant to Section 302 of the Sarbanes-Oxley</w:t>
            </w:r>
          </w:p>
        </w:tc>
      </w:tr>
      <w:tr>
        <w:trPr>
          <w:trHeight w:val="196"/>
        </w:trPr>
        <w:tc>
          <w:tcPr>
            <w:tcW w:w="1360" w:type="dxa"/>
            <w:vAlign w:val="bottom"/>
          </w:tcPr>
          <w:p>
            <w:pPr>
              <w:spacing w:after="0"/>
              <w:rPr>
                <w:sz w:val="17"/>
                <w:szCs w:val="17"/>
                <w:color w:val="auto"/>
              </w:rPr>
            </w:pPr>
          </w:p>
        </w:tc>
        <w:tc>
          <w:tcPr>
            <w:tcW w:w="9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1360" w:type="dxa"/>
            <w:vAlign w:val="bottom"/>
          </w:tcPr>
          <w:p>
            <w:pPr>
              <w:spacing w:after="0" w:line="20" w:lineRule="exact"/>
              <w:rPr>
                <w:sz w:val="1"/>
                <w:szCs w:val="1"/>
                <w:color w:val="auto"/>
              </w:rPr>
            </w:pPr>
          </w:p>
        </w:tc>
        <w:tc>
          <w:tcPr>
            <w:tcW w:w="870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4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Form 10-Q for the quarter ended June 30, 2022 formatted in XBRL</w:t>
            </w:r>
          </w:p>
        </w:tc>
      </w:tr>
      <w:tr>
        <w:trPr>
          <w:trHeight w:val="234"/>
        </w:trPr>
        <w:tc>
          <w:tcPr>
            <w:tcW w:w="136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(Extensible Business Reporting Language): (i) the unaudited Consolidated Balance Sheets, (ii) the unaudited Consolidated Statements of</w:t>
            </w:r>
          </w:p>
        </w:tc>
      </w:tr>
    </w:tbl>
    <w:p>
      <w:pPr>
        <w:jc w:val="both"/>
        <w:ind w:left="1360"/>
        <w:spacing w:after="0" w:line="255" w:lineRule="auto"/>
        <w:rPr>
          <w:sz w:val="20"/>
          <w:szCs w:val="20"/>
          <w:color w:val="auto"/>
        </w:rPr>
      </w:pPr>
      <w:r>
        <w:rPr>
          <w:rFonts w:ascii="Times New Roman" w:cs="Times New Roman" w:eastAsia="Times New Roman" w:hAnsi="Times New Roman"/>
          <w:sz w:val="18"/>
          <w:szCs w:val="18"/>
          <w:color w:val="auto"/>
        </w:rPr>
        <w:t>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6" w:lineRule="exact"/>
        <w:rPr>
          <w:sz w:val="20"/>
          <w:szCs w:val="20"/>
          <w:color w:val="auto"/>
        </w:rPr>
      </w:pPr>
    </w:p>
    <w:p>
      <w:pPr>
        <w:ind w:left="1360" w:hanging="1352"/>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1360" w:hanging="1352"/>
        <w:spacing w:after="0" w:line="261" w:lineRule="auto"/>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0" w:lineRule="exact"/>
        <w:rPr>
          <w:sz w:val="20"/>
          <w:szCs w:val="20"/>
          <w:color w:val="auto"/>
        </w:rPr>
      </w:pPr>
    </w:p>
    <w:p>
      <w:pPr>
        <w:ind w:left="1360" w:hanging="1352"/>
        <w:spacing w:after="0"/>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225" w:lineRule="exact"/>
        <w:rPr>
          <w:sz w:val="20"/>
          <w:szCs w:val="20"/>
          <w:color w:val="auto"/>
        </w:rPr>
      </w:pPr>
    </w:p>
    <w:p>
      <w:pPr>
        <w:ind w:left="5540" w:right="4100" w:hanging="5532"/>
        <w:spacing w:after="0" w:line="532" w:lineRule="auto"/>
        <w:tabs>
          <w:tab w:leader="none" w:pos="13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August 15, 2022</w:t>
      </w:r>
      <w:r>
        <w:rPr>
          <w:sz w:val="20"/>
          <w:szCs w:val="20"/>
          <w:color w:val="auto"/>
        </w:rPr>
        <w:tab/>
      </w:r>
      <w:r>
        <w:rPr>
          <w:rFonts w:ascii="Times New Roman" w:cs="Times New Roman" w:eastAsia="Times New Roman" w:hAnsi="Times New Roman"/>
          <w:sz w:val="17"/>
          <w:szCs w:val="17"/>
          <w:color w:val="auto"/>
        </w:rPr>
        <w:t>CELSION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Corinne Le Goff</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Corinne Le Goff,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Celsion Corporation;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August 15,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Corinne Le Goff</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 Church, certify that:</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Celsion Corporation;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August 15, 2022</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June 30, 2022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20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August 15,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Corinne Le Goff</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August 15, 2022</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4" w:lineRule="exact"/>
        <w:rPr>
          <w:sz w:val="20"/>
          <w:szCs w:val="20"/>
          <w:color w:val="auto"/>
        </w:rPr>
      </w:pPr>
    </w:p>
    <w:p>
      <w:pPr>
        <w:jc w:val="both"/>
        <w:ind w:firstLine="8"/>
        <w:spacing w:after="0" w:line="266" w:lineRule="auto"/>
        <w:tabs>
          <w:tab w:leader="none" w:pos="1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lowerRoman"/>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lvl w:ilvl="1">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04"/>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50" Type="http://schemas.openxmlformats.org/officeDocument/2006/relationships/hyperlink" Target="https://www.sec.gov/Archives/edgar/data/749647/00014931522201506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2022-08-15T07:11:28Z</dcterms:created>
  <dcterms:modified xsi:type="dcterms:W3CDTF">2022-08-15T07:11:28Z</dcterms:modified>
</cp:coreProperties>
</file>