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15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 to _______</w:t>
      </w:r>
    </w:p>
    <w:p>
      <w:pPr>
        <w:spacing w:after="0" w:line="1"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001-15911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Pr>
          <w:p>
            <w:pPr>
              <w:jc w:val="right"/>
              <w:ind w:right="150"/>
              <w:spacing w:after="0"/>
              <w:rPr>
                <w:sz w:val="20"/>
                <w:szCs w:val="20"/>
                <w:color w:val="auto"/>
              </w:rPr>
            </w:pPr>
            <w:r>
              <w:rPr>
                <w:rFonts w:ascii="Arial" w:cs="Arial" w:eastAsia="Arial" w:hAnsi="Arial"/>
                <w:sz w:val="18"/>
                <w:szCs w:val="18"/>
                <w:b w:val="1"/>
                <w:bCs w:val="1"/>
                <w:color w:val="auto"/>
              </w:rPr>
              <w:t>52-1256615</w:t>
            </w:r>
          </w:p>
        </w:tc>
      </w:tr>
      <w:tr>
        <w:trPr>
          <w:trHeight w:val="216"/>
        </w:trPr>
        <w:tc>
          <w:tcPr>
            <w:tcW w:w="4720" w:type="dxa"/>
            <w:vAlign w:val="bottom"/>
          </w:tcPr>
          <w:p>
            <w:pPr>
              <w:jc w:val="center"/>
              <w:ind w:right="17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670"/>
              <w:spacing w:after="0"/>
              <w:rPr>
                <w:sz w:val="20"/>
                <w:szCs w:val="20"/>
                <w:color w:val="auto"/>
              </w:rPr>
            </w:pPr>
            <w:r>
              <w:rPr>
                <w:rFonts w:ascii="Arial" w:cs="Arial" w:eastAsia="Arial" w:hAnsi="Arial"/>
                <w:sz w:val="18"/>
                <w:szCs w:val="18"/>
                <w:color w:val="auto"/>
                <w:w w:val="92"/>
              </w:rPr>
              <w:t>(I.R.S. Employer</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8"/>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rPr>
              <w:t>LAWRENCEVILLE, NJ</w:t>
            </w:r>
          </w:p>
        </w:tc>
        <w:tc>
          <w:tcPr>
            <w:tcW w:w="3140" w:type="dxa"/>
            <w:vAlign w:val="bottom"/>
          </w:tcPr>
          <w:p>
            <w:pPr>
              <w:jc w:val="right"/>
              <w:ind w:right="350"/>
              <w:spacing w:after="0"/>
              <w:rPr>
                <w:sz w:val="20"/>
                <w:szCs w:val="20"/>
                <w:color w:val="auto"/>
              </w:rPr>
            </w:pPr>
            <w:r>
              <w:rPr>
                <w:rFonts w:ascii="Arial" w:cs="Arial" w:eastAsia="Arial" w:hAnsi="Arial"/>
                <w:sz w:val="18"/>
                <w:szCs w:val="18"/>
                <w:b w:val="1"/>
                <w:bCs w:val="1"/>
                <w:color w:val="auto"/>
              </w:rPr>
              <w:t>08648</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896-9100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5"/>
          </w:tcPr>
          <w:p>
            <w:pPr>
              <w:ind w:left="2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53"/>
        </w:trPr>
        <w:tc>
          <w:tcPr>
            <w:tcW w:w="3340" w:type="dxa"/>
            <w:vAlign w:val="bottom"/>
          </w:tcPr>
          <w:p>
            <w:pPr>
              <w:jc w:val="center"/>
              <w:ind w:left="190"/>
              <w:spacing w:after="0"/>
              <w:rPr>
                <w:sz w:val="20"/>
                <w:szCs w:val="20"/>
                <w:color w:val="auto"/>
              </w:rPr>
            </w:pPr>
            <w:r>
              <w:rPr>
                <w:rFonts w:ascii="Arial" w:cs="Arial" w:eastAsia="Arial" w:hAnsi="Arial"/>
                <w:sz w:val="18"/>
                <w:szCs w:val="18"/>
                <w:color w:val="auto"/>
                <w:w w:val="90"/>
              </w:rPr>
              <w:t>Title of each class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w:t>
            </w: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334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COMMON STOCK, PAR VALUE</w:t>
            </w: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CLSN</w:t>
            </w:r>
          </w:p>
        </w:tc>
        <w:tc>
          <w:tcPr>
            <w:tcW w:w="220" w:type="dxa"/>
            <w:vAlign w:val="bottom"/>
          </w:tcPr>
          <w:p>
            <w:pPr>
              <w:spacing w:after="0"/>
              <w:rPr>
                <w:sz w:val="18"/>
                <w:szCs w:val="18"/>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NASDAQ CAPITAL MARKET</w:t>
            </w:r>
          </w:p>
        </w:tc>
      </w:tr>
    </w:tbl>
    <w:p>
      <w:pPr>
        <w:ind w:left="1080"/>
        <w:spacing w:after="0"/>
        <w:rPr>
          <w:sz w:val="20"/>
          <w:szCs w:val="20"/>
          <w:color w:val="auto"/>
        </w:rPr>
      </w:pPr>
      <w:r>
        <w:rPr>
          <w:rFonts w:ascii="Arial" w:cs="Arial" w:eastAsia="Arial" w:hAnsi="Arial"/>
          <w:sz w:val="18"/>
          <w:szCs w:val="18"/>
          <w:b w:val="1"/>
          <w:bCs w:val="1"/>
          <w:color w:val="auto"/>
        </w:rPr>
        <w:t>$0.01 PER SHARE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452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1240" w:type="dxa"/>
            <w:vAlign w:val="bottom"/>
          </w:tcPr>
          <w:p>
            <w:pPr>
              <w:ind w:left="980"/>
              <w:spacing w:after="0"/>
              <w:rPr>
                <w:sz w:val="20"/>
                <w:szCs w:val="20"/>
                <w:color w:val="auto"/>
              </w:rPr>
            </w:pPr>
            <w:r>
              <w:rPr>
                <w:rFonts w:ascii="Arial" w:cs="Arial" w:eastAsia="Arial" w:hAnsi="Arial"/>
                <w:sz w:val="18"/>
                <w:szCs w:val="18"/>
                <w:color w:val="auto"/>
              </w:rPr>
              <w:t>[ ]</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452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1240" w:type="dxa"/>
            <w:vAlign w:val="bottom"/>
          </w:tcPr>
          <w:p>
            <w:pPr>
              <w:ind w:left="980"/>
              <w:spacing w:after="0"/>
              <w:rPr>
                <w:sz w:val="20"/>
                <w:szCs w:val="20"/>
                <w:color w:val="auto"/>
              </w:rPr>
            </w:pPr>
            <w:r>
              <w:rPr>
                <w:rFonts w:ascii="Arial" w:cs="Arial" w:eastAsia="Arial" w:hAnsi="Arial"/>
                <w:sz w:val="18"/>
                <w:szCs w:val="18"/>
                <w:color w:val="auto"/>
              </w:rPr>
              <w:t>[X]</w:t>
            </w:r>
          </w:p>
        </w:tc>
      </w:tr>
      <w:tr>
        <w:trPr>
          <w:trHeight w:val="230"/>
        </w:trPr>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52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1240" w:type="dxa"/>
            <w:vAlign w:val="bottom"/>
          </w:tcPr>
          <w:p>
            <w:pPr>
              <w:ind w:left="980"/>
              <w:spacing w:after="0"/>
              <w:rPr>
                <w:sz w:val="20"/>
                <w:szCs w:val="20"/>
                <w:color w:val="auto"/>
              </w:rPr>
            </w:pPr>
            <w:r>
              <w:rPr>
                <w:rFonts w:ascii="Arial" w:cs="Arial" w:eastAsia="Arial" w:hAnsi="Arial"/>
                <w:sz w:val="18"/>
                <w:szCs w:val="18"/>
                <w:color w:val="auto"/>
              </w:rPr>
              <w:t>[ ]</w:t>
            </w: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 Yes [ ] No [X]</w:t>
      </w:r>
    </w:p>
    <w:p>
      <w:pPr>
        <w:sectPr>
          <w:pgSz w:w="11900" w:h="16838" w:orient="portrait"/>
          <w:cols w:equalWidth="0" w:num="1">
            <w:col w:w="11240"/>
          </w:cols>
          <w:pgMar w:left="320" w:top="746" w:right="339" w:bottom="0" w:gutter="0" w:footer="0" w:header="0"/>
        </w:sectPr>
      </w:pPr>
    </w:p>
    <w:bookmarkStart w:id="1" w:name="page2"/>
    <w:bookmarkEnd w:id="1"/>
    <w:p>
      <w:pPr>
        <w:jc w:val="both"/>
        <w:spacing w:after="0" w:line="275" w:lineRule="auto"/>
        <w:rPr>
          <w:sz w:val="20"/>
          <w:szCs w:val="20"/>
          <w:color w:val="auto"/>
        </w:rPr>
      </w:pPr>
      <w:r>
        <w:rPr>
          <w:rFonts w:ascii="Arial" w:cs="Arial" w:eastAsia="Arial" w:hAnsi="Arial"/>
          <w:sz w:val="17"/>
          <w:szCs w:val="17"/>
          <w:color w:val="auto"/>
        </w:rPr>
        <w:t>The aggregate market value of the common stock held by non-affiliates of the Registrant was approximately $38.2 million as of June 30, 2019 (the last business day of the Registrant’s most recently completed second fiscal quarter) based on the closing sale price of $1.82 for the Registrant’s common stock on that date as reported by The Nasdaq Capital Market. For purposes of this calculation, shares of common stock held by directors, officers and stockholders who own greater than 10% of the Registrant’s outstanding stock at June 30, 2019 were excluded. This determination of executive officers and directors as affiliates is not necessarily a conclusive determination for any other purpose.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March 24, 2020, 29,257,101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to be filed for its 2020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6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9"/>
              </w:rPr>
              <w:t>CELSION CORPORATION</w:t>
            </w:r>
          </w:p>
        </w:tc>
        <w:tc>
          <w:tcPr>
            <w:tcW w:w="24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rPr>
              <w:t>FORM 10-K</w:t>
            </w:r>
          </w:p>
        </w:tc>
        <w:tc>
          <w:tcPr>
            <w:tcW w:w="246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6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20"/>
                <w:szCs w:val="20"/>
                <w:color w:val="auto"/>
              </w:rPr>
            </w:pP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840" w:type="dxa"/>
            <w:vAlign w:val="bottom"/>
            <w:gridSpan w:val="2"/>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7080" w:type="dxa"/>
            <w:vAlign w:val="bottom"/>
            <w:tcBorders>
              <w:bottom w:val="single" w:sz="8" w:color="CCEEFF"/>
            </w:tcBorders>
            <w:gridSpan w:val="28"/>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940" w:type="dxa"/>
            <w:vAlign w:val="bottom"/>
            <w:gridSpan w:val="3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THERMODOX®</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THERMODOX® for the Treatment of Primary Liver Cancer</w:t>
              </w:r>
            </w:hyperlink>
          </w:p>
        </w:tc>
        <w:tc>
          <w:tcPr>
            <w:tcW w:w="336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176"/>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gridSpan w:val="3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Primary Liver Cancer Overview</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760" w:type="dxa"/>
            <w:vAlign w:val="bottom"/>
            <w:gridSpan w:val="3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Celsion’s Approach</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gridSpan w:val="31"/>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The OPTIMA Study</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IMMUNO-ONCOLOGY PROGRAM</w:t>
              </w:r>
            </w:hyperlink>
          </w:p>
        </w:tc>
        <w:tc>
          <w:tcPr>
            <w:tcW w:w="5160" w:type="dxa"/>
            <w:vAlign w:val="bottom"/>
            <w:tcBorders>
              <w:bottom w:val="single" w:sz="8" w:color="CCEEFF"/>
            </w:tcBorders>
            <w:gridSpan w:val="7"/>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gridSpan w:val="3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THERAPLAS Technology Platform</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Ovarian Cancer Overview</w:t>
              </w:r>
            </w:hyperlink>
          </w:p>
        </w:tc>
        <w:tc>
          <w:tcPr>
            <w:tcW w:w="5860" w:type="dxa"/>
            <w:vAlign w:val="bottom"/>
            <w:tcBorders>
              <w:bottom w:val="single" w:sz="8" w:color="CCEEFF"/>
            </w:tcBorders>
            <w:gridSpan w:val="1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gridSpan w:val="3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OVATION I Study</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760" w:type="dxa"/>
            <w:vAlign w:val="bottom"/>
            <w:gridSpan w:val="31"/>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OVATION 2 Study</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BUSINESS STRATEGY AND DEVELOPMENT PLAN</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RESEARCH AND DEVELOPMENT EXPENDITURES</w:t>
              </w:r>
            </w:hyperlink>
          </w:p>
        </w:tc>
        <w:tc>
          <w:tcPr>
            <w:tcW w:w="3800" w:type="dxa"/>
            <w:vAlign w:val="bottom"/>
            <w:tcBorders>
              <w:bottom w:val="single" w:sz="8" w:color="CCEEFF"/>
            </w:tcBorders>
            <w:gridSpan w:val="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GOVERNMENT REGULATION</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40" w:type="dxa"/>
            <w:vAlign w:val="bottom"/>
            <w:gridSpan w:val="3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MANUFACTURING AND SUPPLY</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21</w:t>
            </w:r>
          </w:p>
        </w:tc>
      </w:tr>
      <w:tr>
        <w:trPr>
          <w:trHeight w:val="175"/>
        </w:trPr>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7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SALES AND MARKETING</w:t>
              </w:r>
            </w:hyperlink>
          </w:p>
        </w:tc>
        <w:tc>
          <w:tcPr>
            <w:tcW w:w="5240" w:type="dxa"/>
            <w:vAlign w:val="bottom"/>
            <w:tcBorders>
              <w:top w:val="single" w:sz="8" w:color="CCEEFF"/>
            </w:tcBorders>
            <w:gridSpan w:val="8"/>
          </w:tcPr>
          <w:p>
            <w:pPr>
              <w:spacing w:after="0"/>
              <w:rPr>
                <w:sz w:val="15"/>
                <w:szCs w:val="15"/>
                <w:color w:val="auto"/>
              </w:rPr>
            </w:pPr>
          </w:p>
        </w:tc>
        <w:tc>
          <w:tcPr>
            <w:tcW w:w="2460" w:type="dxa"/>
            <w:vAlign w:val="bottom"/>
            <w:tcBorders>
              <w:top w:val="single" w:sz="8" w:color="CCEEFF"/>
            </w:tcBorders>
          </w:tcPr>
          <w:p>
            <w:pPr>
              <w:jc w:val="center"/>
              <w:ind w:left="1710"/>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40" w:type="dxa"/>
            <w:vAlign w:val="bottom"/>
            <w:gridSpan w:val="3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PRODUCT LIABILITY AND INSURANCE</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21</w:t>
            </w:r>
          </w:p>
        </w:tc>
      </w:tr>
      <w:tr>
        <w:trPr>
          <w:trHeight w:val="175"/>
        </w:trPr>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8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COMPETITION</w:t>
              </w:r>
            </w:hyperlink>
          </w:p>
        </w:tc>
        <w:tc>
          <w:tcPr>
            <w:tcW w:w="4660" w:type="dxa"/>
            <w:vAlign w:val="bottom"/>
            <w:tcBorders>
              <w:top w:val="single" w:sz="8" w:color="CCEEFF"/>
            </w:tcBorders>
            <w:gridSpan w:val="3"/>
          </w:tcPr>
          <w:p>
            <w:pPr>
              <w:spacing w:after="0"/>
              <w:rPr>
                <w:sz w:val="15"/>
                <w:szCs w:val="15"/>
                <w:color w:val="auto"/>
              </w:rPr>
            </w:pPr>
          </w:p>
        </w:tc>
        <w:tc>
          <w:tcPr>
            <w:tcW w:w="2460" w:type="dxa"/>
            <w:vAlign w:val="bottom"/>
            <w:tcBorders>
              <w:top w:val="single" w:sz="8" w:color="CCEEFF"/>
            </w:tcBorders>
          </w:tcPr>
          <w:p>
            <w:pPr>
              <w:jc w:val="center"/>
              <w:ind w:left="1710"/>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760" w:type="dxa"/>
            <w:vAlign w:val="bottom"/>
            <w:gridSpan w:val="3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ThermoDox®</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GEN-1</w:t>
              </w:r>
            </w:hyperlink>
          </w:p>
        </w:tc>
        <w:tc>
          <w:tcPr>
            <w:tcW w:w="6740" w:type="dxa"/>
            <w:vAlign w:val="bottom"/>
            <w:tcBorders>
              <w:top w:val="single" w:sz="8" w:color="CCEEFF"/>
            </w:tcBorders>
            <w:gridSpan w:val="25"/>
          </w:tcPr>
          <w:p>
            <w:pPr>
              <w:spacing w:after="0"/>
              <w:rPr>
                <w:sz w:val="15"/>
                <w:szCs w:val="15"/>
                <w:color w:val="auto"/>
              </w:rPr>
            </w:pPr>
          </w:p>
        </w:tc>
        <w:tc>
          <w:tcPr>
            <w:tcW w:w="2460" w:type="dxa"/>
            <w:vAlign w:val="bottom"/>
            <w:tcBorders>
              <w:top w:val="single" w:sz="8" w:color="CCEEFF"/>
            </w:tcBorders>
          </w:tcPr>
          <w:p>
            <w:pPr>
              <w:jc w:val="center"/>
              <w:ind w:left="171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INTELLECTUAL PROPERTY</w:t>
              </w:r>
            </w:hyperlink>
          </w:p>
        </w:tc>
        <w:tc>
          <w:tcPr>
            <w:tcW w:w="5640" w:type="dxa"/>
            <w:vAlign w:val="bottom"/>
            <w:tcBorders>
              <w:bottom w:val="single" w:sz="8" w:color="CCEEFF"/>
            </w:tcBorders>
            <w:gridSpan w:val="11"/>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gridSpan w:val="3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Licenses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right w:val="single" w:sz="8" w:color="CCEEFF"/>
            </w:tcBorders>
            <w:gridSpan w:val="21"/>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Patents and Proprietary Rights</w:t>
              </w:r>
            </w:hyperlink>
          </w:p>
        </w:tc>
        <w:tc>
          <w:tcPr>
            <w:tcW w:w="5500" w:type="dxa"/>
            <w:vAlign w:val="bottom"/>
            <w:tcBorders>
              <w:bottom w:val="single" w:sz="8" w:color="CCEEFF"/>
            </w:tcBorders>
            <w:gridSpan w:val="10"/>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EMPLOYEES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COMPANY INFORMATION</w:t>
              </w:r>
            </w:hyperlink>
          </w:p>
        </w:tc>
        <w:tc>
          <w:tcPr>
            <w:tcW w:w="5760" w:type="dxa"/>
            <w:vAlign w:val="bottom"/>
            <w:tcBorders>
              <w:bottom w:val="single" w:sz="8" w:color="CCEEFF"/>
            </w:tcBorders>
            <w:gridSpan w:val="13"/>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940" w:type="dxa"/>
            <w:vAlign w:val="bottom"/>
            <w:gridSpan w:val="3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AVAILABLE INFORMATION</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RECENT EVENTS</w:t>
              </w:r>
            </w:hyperlink>
          </w:p>
        </w:tc>
        <w:tc>
          <w:tcPr>
            <w:tcW w:w="6500" w:type="dxa"/>
            <w:vAlign w:val="bottom"/>
            <w:tcBorders>
              <w:bottom w:val="single" w:sz="8" w:color="CCEEFF"/>
            </w:tcBorders>
            <w:gridSpan w:val="21"/>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24</w:t>
            </w: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7940" w:type="dxa"/>
            <w:vAlign w:val="bottom"/>
            <w:gridSpan w:val="3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7940" w:type="dxa"/>
            <w:vAlign w:val="bottom"/>
            <w:gridSpan w:val="3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2.</w:t>
            </w:r>
          </w:p>
        </w:tc>
        <w:tc>
          <w:tcPr>
            <w:tcW w:w="282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5120" w:type="dxa"/>
            <w:vAlign w:val="bottom"/>
            <w:tcBorders>
              <w:top w:val="single" w:sz="8" w:color="CCEEFF"/>
            </w:tcBorders>
            <w:gridSpan w:val="5"/>
          </w:tcPr>
          <w:p>
            <w:pPr>
              <w:spacing w:after="0"/>
              <w:rPr>
                <w:sz w:val="15"/>
                <w:szCs w:val="15"/>
                <w:color w:val="auto"/>
              </w:rPr>
            </w:pPr>
          </w:p>
        </w:tc>
        <w:tc>
          <w:tcPr>
            <w:tcW w:w="2460" w:type="dxa"/>
            <w:vAlign w:val="bottom"/>
            <w:tcBorders>
              <w:top w:val="single" w:sz="8" w:color="CCEEFF"/>
            </w:tcBorders>
          </w:tcPr>
          <w:p>
            <w:pPr>
              <w:jc w:val="center"/>
              <w:ind w:left="171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LEGAL PROCEEDINGS</w:t>
              </w:r>
            </w:hyperlink>
          </w:p>
        </w:tc>
        <w:tc>
          <w:tcPr>
            <w:tcW w:w="6060" w:type="dxa"/>
            <w:vAlign w:val="bottom"/>
            <w:tcBorders>
              <w:bottom w:val="single" w:sz="8" w:color="CCEEFF"/>
            </w:tcBorders>
            <w:gridSpan w:val="1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45</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7940" w:type="dxa"/>
            <w:vAlign w:val="bottom"/>
            <w:gridSpan w:val="32"/>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20" w:type="dxa"/>
            <w:vAlign w:val="bottom"/>
            <w:gridSpan w:val="13"/>
          </w:tcPr>
          <w:p>
            <w:pPr>
              <w:jc w:val="center"/>
              <w:ind w:right="3500"/>
              <w:spacing w:after="0"/>
              <w:rPr>
                <w:sz w:val="20"/>
                <w:szCs w:val="20"/>
                <w:color w:val="auto"/>
              </w:rPr>
            </w:pPr>
            <w:r>
              <w:rPr>
                <w:rFonts w:ascii="Arial" w:cs="Arial" w:eastAsia="Arial" w:hAnsi="Arial"/>
                <w:sz w:val="18"/>
                <w:szCs w:val="18"/>
                <w:b w:val="1"/>
                <w:bCs w:val="1"/>
                <w:color w:val="auto"/>
                <w:w w:val="99"/>
              </w:rPr>
              <w:t>CELSION CORPORATION</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00" w:type="dxa"/>
            <w:vAlign w:val="bottom"/>
            <w:gridSpan w:val="11"/>
          </w:tcPr>
          <w:p>
            <w:pPr>
              <w:jc w:val="center"/>
              <w:ind w:right="4200"/>
              <w:spacing w:after="0"/>
              <w:rPr>
                <w:sz w:val="20"/>
                <w:szCs w:val="20"/>
                <w:color w:val="auto"/>
              </w:rPr>
            </w:pPr>
            <w:r>
              <w:rPr>
                <w:rFonts w:ascii="Arial" w:cs="Arial" w:eastAsia="Arial" w:hAnsi="Arial"/>
                <w:sz w:val="18"/>
                <w:szCs w:val="18"/>
                <w:b w:val="1"/>
                <w:bCs w:val="1"/>
                <w:color w:val="auto"/>
              </w:rPr>
              <w:t>FORM 10-K</w:t>
            </w:r>
          </w:p>
        </w:tc>
        <w:tc>
          <w:tcPr>
            <w:tcW w:w="6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20" w:type="dxa"/>
            <w:vAlign w:val="bottom"/>
            <w:gridSpan w:val="13"/>
          </w:tcPr>
          <w:p>
            <w:pPr>
              <w:jc w:val="center"/>
              <w:ind w:right="3500"/>
              <w:spacing w:after="0"/>
              <w:rPr>
                <w:sz w:val="20"/>
                <w:szCs w:val="20"/>
                <w:color w:val="auto"/>
              </w:rPr>
            </w:pPr>
            <w:r>
              <w:rPr>
                <w:rFonts w:ascii="Arial" w:cs="Arial" w:eastAsia="Arial" w:hAnsi="Arial"/>
                <w:sz w:val="18"/>
                <w:szCs w:val="18"/>
                <w:b w:val="1"/>
                <w:bCs w:val="1"/>
                <w:color w:val="auto"/>
                <w:w w:val="95"/>
              </w:rPr>
              <w:t>TABLE OF CONTENTS (continued)</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84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w:t>
              </w:r>
            </w:hyperlink>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40" w:type="dxa"/>
            <w:vAlign w:val="bottom"/>
            <w:gridSpan w:val="36"/>
            <w:shd w:val="clear" w:color="auto" w:fill="CCEEFF"/>
          </w:tcPr>
          <w:p>
            <w:pPr>
              <w:spacing w:after="0" w:line="17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MARKET FOR REGISTRANT’S COMMON EQUITY, RELATED STOCKHOLDER MATTERS AND ISSUER PURCHASES</w:t>
              </w:r>
            </w:hyperlink>
          </w:p>
        </w:tc>
        <w:tc>
          <w:tcPr>
            <w:tcW w:w="660" w:type="dxa"/>
            <w:vAlign w:val="bottom"/>
            <w:shd w:val="clear" w:color="auto" w:fill="CCEEFF"/>
          </w:tcPr>
          <w:p>
            <w:pPr>
              <w:spacing w:after="0"/>
              <w:rPr>
                <w:sz w:val="15"/>
                <w:szCs w:val="15"/>
                <w:color w:val="auto"/>
              </w:rPr>
            </w:pPr>
          </w:p>
        </w:tc>
      </w:tr>
      <w:tr>
        <w:trPr>
          <w:trHeight w:val="217"/>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OF EQUITY SECURITIES</w:t>
              </w:r>
            </w:hyperlink>
          </w:p>
        </w:tc>
        <w:tc>
          <w:tcPr>
            <w:tcW w:w="7460" w:type="dxa"/>
            <w:vAlign w:val="bottom"/>
            <w:tcBorders>
              <w:top w:val="single" w:sz="8" w:color="0000EE"/>
              <w:bottom w:val="single" w:sz="8" w:color="CCEEFF"/>
            </w:tcBorders>
            <w:gridSpan w:val="21"/>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46</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Market for Our Common Stock</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Record Holders</w:t>
              </w:r>
            </w:hyperlink>
          </w:p>
        </w:tc>
        <w:tc>
          <w:tcPr>
            <w:tcW w:w="8420" w:type="dxa"/>
            <w:vAlign w:val="bottom"/>
            <w:tcBorders>
              <w:bottom w:val="single" w:sz="8" w:color="CCEEFF"/>
            </w:tcBorders>
            <w:gridSpan w:val="2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Dividend Policy</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60" w:type="dxa"/>
            <w:vAlign w:val="bottom"/>
            <w:gridSpan w:val="35"/>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Securities Authorized for Issuance Under Equity Compensation Plans</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176"/>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02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Shares of Equity Securities</w:t>
              </w:r>
            </w:hyperlink>
          </w:p>
        </w:tc>
        <w:tc>
          <w:tcPr>
            <w:tcW w:w="4540" w:type="dxa"/>
            <w:vAlign w:val="bottom"/>
            <w:tcBorders>
              <w:top w:val="single" w:sz="8" w:color="CCEEFF"/>
            </w:tcBorders>
            <w:gridSpan w:val="8"/>
          </w:tcPr>
          <w:p>
            <w:pPr>
              <w:spacing w:after="0"/>
              <w:rPr>
                <w:sz w:val="15"/>
                <w:szCs w:val="15"/>
                <w:color w:val="auto"/>
              </w:rPr>
            </w:pPr>
          </w:p>
        </w:tc>
        <w:tc>
          <w:tcPr>
            <w:tcW w:w="660" w:type="dxa"/>
            <w:vAlign w:val="bottom"/>
            <w:tcBorders>
              <w:top w:val="single" w:sz="8" w:color="CCEEFF"/>
            </w:tcBorders>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Issuer Purchases of Equity Securities</w:t>
              </w:r>
            </w:hyperlink>
          </w:p>
        </w:tc>
        <w:tc>
          <w:tcPr>
            <w:tcW w:w="6880" w:type="dxa"/>
            <w:vAlign w:val="bottom"/>
            <w:tcBorders>
              <w:bottom w:val="single" w:sz="8" w:color="CCEEFF"/>
            </w:tcBorders>
            <w:gridSpan w:val="1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175"/>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6.</w:t>
            </w:r>
          </w:p>
        </w:tc>
        <w:tc>
          <w:tcPr>
            <w:tcW w:w="9740" w:type="dxa"/>
            <w:vAlign w:val="bottom"/>
            <w:gridSpan w:val="3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MANAGEMENT’S DISCUSSION AND ANALYSIS OF FINANCIAL CONDITION AND RESULTS OF OPERATIONS</w:t>
              </w:r>
            </w:hyperlink>
          </w:p>
        </w:tc>
        <w:tc>
          <w:tcPr>
            <w:tcW w:w="82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Overview</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47</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560" w:type="dxa"/>
            <w:vAlign w:val="bottom"/>
            <w:gridSpan w:val="3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Business Plan</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54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Financing Overview</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55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Critical Accounting Policies and Estimates</w:t>
              </w:r>
            </w:hyperlink>
          </w:p>
        </w:tc>
        <w:tc>
          <w:tcPr>
            <w:tcW w:w="646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57</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Results of Operations</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58</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Financial Condition, Liquidity and Capital Resources</w:t>
              </w:r>
            </w:hyperlink>
          </w:p>
        </w:tc>
        <w:tc>
          <w:tcPr>
            <w:tcW w:w="5700" w:type="dxa"/>
            <w:vAlign w:val="bottom"/>
            <w:tcBorders>
              <w:bottom w:val="single" w:sz="8" w:color="CCEEFF"/>
            </w:tcBorders>
            <w:gridSpan w:val="1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60</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60" w:type="dxa"/>
            <w:vAlign w:val="bottom"/>
            <w:gridSpan w:val="35"/>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Contractual Obligations</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63</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Off-Balance Sheet Arrangements</w:t>
              </w:r>
            </w:hyperlink>
          </w:p>
        </w:tc>
        <w:tc>
          <w:tcPr>
            <w:tcW w:w="7160" w:type="dxa"/>
            <w:vAlign w:val="bottom"/>
            <w:tcBorders>
              <w:bottom w:val="single" w:sz="8" w:color="CCEEFF"/>
            </w:tcBorders>
            <w:gridSpan w:val="1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63</w:t>
            </w:r>
          </w:p>
        </w:tc>
      </w:tr>
      <w:tr>
        <w:trPr>
          <w:trHeight w:val="175"/>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7A.</w:t>
            </w:r>
          </w:p>
        </w:tc>
        <w:tc>
          <w:tcPr>
            <w:tcW w:w="9740" w:type="dxa"/>
            <w:vAlign w:val="bottom"/>
            <w:gridSpan w:val="3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63</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740" w:type="dxa"/>
            <w:vAlign w:val="bottom"/>
            <w:gridSpan w:val="36"/>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9.</w:t>
            </w:r>
          </w:p>
        </w:tc>
        <w:tc>
          <w:tcPr>
            <w:tcW w:w="9740" w:type="dxa"/>
            <w:vAlign w:val="bottom"/>
            <w:gridSpan w:val="36"/>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64</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740" w:type="dxa"/>
            <w:vAlign w:val="bottom"/>
            <w:gridSpan w:val="36"/>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64</w:t>
            </w:r>
          </w:p>
        </w:tc>
      </w:tr>
      <w:tr>
        <w:trPr>
          <w:trHeight w:val="175"/>
        </w:trPr>
        <w:tc>
          <w:tcPr>
            <w:tcW w:w="8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7140" w:type="dxa"/>
            <w:vAlign w:val="bottom"/>
            <w:tcBorders>
              <w:top w:val="single" w:sz="8" w:color="CCEEFF"/>
            </w:tcBorders>
            <w:gridSpan w:val="17"/>
          </w:tcPr>
          <w:p>
            <w:pPr>
              <w:spacing w:after="0"/>
              <w:rPr>
                <w:sz w:val="15"/>
                <w:szCs w:val="15"/>
                <w:color w:val="auto"/>
              </w:rPr>
            </w:pPr>
          </w:p>
        </w:tc>
        <w:tc>
          <w:tcPr>
            <w:tcW w:w="660" w:type="dxa"/>
            <w:vAlign w:val="bottom"/>
            <w:tcBorders>
              <w:top w:val="single" w:sz="8" w:color="CCEEFF"/>
            </w:tcBorders>
          </w:tcPr>
          <w:p>
            <w:pPr>
              <w:jc w:val="right"/>
              <w:ind w:right="150"/>
              <w:spacing w:after="0" w:line="176" w:lineRule="exact"/>
              <w:rPr>
                <w:sz w:val="20"/>
                <w:szCs w:val="20"/>
                <w:color w:val="auto"/>
              </w:rPr>
            </w:pPr>
            <w:r>
              <w:rPr>
                <w:rFonts w:ascii="Arial" w:cs="Arial" w:eastAsia="Arial" w:hAnsi="Arial"/>
                <w:sz w:val="18"/>
                <w:szCs w:val="18"/>
                <w:color w:val="auto"/>
              </w:rPr>
              <w:t>64</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4"/>
          </w:tcPr>
          <w:p>
            <w:pPr>
              <w:spacing w:after="0" w:line="17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10.</w:t>
            </w:r>
          </w:p>
        </w:tc>
        <w:tc>
          <w:tcPr>
            <w:tcW w:w="9740" w:type="dxa"/>
            <w:vAlign w:val="bottom"/>
            <w:gridSpan w:val="3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740" w:type="dxa"/>
            <w:vAlign w:val="bottom"/>
            <w:gridSpan w:val="3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12.</w:t>
            </w:r>
          </w:p>
        </w:tc>
        <w:tc>
          <w:tcPr>
            <w:tcW w:w="9500" w:type="dxa"/>
            <w:vAlign w:val="bottom"/>
            <w:tcBorders>
              <w:bottom w:val="single" w:sz="8" w:color="0000EE"/>
            </w:tcBorders>
            <w:gridSpan w:val="35"/>
          </w:tcPr>
          <w:p>
            <w:pPr>
              <w:spacing w:after="0" w:line="176"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SECURITY OWNERSHIP OF CERTAIN BENEFICIAL OWNERS AND MANAGEMENT AND RELATED STOCKHOLDER</w:t>
              </w:r>
            </w:hyperlink>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gridSpan w:val="3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MATTERS</w:t>
              </w:r>
            </w:hyperlink>
          </w:p>
        </w:tc>
        <w:tc>
          <w:tcPr>
            <w:tcW w:w="6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65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740" w:type="dxa"/>
            <w:vAlign w:val="bottom"/>
            <w:gridSpan w:val="3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65</w:t>
            </w:r>
          </w:p>
        </w:tc>
      </w:tr>
      <w:tr>
        <w:trPr>
          <w:trHeight w:val="175"/>
        </w:trPr>
        <w:tc>
          <w:tcPr>
            <w:tcW w:w="8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31"/>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2040" w:type="dxa"/>
            <w:vAlign w:val="bottom"/>
            <w:tcBorders>
              <w:top w:val="single" w:sz="8" w:color="CCEEFF"/>
            </w:tcBorders>
            <w:gridSpan w:val="5"/>
          </w:tcPr>
          <w:p>
            <w:pPr>
              <w:spacing w:after="0"/>
              <w:rPr>
                <w:sz w:val="15"/>
                <w:szCs w:val="15"/>
                <w:color w:val="auto"/>
              </w:rPr>
            </w:pPr>
          </w:p>
        </w:tc>
        <w:tc>
          <w:tcPr>
            <w:tcW w:w="660" w:type="dxa"/>
            <w:vAlign w:val="bottom"/>
            <w:tcBorders>
              <w:top w:val="single" w:sz="8" w:color="CCEEFF"/>
            </w:tcBorders>
          </w:tcPr>
          <w:p>
            <w:pPr>
              <w:jc w:val="right"/>
              <w:ind w:right="150"/>
              <w:spacing w:after="0" w:line="176" w:lineRule="exact"/>
              <w:rPr>
                <w:sz w:val="20"/>
                <w:szCs w:val="20"/>
                <w:color w:val="auto"/>
              </w:rPr>
            </w:pPr>
            <w:r>
              <w:rPr>
                <w:rFonts w:ascii="Arial" w:cs="Arial" w:eastAsia="Arial" w:hAnsi="Arial"/>
                <w:sz w:val="18"/>
                <w:szCs w:val="18"/>
                <w:color w:val="auto"/>
              </w:rPr>
              <w:t>65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840" w:type="dxa"/>
            <w:vAlign w:val="bottom"/>
            <w:gridSpan w:val="4"/>
          </w:tcPr>
          <w:p>
            <w:pPr>
              <w:spacing w:after="0" w:line="17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15.</w:t>
            </w:r>
          </w:p>
        </w:tc>
        <w:tc>
          <w:tcPr>
            <w:tcW w:w="9740" w:type="dxa"/>
            <w:vAlign w:val="bottom"/>
            <w:gridSpan w:val="3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SCHEDULES</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1. FINANCIAL STATEMENTS</w:t>
              </w:r>
            </w:hyperlink>
          </w:p>
        </w:tc>
        <w:tc>
          <w:tcPr>
            <w:tcW w:w="7400" w:type="dxa"/>
            <w:vAlign w:val="bottom"/>
            <w:tcBorders>
              <w:bottom w:val="single" w:sz="8" w:color="CCEEFF"/>
            </w:tcBorders>
            <w:gridSpan w:val="2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66</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3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2. FINANCIAL STATEMENT SCHEDULES</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66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36"/>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3. EXHIBITS</w:t>
              </w:r>
            </w:hyperlink>
          </w:p>
        </w:tc>
        <w:tc>
          <w:tcPr>
            <w:tcW w:w="66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Arial" w:cs="Arial" w:eastAsia="Arial" w:hAnsi="Arial"/>
                <w:sz w:val="18"/>
                <w:szCs w:val="18"/>
                <w:color w:val="auto"/>
              </w:rPr>
              <w:t>ITEM 16.</w:t>
            </w:r>
          </w:p>
        </w:tc>
        <w:tc>
          <w:tcPr>
            <w:tcW w:w="9740" w:type="dxa"/>
            <w:vAlign w:val="bottom"/>
            <w:gridSpan w:val="36"/>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FORM 10-K SUMMARY</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70</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10580" w:type="dxa"/>
            <w:vAlign w:val="bottom"/>
            <w:gridSpan w:val="40"/>
          </w:tcPr>
          <w:p>
            <w:pPr>
              <w:spacing w:after="0" w:line="17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SIGNATURES</w:t>
              </w:r>
            </w:hyperlink>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71</w:t>
            </w:r>
          </w:p>
        </w:tc>
      </w:tr>
      <w:tr>
        <w:trPr>
          <w:trHeight w:val="459"/>
        </w:trPr>
        <w:tc>
          <w:tcPr>
            <w:tcW w:w="6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9"/>
          </w:tcPr>
          <w:p>
            <w:pPr>
              <w:jc w:val="center"/>
              <w:ind w:right="4820"/>
              <w:spacing w:after="0"/>
              <w:rPr>
                <w:sz w:val="20"/>
                <w:szCs w:val="20"/>
                <w:color w:val="auto"/>
              </w:rPr>
            </w:pPr>
            <w:r>
              <w:rPr>
                <w:rFonts w:ascii="Arial" w:cs="Arial" w:eastAsia="Arial" w:hAnsi="Arial"/>
                <w:sz w:val="18"/>
                <w:szCs w:val="18"/>
                <w:color w:val="auto"/>
              </w:rPr>
              <w:t>ii</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Certain of the statements contained in this Annual Report on Form 10-K (this “Annual Report”) are forward-looking and constitute forward-looking statements within the meaning of Section 27A of the Securities Act of 1933, as amended (the “Securities Act”) and Section 21E of the Securities Exchange Act of 1934, as amended (the “Exchange Act”).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“Celsion” “the Company”, “we”, “us”, or “our” are to Celsion Corporation, a Delaware corporation and its wholly owned subsidiary, CLSN Laboratories, Inc., also a Delaware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is an integrated development clinical stage oncology drug company focused on advancing innovative cancer treatments, including directed chemotherapies, DNA-mediated immunotherapy and RNA-based therapies. Our lead product candidate is ThermoDox®, a proprietary heat-activated liposomal encapsulation of doxorubicin, currently in a Phase III clinical trial for the treatment of primary liver cancer (the “OPTIMA Study”). Second in our product pipeline is GEN-1, a DNA-mediated immunotherapy for the localized treatment of ovarian cancer. These investigational products are based on platform technologies that provide the basis for future development of a range of therapeutics, largely focused on difficult-to-treat forms of cancer. The first platform technology is Lysolipid Thermally Sensitive Liposomes, a heat sensitive liposomal based dosage form that is designed to target disease with known chemotherapeutics in the presence of mild heat. The second platform technology is TheraPlas, a novel nucleic acid-based investigational candidate under development for local transfection of therapeutic DNA plasmids. Employing these technologies, we are working to develop and commercialize more efficient, effective and targeted oncology therapies that maximize efficacy while minimizing side effects common to cancer treatments.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we have licensed this novel, heat-activated liposomal technology that is differentiated from other liposomes through its unique low heat-activated release of encapsulated chemotherapeutic agents.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able to use several available focused-heat technologies, such as radiofrequency ablation (“RFA”), microwave energy and high intensity focused ultrasound (“HIFU”), to activate the release of drugs from our novel heat 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for the Treatment of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increasing at approximately 2-3% per year worldwide. Global incidence (per 2017 GLOBALCAN statistics) is reported at 755,000 cases. The World Health Organization (WHO) has projected that HCC will be the most prevalent form of cancer by 2030. HCC is commonly diagnosed in patients with longstanding hepatic disease and cirrhosis (primarily due to hepatitis C in the U.S., Japan and Europe and hepatitis B in Asia).</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The OPTIMA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OPTIMA Study represents an evaluation of ThermoDox® in combination with a first line therapy, RFA, for newly diagnosed, intermediate stage HCC patients. HCC incidence globally is approximately 755,000 new cases per year and is the third largest cancer indication globally. Approximately 30% of newly diagnosed patients can be addressed with RFA.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conducted by the Company called the HEAT Study (the “HEAT Study”). The OPTIMA Study is supported by a hypothesis developed from an overall survival analysis of a large subgroup of 285 patients from the HEAT Study.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 “HEAT Study subgroup”).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subgroup has been reached which translates into a two-year survival benefit over the optimized RFA subgroup (projected to be greater than 80 months for the ThermoDox® plus optimized RFA subgroup compared to less than 60 months projection for the optimized RFA only subgroup).</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OPTIMA Study was designed with extensive input from globally recognized HCC researchers and expert clinicians. The FDA also provided formal written feedback to the Company on the study protocol and trial design.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completed enrollment of 556 patients in the Phase III OPTIMA Study in August 2018. Data for the study will be reviewed as it matures with up to two interim analyses - the first analysis was conducted in the second half of 2019 and the second analysis is expected to be conducted in mid-2020. We expect that the final efficacy analysis, if necessary, will be completed in early 2021.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we believe that applications will be accepted in South Korea, Taiwan and Vietnam, three other significant markets for ThermoDox® if it were to receive approval in Europe, China or the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13, 2019, the Company announced that results from an independent analysis of the Company’s ThermoDox</w:t>
      </w:r>
      <w:r>
        <w:rPr>
          <w:rFonts w:ascii="Arial" w:cs="Arial" w:eastAsia="Arial" w:hAnsi="Arial"/>
          <w:sz w:val="18"/>
          <w:szCs w:val="18"/>
          <w:i w:val="1"/>
          <w:iCs w:val="1"/>
          <w:color w:val="auto"/>
        </w:rPr>
        <w:t>®</w:t>
      </w:r>
      <w:r>
        <w:rPr>
          <w:rFonts w:ascii="Arial" w:cs="Arial" w:eastAsia="Arial" w:hAnsi="Arial"/>
          <w:sz w:val="18"/>
          <w:szCs w:val="18"/>
          <w:color w:val="auto"/>
        </w:rPr>
        <w:t xml:space="preserve"> HEAT Study conducted by the National Institutes of Health (NIH) were published in the peer-reviewed publication, Journal of Vascular and Interventional Radiology.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 (RFA) heating time (minutes/tumor volume in milliliters), with or without ThermoDox® treatment, for patients with HCC. The NIH analysis was conducted under the direction of Dr. Bradford Wood, MD, Director, NIH Center for Interventional Oncology and Chief, NIH Clinical Center Interventional Radiology.</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article titled, “</w:t>
      </w:r>
      <w:r>
        <w:rPr>
          <w:rFonts w:ascii="Arial" w:cs="Arial" w:eastAsia="Arial" w:hAnsi="Arial"/>
          <w:sz w:val="17"/>
          <w:szCs w:val="17"/>
          <w:i w:val="1"/>
          <w:iCs w:val="1"/>
          <w:color w:val="auto"/>
        </w:rPr>
        <w:t>RFA Duration Per Tumor Volume May Correlate With Overall Survival in Solitary Hepatocellular Carcinoma Patients Treated With RFA</w:t>
      </w:r>
      <w:r>
        <w:rPr>
          <w:rFonts w:ascii="Arial" w:cs="Arial" w:eastAsia="Arial" w:hAnsi="Arial"/>
          <w:sz w:val="17"/>
          <w:szCs w:val="17"/>
          <w:color w:val="auto"/>
        </w:rPr>
        <w:t xml:space="preserve"> </w:t>
      </w:r>
      <w:r>
        <w:rPr>
          <w:rFonts w:ascii="Arial" w:cs="Arial" w:eastAsia="Arial" w:hAnsi="Arial"/>
          <w:sz w:val="17"/>
          <w:szCs w:val="17"/>
          <w:i w:val="1"/>
          <w:iCs w:val="1"/>
          <w:color w:val="auto"/>
        </w:rPr>
        <w:t>Plus Lyso-thermosensitive Liposomal Doxorubicin</w:t>
      </w:r>
      <w:r>
        <w:rPr>
          <w:rFonts w:ascii="Arial" w:cs="Arial" w:eastAsia="Arial" w:hAnsi="Arial"/>
          <w:sz w:val="17"/>
          <w:szCs w:val="17"/>
          <w:color w:val="auto"/>
        </w:rPr>
        <w:t>,” discussed the NIH analysis of results from 437 patients in the HEAT Study (all patients with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lesion representing 62.4% of the study population). The key finding was that increased RFA heating time per tumor volume significantly improved overall survival (OS) in patients with single-lesion HCC who were treated with RFA plus ThermoDox®, compared to patients treated with RFA alone. A one-unit increase in RFA duration per tumor volume was shown to result in about a 20% improvement in OS for patients administered ThermoDox®, compared to RFA alone. The authors conclude that increasing RFA heating time in combination with ThermoDox®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27, 2019, the Company announced that a study from a single site in China titled “</w:t>
      </w:r>
      <w:r>
        <w:rPr>
          <w:rFonts w:ascii="Arial" w:cs="Arial" w:eastAsia="Arial" w:hAnsi="Arial"/>
          <w:sz w:val="16"/>
          <w:szCs w:val="16"/>
          <w:i w:val="1"/>
          <w:iCs w:val="1"/>
          <w:color w:val="auto"/>
        </w:rPr>
        <w:t>Thermosensitive liposomal doxorubicin plus radiofrequency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ablation increased tumor destruction and improved survival in patients with medium and large hepatocellular carcinoma: A randomized, double-blinded, dummy-controlled clinical trial in a single center</w:t>
      </w:r>
      <w:r>
        <w:rPr>
          <w:rFonts w:ascii="Arial" w:cs="Arial" w:eastAsia="Arial" w:hAnsi="Arial"/>
          <w:sz w:val="16"/>
          <w:szCs w:val="16"/>
          <w:color w:val="auto"/>
        </w:rPr>
        <w:t>” has been published in the Journal of Cancer Research and Therapeutics. These data were generated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Phase III HEAT (Hepatocellular Carcinoma Study of RFA and ThermoDox®) Study sponsored by Celsion. The data from this single site at the Peking University Cancer Hospital and Institute in Beijing show an OS improvement of 22.5 months in patients with 3-7 cm unresectable hepatocellular carcinoma (HCC) tumors receiving combined radiofrequency ablation (RFA) and ThermoDox®, compared with the use of RFA alone.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In this study, patients received 50 mg/m2 of ThermoDox® or placebo, plus RFA for 45 minutes or longer. Patients were followed for 11 to 80 months (average: 49.1 ± 24.8 months), with 18 of 22 patients completing the study. The mean OS for the ThermoDox® plus RFA group was 68.5 ± 7.2 months, which was significantly greater than the placebo plus RFA group (46.0 ± 10.6 months, pValue = 0.045). At the end of the follow-up period, the percentage of patients alive after 1, 3 and 5 years were as follows:</w:t>
      </w:r>
    </w:p>
    <w:p>
      <w:pPr>
        <w:spacing w:after="0" w:line="18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ThermoDox +</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RFA</w:t>
            </w: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RFA Alone</w:t>
            </w:r>
          </w:p>
        </w:tc>
        <w:tc>
          <w:tcPr>
            <w:tcW w:w="160" w:type="dxa"/>
            <w:vAlign w:val="bottom"/>
            <w:tcBorders>
              <w:bottom w:val="single" w:sz="8" w:color="CCEEFF"/>
            </w:tcBorders>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 of patients alive at 1 year</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 of patients alive at 3 years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 of patients alive at 5 years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publication can be found in the </w:t>
      </w:r>
      <w:r>
        <w:rPr>
          <w:rFonts w:ascii="Arial" w:cs="Arial" w:eastAsia="Arial" w:hAnsi="Arial"/>
          <w:sz w:val="17"/>
          <w:szCs w:val="17"/>
          <w:i w:val="1"/>
          <w:iCs w:val="1"/>
          <w:color w:val="auto"/>
        </w:rPr>
        <w:t>Journal of Cancer Research and Therapeutics</w:t>
      </w:r>
      <w:r>
        <w:rPr>
          <w:rFonts w:ascii="Arial" w:cs="Arial" w:eastAsia="Arial" w:hAnsi="Arial"/>
          <w:sz w:val="17"/>
          <w:szCs w:val="17"/>
          <w:color w:val="auto"/>
        </w:rPr>
        <w:t xml:space="preserve"> | Year: 2019 | Volume: 15 | Issue: 4 | Page 773 – 783. The authors are Yang W, Lee JC, Chen MH, Zhang ZY, Bai XM, Yin SS, et al. from the Departments of Ultrasound and Radiology, Key Laboratory of Carcinogenesis and Translational Research (Ministry of Education), Peking University Cancer Hospital and Institute in Beijing. Professor Min-Hua Chen was a principal investigator in Celsion’s Phase III HEAT Study, from which these data are derived, and is also a principal investigator in the Company’s ongoing Phase III OPTIMA Study for the treatment of primary liver cancer with ThermoDox® plus standardized RFA.</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4, 2019, the Company announced that the DMC unanimously recommended the OPTIMA Study continue according to protocol. The recommendation was based on a review of blinded safety and data integrity from 556 patients enrolled in the Company’s multinational, double-blind, placebo-controlled pivotal Phase III OPTIMA Study with ThermoDox®.</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DMC’s pre-planned interim efficacy review followed 128 patient events, or deaths, which occurred in August 2019. Data presented demonstrated that PFS and OS data appear to be tracking with patient data observed at a similar time point in the Company’s subgroup of patients followed prospectively in the earlier Phase III HEAT Study, upon which the OPTIMA Study is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data review demonstrated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OPTIMA Study patient demographics and risk factors are consistent with what the Company observed in the HEAT Study subgroup with all data quality metrics meeting expectations.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Median PFS for the OPTIMA Study reached 17 months as of August 2019. These blinded data compare favorably with 16 months median PFS for all 285 patients in the HEAT Study subgroup of patients treated with RFA &gt;45 minutes.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has not unblinded the study to report a hazard ratio, PFS and OS are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study success at the second of two pre-planned interim efficacy analysis which is intended after a minimum of 158 patient deaths and is projected to occur during the second quarter of 2020. The hazard ratio for success at 158 events is 0.70 with a P-value of 0.022 This is below the hazard ratio of 0.65, P-value = 0.02 observed for the HEAT Study subgroup of patients treated with RFA &gt; 45 minutes.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20, 2014, we completed the acquisition of substantially all of the assets of EGEN, a private company located in Huntsville, Alabama.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and the first drug candidate developed from it is GEN-1.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current Good Manufacturing Practice, (“cGMP”) lots have been produced with reproducible quality.</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strong position to capitalize on this technology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GEN-1</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for long-term maintenance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OVATION I Study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2015, we announced that the FDA accepted, without objection, the Phase Ib dose-escalation clinical trial of GEN-1 in combination with the standard of care in neoadjuvant ovarian cancer (the “OVATION I Study”). On September 30, 2015, we announced enrollment of the first patient in the OVATION I Study. The OVATION I Study was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I/II study. In addition, the OVATION I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7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who completed treatment. On October 3, 2017 we announced final clinical and translational research data from the OVATION Study.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GEN-1 plus standard chemotherapy produced positive clinical results, with no dose limiting toxicities and positive dose dependent efficacy signals which correlate well with positive surgical outcomes. The OVATION I Study evaluated escalating doses of GEN-1 (36 mg/m2, 47 mg/m2, 61 mg/m2 and 79 mg/m2) administered intraperitoneally in combination with three cycles of neoadjuvant chemotherapy prior to interval debulking surgery, followed by three cycles of NAC in the treatment of newly diagnosed patients with Stage III/IV ovarian cancer.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this Phase IB dose-escalation study, the 14 patients who were evaluable for response demonstrated median PFS of 21 months in patients treated per protocol and 17.1 months for the intent-to-treat population (n=18) for all dose cohorts, including three patients who dropped out of the study after 13 days or less, and two patients who did not receive full NAC and GEN-1 cycles. In addition, 100% of patients administered NAC plus the two higher doses of GEN-1 experienced an objective tumor response (defined as a partial or complete response) compared to only 60% of patients given the two lower doses. Pathological changes were assessed as part of the study, with the density of markers measured in tissue sections assessed via immunohistochemistry staining. Among patients administered the high doses of GEN-1 (n=8), pre-treatment to post-treatment reductions in key biomarkers were observed (FoxP3 -62.5%; IDO-1 -60%; PD-1 -62.5%; PD-L1 -37.5%). Reductions were also observed in patients administered the lower doses of GEN-1 (n=4) for all but one of the four key biomarkers (FoxP3 -40%; IDO-1 -40%; PD-1 +25%; PD-L1 -37.5%). The ratio of CD8+ cells to the four key immunosuppressive cell signals increased following treatment in 60 - 80% of patients.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Dose-limiting toxicity was not reached in the OVATION I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OVATION 2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 II study.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80%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Developed with extensive input from the Company’s Medical Advisory Board, the OVATION 2 Study builds on promising clinical and translational research data from the Phase IB dose-escalation OVATION I Study, in which enrolled patients received escalating weekly doses of GEN-1 up to 79 mg/m² for a total of eight treatments in combination with NACT, followed by IDS. In addition to exploring a higher dose of GEN-1 in the OVATION 2 study, patients will continue to receive GEN-1 after their IDS in combination with adjuvant chemotherapy.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latest DSMB review of GEN-1 at 100 mg/m² (in November 2019 and February 2020) has confirmed that there were no apparent dose limiting toxicities detected in any of the patients dosed with GEN-1 and that intraperitoneal administration is well tolerated even when given with standard NACT. Of the fifteen patients treated in the Phase I portion of the OVATION 2 Study, nine patients were treated with GEN-1 plus NACT and six patients were treated with NACT only.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highly encouraging initial clinical data from the first 15 patients enrolled in the ongoing Phase I/II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seven out of nine patients (78%) in the GEN-1 treatment arm having an R0 resection, which indicates a microscopically margin-negative resection in which no gross or microscopic tumor remains in the tumor bed. Only three out of six patients (50%) in the NACT only treatment arm had a R0 resection.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8660" w:hanging="197"/>
        <w:spacing w:after="0"/>
        <w:tabs>
          <w:tab w:leader="none" w:pos="8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of Patients with</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R0 Resections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0, 36, 47 mg/m² of GEN-1 plus NACT n=12</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61, 79, 100 mg/m² of GEN-1 plus NACT n=17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objective response rate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In addition, with the recent outbreak of the Covid-19 pandemic, we are still evaluating the impact that the pandemic will have on our trials and on our ability to timely develop our product candidates.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DEVELOPMENT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We had $16.7 million in cash, investments, interest receivable and deferred income tax asset as of December 31, 2019. During the first quarter of 2020, we raised an additional $6.4 million in capital under the 2019 Aspire Purchase Agreement and from the February 2020 Registered Direct Offering (as defined below). Given our development plans, we anticipate cash resources will be sufficient to fund our operations and financial commitments through mid-2021. In addition, the Company has approximately $15 million available under the Capital on Demand Agreement with JonesTrading International Services LLC. On March 5, 2020, we announced the termination of the 2019 Aspire Purchase Agreement. Other than the Capital on Demand Agreement with Jones Trading that provides us the ability to sell equity securities in the future, we have no other committed sources of additional capital.</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Arial" w:cs="Arial" w:eastAsia="Arial" w:hAnsi="Arial"/>
          <w:sz w:val="17"/>
          <w:szCs w:val="17"/>
          <w:b w:val="1"/>
          <w:bCs w:val="1"/>
          <w:i w:val="1"/>
          <w:iCs w:val="1"/>
          <w:color w:val="auto"/>
        </w:rPr>
        <w:t>Item 7 - 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Discussion and Analysis of Financial Condition and Results of Operations </w:t>
      </w:r>
      <w:r>
        <w:rPr>
          <w:rFonts w:ascii="Arial" w:cs="Arial" w:eastAsia="Arial" w:hAnsi="Arial"/>
          <w:sz w:val="17"/>
          <w:szCs w:val="17"/>
          <w:color w:val="auto"/>
        </w:rPr>
        <w:t>for additional information regarding the Company’s financial condition,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engaged in a limited amount of research and development in our own facilities and have sponsored research programs in partnership with various research institutions, including the National Institutes of Health, the National Cancer Institute and Duke University. We are currently, with minimal cash expenditures, sponsoring clinical and pre-clinical research at the University of Oxford, University of Utrecht, Oklahoma State University and the Children’s Hospital Research Institute. The majority of the spending in research and development is for the funding of ThermoDox® and GEN-1 clinical trials. Research and development expenses were approximately $13.1 million and $11.9 million for the years ended December 31, 2019 and 2018, respectively. See </w:t>
      </w:r>
      <w:r>
        <w:rPr>
          <w:rFonts w:ascii="Arial" w:cs="Arial" w:eastAsia="Arial" w:hAnsi="Arial"/>
          <w:sz w:val="18"/>
          <w:szCs w:val="18"/>
          <w:b w:val="1"/>
          <w:bCs w:val="1"/>
          <w:i w:val="1"/>
          <w:iCs w:val="1"/>
          <w:color w:val="auto"/>
        </w:rPr>
        <w:t>Item 7 - Management’s Discussion and Analysis of Financial Condition and Results of Operations</w:t>
      </w:r>
      <w:r>
        <w:rPr>
          <w:rFonts w:ascii="Arial" w:cs="Arial" w:eastAsia="Arial" w:hAnsi="Arial"/>
          <w:sz w:val="18"/>
          <w:szCs w:val="18"/>
          <w:color w:val="auto"/>
        </w:rPr>
        <w:t xml:space="preserve"> for additional information regarding expenditures related to our research and development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 FDA regulates drugs and biological products under the Federal Food, Drug, and Cosmetic Act (FDCA), the Public Health Service Act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vehicle by which FDA approves a new pharmaceutical product for sale and marketing in the U.S. is a New Drug Application (“NDA”) or a Biologics License Application (BLA). A new drug or biological product cannot be marketed in the United States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current good manufacturing practices (cGMP) and to assure adequate identity, strength, quality, purity, and potency; and (e) FDA review and approval of the NDA/BLA.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96" w:lineRule="auto"/>
        <w:rPr>
          <w:sz w:val="20"/>
          <w:szCs w:val="20"/>
          <w:color w:val="auto"/>
        </w:rPr>
      </w:pPr>
      <w:r>
        <w:rPr>
          <w:rFonts w:ascii="Arial" w:cs="Arial" w:eastAsia="Arial" w:hAnsi="Arial"/>
          <w:sz w:val="16"/>
          <w:szCs w:val="16"/>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product candidate otherwise will come to market.</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certain circumstances, a therapeutic product candidate being studied in clinical trials may be made available for treatment of individual patients. Pursuant to the 21st Century Cures Act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product candidate is being manufactured in accordance with cGMP. The testing, submission, and approval process requires substantial time, effort, and financial resources, including substantial application user fees and annual product and establishment user fees.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 are applied to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such, under Section 505(b)(2), the FDA may rely, for approval of an NDA, on data not developed by the applicant.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Regulations Specific to Gene-Based Products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Food and Drug Administration (FDA) regulates gene-based products as biological products. Biological products intended for therapeutic use may be regulated by either the Center for Biologics Evaluation &amp; Research (CBER) or the Center for Biologics Evaluation &amp; Research (CDER). Gene-based products are subject to extensive regulation under the FDCA, the PHSA, and their implementing regulations. Each clinical trial of investigational gene therapies must be reviewed and approved by the Institutional Biosafety Committee (IBC) for each clinical site. IBCs were established under the National Institutes of Health (NIH) Guidelines for Research Involving Recombinant or Synthetic Nucleic Acid Molecules to provide local review and oversight of nearly all forms of research utilizing recombinant or synthetic nucleic acid molecules. The IBC assesses biosafety issues, specifically, safety practices and containment procedures, related to the investigational product and clinical study. Compliance with the NIH Guidelines is mandatory for investigators at institutions receiving NIH funds for research involving recombinant DNA, however many companies and other institutions not otherwise subject to the NIH Guidelines voluntarily follow them. Such trials remain subject to FDA and other clinical trial regulations, and only after FDA, IBC, and other relevant approvals are in place can these protocols proceed.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Controls for Biological Products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various programs, including Fast Track, priority review, accelerated approval and breakthrough therapy, which are intended to expedite or simplify the process for reviewing product candidates, or provide for the approval of a product candidate on the basis of a surrogate endpoint. 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product candidates to treat serious or life-threatening diseases or conditions and fill unmet medical needs.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Fast Track and priority review do not affect the standards for approval, the FDA will attempt to facilitate early and frequent meetings with a sponsor of a Fast Track designated product candidate and expedite review of the application for a product candidate designated for priority review. Accelerated approval provides for an earlier approval for a new product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clinical trials to verify and describe the predicted effect on irreversible morbidity or mortality or other clinical endpoint, and the product may be subject to accelerated withdrawal procedures.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A sponsor may seek FDA designation of a product candidate as a “breakthrough therapy” if the product candidate is intended, alone or in combination with one or more other therapeutics,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2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2009, the FDA granted orphan drug designation for ThermoDox® for the treatment of HCC. In 2005, the FDA granted orphan drug designation for GEN-1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 clinical trial or trials,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product candidate and the manufacturer must develop methods for testing the quality, purity and potency of the product candidate. Additionally, appropriate packaging must be selected and tested, and stability studies must be conducted to demonstrate that the product candidate does not undergo unacceptable deterioration over its proposed shelf-life.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Clinical Studies to Support an IND, NDA, or BLA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will accept as support for an IND, NDA, or BLA a well-designed, well-conducted, non-IND foreign clinical trial if it was conducted in accordance with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 This information includes the investigator’s qualifications; a description of the research facilities; a detailed summary of the protocol and trial results and, if requested, case records or additional background data; a description of the drug substance and drug product, including the components, formulation, specifications, and, if available, the bioavailability of the product candidate; information showing that the trial is adequate and well controlled; the name and address of the independent ethics committee that reviewed the trial and a statement that the independent ethics committee meets the required definition; a summary of the independent ethics committee’s decision to approve or modify and approve the trial, or to provide a favorable opinion; a description of how informed consent was obtained; a description of what incentives, if any, were provided to subjects to participate; a description of how the sponsor monitored the trial and ensured that the trial was consistent with the protocol; a description of how investigators were trained to comply with GCP and to conduct the trial in accordance with the trial protocol; and a statement on whether written commitments by investigators to comply with GCP and the protocol were obtained.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Legislation and Regulations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 Further, with the COVID-19 pandemic, it is possible that Congress and FDA may implement new laws, regulations, or policies that may impact our ability to continue development programs as planned.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matters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92" w:lineRule="exact"/>
        <w:rPr>
          <w:sz w:val="20"/>
          <w:szCs w:val="20"/>
          <w:color w:val="auto"/>
        </w:rPr>
      </w:pPr>
    </w:p>
    <w:p>
      <w:pPr>
        <w:jc w:val="both"/>
        <w:ind w:left="340" w:hanging="332"/>
        <w:spacing w:after="0" w:line="284"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jc w:val="both"/>
        <w:ind w:left="3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5" w:lineRule="exact"/>
        <w:rPr>
          <w:rFonts w:ascii="Arial" w:cs="Arial" w:eastAsia="Arial" w:hAnsi="Arial"/>
          <w:sz w:val="16"/>
          <w:szCs w:val="16"/>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are often not pre-empted, and may have a more prohibitive effect than the Sunshine Act, thus further complicating compliance efforts. Effective January 1, 2022, these reporting obligations will extend to include transfers of value made in the previous year to certain non-physician providers such as physician assistants and nurse practitioners.</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32" w:lineRule="exact"/>
        <w:rPr>
          <w:rFonts w:ascii="Arial" w:cs="Arial" w:eastAsia="Arial" w:hAnsi="Arial"/>
          <w:sz w:val="16"/>
          <w:szCs w:val="16"/>
          <w:color w:val="auto"/>
        </w:rPr>
      </w:pPr>
    </w:p>
    <w:p>
      <w:pPr>
        <w:jc w:val="both"/>
        <w:ind w:left="340" w:hanging="332"/>
        <w:spacing w:after="0" w:line="28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w:t>
      </w:r>
    </w:p>
    <w:p>
      <w:pPr>
        <w:sectPr>
          <w:pgSz w:w="11900" w:h="16897" w:orient="portrait"/>
          <w:cols w:equalWidth="0" w:num="1">
            <w:col w:w="11240"/>
          </w:cols>
          <w:pgMar w:left="320" w:top="665" w:right="339" w:bottom="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These data privacy and security laws may differ from each other in significant ways and often are not pre-empted by HIPAA, which may complicate compliance efforts.</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and can divert a company’s attention from its business.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CCPA could mark the beginning of a trend toward more stringent state privacy legislation in the U.S., which could increase our potential liability and adversely affect our business.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Insurance Coverage and Reimbursement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6"/>
          <w:szCs w:val="16"/>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Affordable Care Act,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Further, on December 27, 2018, the District Court for the District of Columbia invalidated a reimbursement formula change instituted by the Centers for Medicare &amp; Medicaid Services, or CMS, under the 340B program. For the 2019 and 2018 fiscal years, CMS altered the reimbursement formula. The court ruled this change was not an “adjustment” that was within the Secretary’s discretion to make but was instead a fundamental change in the reimbursement calculation, and such a dramatic change was beyond the scope of the Secretary’s authority. On May 6, 2019, the district court reiterated that the rate reduction exceeded the Secretary’s authority and declared that the rate reduction for 2019 also exceeded the Secretary’s authority and remanded the issue to HHS to devise an appropriate remedy. On July 10, 2019, the district court entered its final judgment and CMS has filed an appeal and a decision by the Court of Appeals for the D.C. Circuit is pending. However, subsequently, hospitals have filed a complaint in the U.S. District Court for D.C. to enjoin the reimbursement cuts for 2020. It is unclear how such litigation could affect covered hospitals who might purchase our products in the future and affect the rates we may charge such facilities for our approved products. 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Outside the United States,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future healthcare reform legislation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Affordable Care Act, which, among other things, includes changes to the coverage and payment for products under government health care programs. The Affordable Care Act includes provisions of importance to our potential product candidates that:</w:t>
      </w:r>
    </w:p>
    <w:p>
      <w:pPr>
        <w:spacing w:after="0" w:line="188"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6"/>
          <w:szCs w:val="16"/>
          <w:color w:val="auto"/>
        </w:rPr>
        <w:t>Some of the provisions of the Affordable Care Act have yet to be implemented, and there have been judicial and Congressional challenges to certain provisions of the Affordable Care Act, as well as recent efforts by the Trump administration to repeal or replace certain aspects of the Affordable Care Act. Since January 2017, President Trump has signed two Executive Orders and other directives designed to delay the implementation of certain provisions of the Affordable Care Act. Concurrently, Congress has considered legislation that would repeal or repeal and replace all or part of the Affordable Care Act. While Congress has not passed comprehensive repeal legislation, it has enacted laws that modify certain provisions of the Affordable Care Act such as removing penalties, starting January 1, 2019, for not complying with the Affordable Care Act’s individual mandate to carry health insurance, delaying the implementation of certain Affordable Care Act-mandated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We will continue to evaluate the effect that the ACA and its possible repeal and replacement has on our business.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2029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payers.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Regulation Outside of the U.S.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regulations in the U.S., we will be subject to a variety of regulations of other countries governing, among other things, any clinical trials and commercial sales and distribution of our product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Good Clinical Practice (“GCP”) and Good Manufacturing Practice (“GMP”) rules, ICH guidelines and be consistent with ethical principles. EU Member State inspections are regularly conducted to verify the sponsor’s compliance with applicable rules. The sponsor is required to record and report to the relevant national competent authorities (and to the Ethics Committee) information about serious unexpected suspected adverse reactions (“S.U.S.A.Rs”). The way clinical trials are conducted in the EU will undergo a major change when the new EU Clinical Trial Regulation (Regulation 536/2014) comes into application in 2019.</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(CHMP), a committee within the European Medicine Agency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EU, the requirements for pricing, coverage and reimbursement of any product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orphan designations for our product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right="20"/>
        <w:spacing w:after="0" w:line="259" w:lineRule="auto"/>
        <w:rPr>
          <w:sz w:val="20"/>
          <w:szCs w:val="20"/>
          <w:color w:val="auto"/>
        </w:rPr>
      </w:pPr>
      <w:r>
        <w:rPr>
          <w:rFonts w:ascii="Arial" w:cs="Arial" w:eastAsia="Arial" w:hAnsi="Arial"/>
          <w:sz w:val="18"/>
          <w:szCs w:val="18"/>
          <w:color w:val="auto"/>
        </w:rPr>
        <w:t>The EU Data Protection Directive and Member State implementing legislation may also apply to health-related and other personal information obtained outside of the U.S. The Directive will be replaced by the EU General Data Protection Regulation in May 2018. The Regulation will increase our responsibility and liability in relation to personal data that we process, and we may be required to put in place additional mechanisms to ensure compliance with the new EU data protection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cGMP conditions. cGMP is a regulatory standard for the production of pharmaceuticals that will be used in humans which is recognized by FDA and many foreign regulatory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ThermoDox®</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 In addition, the Company is not aware of any other Phase III clinical trial for the treatment of newly diagnosed or intermediate stage HCC or primary liver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Studied indications for GEN-1 include ovarian cancer and glioblastoma multiforme (GBM) brain cancer. In evaluating the competitive landscape for both indications, early stage indications are treated with chemotherapy (temozolomide, BCNU, CCNU for brain cancer; docetaxel, doxil and cisplatinum for ovarian cancer), while later stage ovarian cancer is treated with Bevacizumab - Avastin®, an anti-angiogenesis inhibitor. Avastin® is currently also being evaluated for early stage disease.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product positioning for the ovarian cancer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U.S.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U.S. and to future patents received by Duke in Canada, the EU, Japan and Australia, where it has patent applications have been granted. The European grant provides coverage in the European Community. For this technology, our license rights are worldwide, including the U.S., Canada, certain EU Member States, Australia, Hong Kong, and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Celsion holds an exclusive license agreement with Duke University for its temperature-sensitive liposome technology that covers the ThermoDox® formulation. Celsion also has issued patents which pertain specifically to methods of storing stabilized, temperature-sensitive liposomal formulations and will assist in the protection of global rights. These patents will extend the overall term of the ThermoDox® patent portfolio to 2026. These patents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ThermoDox® technology, we either exclusively license or own U.S. and international patents with claims and methods and compositions of matters that cover various aspects of lysolipid thermally sensitive liposomes technology, with expiration dates ranging from 2018 to 2026.</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25, 2020, we employed 29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Celsion was founded in 1982 and is a Delaware corporation. Our principal executive offices are located at 997 Lenox Drive, Suite 100, Lawrenceville, NJ 08648. Our telephone number is (609) 896-9100. The Company’s website is www.celsion.com. The information contained in, or that can be accessed through, our website is not part of, and is not incorporated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make available free of charge through our website, www.celsion.com,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and should not be relied upon.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27, 2020, the Company entered into a Securities Purchase Agreement (the “Purchase Agreement”) with several institutional investors, pursuant to which the Company agreed to issue and sell, in a registered direct offering (the “Offering”), an aggregate of 4,571,428 shares (the “Shares”) of our common stock at an offering price of $1.05 per share for gross proceeds of approximately $4.8 million before the deduction of the Placement Agent fees and offering expenses. The Shares are being offered by the Company pursuant to a registration statement on Form S-3 (File No. 333-227236). The Purchase Agreement contains customary representations, warranties and agreements by the Company and customary conditions to closing. The closing of the Offering and the Private Placement occurred on March 3, 2020.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5, 2020, the Company delivered notice to Aspire Capital Fund, LLC, an Illinois limited liability company (“Aspire Capital”), terminating the Common Stock Purchase Agreement dated October 28, 2019 (the “2019 Aspire Purchase Agreement”) with Aspire Capital effective as of March 6, 2020. The 2019 Aspire Purchase Agreement provided that, upon the terms and subject to the conditions and limitations set forth therein, Aspire Capital was committed to purchase up to an aggregate of $10 million of shares of the Company’s common stock over the 24-month term of the 2019 Aspire Purchase Agreement at a price equal to (i) the lowest sale price of the Company’s common stock on the purchase date; or (ii) the arithmetic average of the three (3) lowest closing sale prices for the Company’s common stock during the ten (10) consecutive trading days ending on the trading day immediately preceding the purchase date. In consideration for entering into the 2019 Aspire Purchase Agreement, the Company issued to Aspire Capital 100,000 shares of the Company’s common stock.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significant losses from operations and expect to continue to incur significant losses for the foreseeable future.</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$291 million at December 31, 2019. For the years ended December 31, 2019 and 2018, we incurred net losses of $16.9 million, and $11.9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significant revenue and have incurred significant net losses in each year since our inception. For the year ended December 31, 2019, we had a net loss of $16.9 million and used $20.3 million to fund operations. We have incurred approximately $291 million of accumulated net losses as of December 31, 2019. As of December 31, 2019, we had approximately $16.7 million in cash, short-term investments, interest receivable and deferred income tax asset.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Other than the Capital on Demand Agreement that provides us the ability to sell equity securities in the future,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are unable to obtain additional capital on a timely basis or on acceptable terms, or, if current market conditions, including the volatility in the markets resulting from the worldwide Covid-19 pandemic, make capital raising impractical or impossible,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suffer delays related to the impact of the spread of COVID-19 on the FDA’s ability to continue its normal operations</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each clinical trial of investigational gene therapies must be reviewed and approved by the Institutional Biosafety Committee (IBC) for each clinical site. IBCs were established under the National Institutes of Health (NIH) Guidelines for Research Involving Recombinant or Synthetic Nucleic Acid Molecules to provide local review and oversight of nearly all forms of research utilizing recombinant or synthetic nucleic acid molecules. The IBC assesses biosafety issues, specifically, safety practices and containment procedures, related to the investigational product and clinical study. Compliance with the NIH Guidelines is mandatory for investigators at institutions receiving NIH funds for research involving recombinant DNA, however many companies and other institutions not otherwise subject to the NIH Guidelines voluntarily follow them. Such trials remain subject to FDA and other clinical trial regulations, and only after FDA, IBC, and other relevant approvals are in place can these protocols proceed. The FDA can put an investigational new drug (IND) application on a clinical hold even if the IBC has provided a favorable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b w:val="1"/>
          <w:bCs w:val="1"/>
          <w:color w:val="auto"/>
        </w:rPr>
        <w:t>If we encounter difficulties enrolling patients in our clinical trials, our clinical development activities could be delayed or otherwise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or availability of patients to participate in our trials (including due to the recent outbreak of the coronavirus strain known as COVID-19, or the COVID-19 coronavirus);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outbreak that we believe may adversely affect enrollment in our trials include:</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70" w:lineRule="exact"/>
        <w:rPr>
          <w:rFonts w:ascii="Arial" w:cs="Arial" w:eastAsia="Arial" w:hAnsi="Arial"/>
          <w:sz w:val="18"/>
          <w:szCs w:val="18"/>
          <w:color w:val="auto"/>
        </w:rPr>
      </w:pPr>
    </w:p>
    <w:p>
      <w:pPr>
        <w:jc w:val="center"/>
        <w:ind w:left="5540" w:right="240" w:hanging="5208"/>
        <w:spacing w:after="0" w:line="527" w:lineRule="auto"/>
        <w:tabs>
          <w:tab w:leader="none" w:pos="6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furlough days that delay necessary interactions with local regulators, ethics committees and other important agencies and contractors.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outbreak of the COVID-19 coronavirus continues to evolve and the conduct of our trials may continue to be adversely affected, despite efforts to mitigate this impact.</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such as acquisitions, partnerships and collaborations, including the EGEN acquisition, involve numerous risks, including:</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b w:val="1"/>
          <w:bCs w:val="1"/>
          <w:i w:val="1"/>
          <w:iCs w:val="1"/>
          <w:color w:val="auto"/>
        </w:rPr>
        <w:t>ClinicalTrials.gov</w:t>
      </w:r>
      <w:r>
        <w:rPr>
          <w:rFonts w:ascii="Arial" w:cs="Arial" w:eastAsia="Arial" w:hAnsi="Arial"/>
          <w:sz w:val="16"/>
          <w:szCs w:val="16"/>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85" w:lineRule="exact"/>
        <w:rPr>
          <w:sz w:val="20"/>
          <w:szCs w:val="20"/>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66"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7"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41" w:orient="portrait"/>
          <w:cols w:equalWidth="0" w:num="1">
            <w:col w:w="11240"/>
          </w:cols>
          <w:pgMar w:left="320" w:top="661" w:right="339" w:bottom="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On December 10, 2019, the U.S. Supreme Court heard arguments in </w:t>
      </w:r>
      <w:r>
        <w:rPr>
          <w:rFonts w:ascii="Arial" w:cs="Arial" w:eastAsia="Arial" w:hAnsi="Arial"/>
          <w:sz w:val="17"/>
          <w:szCs w:val="17"/>
          <w:i w:val="1"/>
          <w:iCs w:val="1"/>
          <w:color w:val="auto"/>
        </w:rPr>
        <w:t>Moda</w:t>
      </w:r>
      <w:r>
        <w:rPr>
          <w:rFonts w:ascii="Arial" w:cs="Arial" w:eastAsia="Arial" w:hAnsi="Arial"/>
          <w:sz w:val="17"/>
          <w:szCs w:val="17"/>
          <w:color w:val="auto"/>
        </w:rPr>
        <w:t xml:space="preserve"> </w:t>
      </w:r>
      <w:r>
        <w:rPr>
          <w:rFonts w:ascii="Arial" w:cs="Arial" w:eastAsia="Arial" w:hAnsi="Arial"/>
          <w:sz w:val="17"/>
          <w:szCs w:val="17"/>
          <w:i w:val="1"/>
          <w:iCs w:val="1"/>
          <w:color w:val="auto"/>
        </w:rPr>
        <w:t>Health Plan, Inc. v. United States</w:t>
      </w:r>
      <w:r>
        <w:rPr>
          <w:rFonts w:ascii="Arial" w:cs="Arial" w:eastAsia="Arial" w:hAnsi="Arial"/>
          <w:sz w:val="17"/>
          <w:szCs w:val="17"/>
          <w:color w:val="auto"/>
        </w:rPr>
        <w:t>, which will determine whether the government must make risk corridor payments. The U.S. Supreme Court’s decision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released in the coming months, but we cannot predict how the U.S. Supreme Court will rule. The effects of this gap in reimbursement on third-party payors, the viability of the ACA marketplace, providers, and potentially our business, are not yet known. While Congress has not passed comprehensive repeal legislation, it has enacted laws that modify certain provisions of the Affordable Care Act such as removing penalties, starting January 1, 2019, for not complying with the Affordable Care Act’s individual mandate to carry health insurance, delaying the implementation of certain Affordable Care Act-mandated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We cannot predict what affect further changes to the ACA would have on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spacing w:after="0" w:line="28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2029, unless additional congressional action is taken. The BBA also amended the ACA, effective January 1, 2019, by increasing the point-of-sale discount that is owed by pharmaceutical manufacturers who participate in Medicare Part D and closing the coverage gap in most Medicare drug plans, commonly referred to as the “donut hole”.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reloxaliase and any other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authorities and other third-party payors decide which drugs and treatments they will cover and the amount of reimbursement.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7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w:t>
      </w:r>
    </w:p>
    <w:p>
      <w:pPr>
        <w:sectPr>
          <w:pgSz w:w="11900" w:h="16909" w:orient="portrait"/>
          <w:cols w:equalWidth="0" w:num="1">
            <w:col w:w="11240"/>
          </w:cols>
          <w:pgMar w:left="320" w:top="665" w:right="339" w:bottom="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18"/>
          <w:szCs w:val="18"/>
          <w:b w:val="1"/>
          <w:bCs w:val="1"/>
          <w:color w:val="auto"/>
        </w:rPr>
        <w:t>We or the third parties upon whom we depend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current operations are located in our facilities in Lawrenceville, New Jersey.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December 2019, an outbreak of a novel strain of coronavirus, or the COVID-19 coronavirus, originated in Wuhan, China. To date, this outbreak has already resulted in extended shutdowns of certain businesses in the Wuhan region and has had ripple effects to businesses around the world. An outbreak of communicable diseases in China or elsewhere, or the perception that such an outbreak could occur, and the measures taken by the governments of countries affected, could adversely affect our business, financial condition or results of operations by limiting our ability to manufacture products within or outside China, forcing temporary closure of facilities that we rely upon or increasing the costs associated with obtaining clinical supplies of our product candidates. The extent to which the COVID-19 coronavirus impacts our results will depend on future developments, which are highly uncertain and cannot be accurately predicted, including new information which may emerge concerning the severity of the COVID-19 coronavirus and the actions to contain the COVID-19 coronavirus or treat its impact, among others. Global health concerns, such as the COVID-19 coronavirus, could also result in social, economic, and labor instability in the countries in which we or the third parties with whom we engage operate.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Pandemics such as the COVID-19 coronavirus could have an adverse impact on our developmental programs and our financial condition.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the COVID-19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COVID-19 coronavirus impacts our business will depend on future developments, which are highly uncertain and cannot be predicted, including new information which may emerge concerning the severity of the COVID-19 coronavirus and the actions to contain the COVID-19 coronavirus or treat its impact, among others.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 high price of $2.47 and a low price of $1.08 in the 52-week period ended December 31, 2019, and a high price of $1.73 and a low price of $0.72 from January 1, 2020 through March 24, 2020. Among the factors that may cause the market price of our common stock to fluctuate are the risks described in this “Risk Factors” section and other factors, including:</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24, 2020, we had 29,257,101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24, 2020, we have a significant number of securities convertible into, or allowing the purchase of, our common stock, including 3,826,098 shares of common stock issuable upon exercise of warrants outstanding, 4,786,747 options to purchase shares of our common stock and restricted stock awards outstanding, and 4,152 shares of common stock reserved for future issuance under our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2019, 2018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w w:val="97"/>
              </w:rPr>
              <w:t>Following is a table of the lease payments and maturity of our operating lease liabilities as of December 31, 2019:</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years ending</w:t>
            </w:r>
          </w:p>
        </w:tc>
      </w:tr>
      <w:tr>
        <w:trPr>
          <w:trHeight w:val="241"/>
        </w:trPr>
        <w:tc>
          <w:tcPr>
            <w:tcW w:w="58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58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530,734</w:t>
            </w:r>
          </w:p>
        </w:tc>
        <w:tc>
          <w:tcPr>
            <w:tcW w:w="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233,117</w:t>
            </w:r>
          </w:p>
        </w:tc>
        <w:tc>
          <w:tcPr>
            <w:tcW w:w="14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8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1,825,239</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(293,789)</w:t>
            </w:r>
          </w:p>
        </w:tc>
      </w:tr>
      <w:tr>
        <w:trPr>
          <w:trHeight w:val="210"/>
        </w:trPr>
        <w:tc>
          <w:tcPr>
            <w:tcW w:w="580" w:type="dxa"/>
            <w:vAlign w:val="bottom"/>
          </w:tcPr>
          <w:p>
            <w:pPr>
              <w:spacing w:after="0"/>
              <w:rPr>
                <w:sz w:val="18"/>
                <w:szCs w:val="18"/>
                <w:color w:val="auto"/>
              </w:rPr>
            </w:pPr>
          </w:p>
        </w:tc>
        <w:tc>
          <w:tcPr>
            <w:tcW w:w="8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1,531,450</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22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3.45 years</w:t>
            </w:r>
          </w:p>
        </w:tc>
      </w:tr>
      <w:tr>
        <w:trPr>
          <w:trHeight w:val="216"/>
        </w:trPr>
        <w:tc>
          <w:tcPr>
            <w:tcW w:w="58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5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2019, operating lease expense was $522,380 and cash paid for operating leases included in operating cash flows was $485,848. For 2018, operating lease expense was $450,430 and cash paid for operating leases included in operating cash flows was $457,321.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September 20, 2019, a purported stockholder of the Company filed a derivative and putative class action lawsuit in the Superior Court of New Jersey, Chancery Division, against the Company (as both a class action defendant and nominal defendant), certain officers and directors), with the caption </w:t>
      </w:r>
      <w:r>
        <w:rPr>
          <w:rFonts w:ascii="Arial" w:cs="Arial" w:eastAsia="Arial" w:hAnsi="Arial"/>
          <w:sz w:val="18"/>
          <w:szCs w:val="18"/>
          <w:i w:val="1"/>
          <w:iCs w:val="1"/>
          <w:color w:val="auto"/>
        </w:rPr>
        <w:t>O’Connor v. Braun et al.</w:t>
      </w:r>
      <w:r>
        <w:rPr>
          <w:rFonts w:ascii="Arial" w:cs="Arial" w:eastAsia="Arial" w:hAnsi="Arial"/>
          <w:sz w:val="18"/>
          <w:szCs w:val="18"/>
          <w:color w:val="auto"/>
        </w:rPr>
        <w:t>, Docket No. MER-C-000068-19 (the “Shareholder Action”). The Shareholder Action alleges breaches of the defendants’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allegations that the Defendants made or approved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Capital Market under the symbol “CLSN”.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24, 2020, there were approximately 12,200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following discussions should be read in conjunction with our financial statements and related notes thereto included in this Annual Report. 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Arial" w:cs="Arial" w:eastAsia="Arial" w:hAnsi="Arial"/>
          <w:sz w:val="18"/>
          <w:szCs w:val="18"/>
          <w:b w:val="1"/>
          <w:bCs w:val="1"/>
          <w:color w:val="auto"/>
        </w:rPr>
        <w:t>“Part I, Item 1A - Risk Factors”</w:t>
      </w:r>
      <w:r>
        <w:rPr>
          <w:rFonts w:ascii="Arial" w:cs="Arial" w:eastAsia="Arial" w:hAnsi="Arial"/>
          <w:sz w:val="18"/>
          <w:szCs w:val="18"/>
          <w:color w:val="auto"/>
        </w:rPr>
        <w:t xml:space="preserve"> appearing in this Annual Report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is an integrated development clinical stage oncology drug company focused on advancing innovative cancer treatments, including directed chemotherapies, DNA-mediated immunotherapy and RNA-based therapies. Our lead product candidate is ThermoDox®, a proprietary heat-activated liposomal encapsulation of doxorubicin, currently in a Phase III clinical trial for the treatment of primary liver cancer (the “OPTIMA Study”). Second in our product pipeline is GEN-1, a DNA-mediated immunotherapy for the localized treatment of ovarian cancer. These investigational products are based on platform technologies that provide the basis for future development of a range of therapeutics, largely focused on difficult-to-treat forms of cancer. The first platform technology is Lysolipid Thermally Sensitive Liposomes, a heat sensitive liposomal based dosage form that is designed to target disease with known chemotherapeutics in the presence of mild heat. The second platform technology is TheraPlas, a novel nucleic acid-based investigational candidate under development for local transfection of therapeutic DNA plasmids. Employing these technologies, we are working to develop and commercialize more efficient, effective and targeted oncology therapies that maximize efficacy while minimizing side effects common to cancer treatments.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(“RFA”), for newly diagnosed, intermediate stage HCC patients. HCC incidence globally is approximately 755,000 new cases per year and is the third largest cancer indication globally. Approximately 30% of newly diagnosed patients can be addressed with RFA alone.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conducted by the Company called the HEAT Study (the “HEAT Study”). The OPTIMA Study is supported by a hypothesis developed from an overall survival analysis of a large subgroup of 285 patients from the HEAT Study.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 “HEAT Study subgroup”).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subgroup has been reached which translates into a two-year survival benefit over the optimized RFA subgroup (projected to be greater than 80 months for the ThermoDox® plus optimized RFA subgroup compared to less than 60 months projection for the optimized RFA only subgroup).</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8"/>
          <w:szCs w:val="18"/>
          <w:color w:val="auto"/>
        </w:rPr>
        <w:t>The OPTIMA Study was designed with extensive input from globally recognized HCC researchers and expert clinicians. The FDA also provided formal written feedback to the Company on the study protocol and trial design.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completed enrollment of 556 patients in the Phase III OPTIMA Study in August 2018. Data for the study will be reviewed as it matures up to two interim analyses expected to be conducted in the second half of 2019 and in mid-2020. We expect that the final efficacy analysis, if necessary, will be completed in early 2021.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 that applications will be accepted in South Korea, Taiwan and Vietnam, three other significant markets for ThermoDox® if it were to receive approval in Europe, China or the U.S.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Company’s multinational, double-blind, placebo-controlled pivotal Phase III OPTIMA Study. The DMC’s pre-planned interim efficacy review followed 128 patient events, or deaths, which occurred in August 2019. Data presented demonstrated that PFS and OS data appear to be tracking with patient data observed at a similar point in the Company’s subgroup of patients followed prospectively in the earlier Phase III HEAT Study, upon which the OPTIMA Study is based.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data review demonstrated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OPTIMA Study patient demographics and risk factors are consistent with what the Company observed in the HEAT Study subgroup with all data quality metrics meeting expectations.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Median PFS for the OPTIMA Study reached 17 months as of August 2019. These blinded data compare favorably with 16 months median PFS for all 285 patients in the HEAT Study subgroup of patients treated with RFA &gt;45 minutes.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While the Company has not unblinded the study to report a hazard ratio, PFS and OS are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success at the second of two pre-planned interim efficacy analysis, which is intended after a minimum of 158 patient deaths and is projected to occur during the second quarter of 2020. The hazard ratio for success at 158 events is 0.70. This is below the hazard ratio of 0.65 observed in the HEAT Study subgroup of patients treated with RFA &gt; 45 minutes.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(“PFS”) for the 701-patient clinical trial in patients with hepatocellular carcinoma (HCC), also known as primary liver cancer (the HEAT Study). We determined, after conferring with the HEAT Study’s independent DMC, that the HEAT Study did not meet the goal of demonstrating persuasive evidence of clinical effectiveness, that being a clinically meaningful improvement in progression free survival (PFS), that could</w:t>
      </w:r>
    </w:p>
    <w:p>
      <w:pPr>
        <w:jc w:val="both"/>
        <w:spacing w:after="0" w:line="268" w:lineRule="auto"/>
        <w:rPr>
          <w:sz w:val="20"/>
          <w:szCs w:val="20"/>
          <w:color w:val="auto"/>
        </w:rPr>
      </w:pPr>
      <w:r>
        <w:rPr>
          <w:rFonts w:ascii="Arial" w:cs="Arial" w:eastAsia="Arial" w:hAnsi="Arial"/>
          <w:sz w:val="16"/>
          <w:szCs w:val="16"/>
          <w:color w:val="auto"/>
        </w:rPr>
        <w:t>form the basis for regulatory approval. In the trial,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well-tolerated with no unexpected serious adverse events. Following the announcement of the HEAT Study results, we continued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Findings from the HEAT Study post-hoc data analysis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overall survival, when compared to the control group, in patients if their lesions undergo a 45-minute RFA procedure standardized for a lesion greater than 3 cm in diameter. Data from nine OS sweeps have been conducted since the top line PFS data from the HEAT Study were announced in January 2013, with each data set demonstrating progressive improvement in clinical benefit and statistical significance. On August 15, 2016, the Company announced the most recent post-hoc OS analysis from the HEAT Study. These results demonstrated that in a large, well bounded subgroup of patients with a single lesion (n=285, 41% of the HEAT Study patients), the combination of ThermoDox® and optimized RFA provided an average 54% risk improvement in OS compared to optimized RFA alone. The Hazard Ratio at this latest OS analysis is 0.65 (95% CI 0.45 - 0.94) with a p-value of 0.02. Median OS for the ThermoDox® group has been reached which translates into a two-year survival benefit over the optimized RFA group (projected to be greater than 80 months for the ThermoDox® plus optimized RFA</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group compared to less than 60 months projection for the optimized RFA only group). These data continue to strongly suggest that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may significantly improve Overall Survival compared to an RFA control in patients whose lesions undergo optimized RFA treatment for 45 minutes or more as well as support the protocol for our Phase III OPTIMA Study as described below.</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16, 2017, the Company announced the publication of the manuscript, “Phase III HEAT STUDY Adding Lyso-Thermosensitive Liposomal Doxorubicin to Radiofrequency Ablation in Patients with Unresectable Hepatocellular Carcinoma Lesions,” in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a peer-reviewed medical journal. The article reports on one of the largest controlled studies in hepatocellular carcinoma. It provides a comprehensive review of</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treatment of primary liver cancer. The article details learnings from the Company’s 701 patient HEAT Study and includes results from computer simulation studies and includes findings from a post hoc subgroup analysis, all of which are consistent with each other and which - when examined together - suggests a clearer understanding of a key ThermoDox® heat-based mechanism of action: the longer the target tissue is heated, the greater the doxorubicin tissue concentration. Additionally, the article explores a new hypothesis prompted by these findings: ThermoDox® when used in combination with Radiofrequency Ablation (RFA) standardized to a minimum dwell time of 45 minutes (sRFA &gt; 45 minutes), may increase the overall survival (OS) of patients with HCC. The lead author is Won Young Tak, M.D., Ph.D., Professor Internal Medicine, Gastroenterology &amp; Hepatology, Kyungpook National University Hospital Daegu, Republic of Korea, and there are 22 HEAT Study co-authors along with Nicholas Borys, M.D., Celsion’s senior vice president and chief medical officer.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20, 2014, we completed the acquisition of substantially all of the assets of EGEN, a private company located in Huntsville, Alabama.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and the first drug developed from it is GEN-1.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strong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strong position to capitalize on this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GEN-I OVATION Study. </w:t>
      </w:r>
      <w:r>
        <w:rPr>
          <w:rFonts w:ascii="Arial" w:cs="Arial" w:eastAsia="Arial" w:hAnsi="Arial"/>
          <w:sz w:val="16"/>
          <w:szCs w:val="16"/>
          <w:color w:val="auto"/>
        </w:rPr>
        <w:t>In February 2015, we announced that the FDA accepted, without objection, the Phase I dose-escalation clinical trial of GEN-1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the standard of care in neoadjuvant ovarian cancer (the “OVATION Study”). On September 30, 2015, we announced enrollment of the first patient in the OVATION Study. The OVATION Study was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66"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w:t>
      </w:r>
    </w:p>
    <w:p>
      <w:pPr>
        <w:spacing w:after="0" w:line="18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 and</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PFS results from the OVATION Study. Median progression-free survival (PFS) in patients treated per protocol (n=14) was 21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2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w:t>
      </w:r>
    </w:p>
    <w:p>
      <w:pPr>
        <w:spacing w:after="0" w:line="2" w:lineRule="exact"/>
        <w:rPr>
          <w:sz w:val="20"/>
          <w:szCs w:val="20"/>
          <w:color w:val="auto"/>
        </w:rPr>
      </w:pPr>
    </w:p>
    <w:p>
      <w:pPr>
        <w:jc w:val="both"/>
        <w:ind w:firstLine="8"/>
        <w:spacing w:after="0" w:line="255" w:lineRule="auto"/>
        <w:tabs>
          <w:tab w:leader="none" w:pos="1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study. 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Developed with extensive input from the Company’s Medical Advisory Board, the OVATION 2 Study builds on promising clinical and translational research data from the Phase IB dose-escalation OVATION I Study, in which enrolled patients received escalating weekly doses of GEN-1 up to 79 mg/m² for a total of eight treatments in combination with NACT, followed by IDS. In addition to exploring a higher dose of GEN-1 in the OVATION 2 study, patients will continue to receive GEN-1 after their IDS in combination with adjuvant chemotherapy.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latest DSMB review of GEN-1 at 100 mg/m² has confirmed that there were no dose limiting toxicities detected in any of the five patients dosed with GEN-1 and that intraperitoneal administration is well tolerated even when given with standard NACT. Of the eight patients treated in the Phase I portion of the OVATION 2 Study, five patients were treated with GEN-1 plus NACT and three patients were treated with NACT only.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highly encouraging initial clinical data from the first 15 patients enrolled in the ongoing Phase I/II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seven out of nine patients (78%) in the GEN-1 treatment arm having an R0 resection, which indicates a microscopically margin-negative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8700" w:hanging="190"/>
        <w:spacing w:after="0"/>
        <w:tabs>
          <w:tab w:leader="none" w:pos="8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of Patients with</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7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R0 Resections</w:t>
            </w:r>
          </w:p>
        </w:tc>
        <w:tc>
          <w:tcPr>
            <w:tcW w:w="160" w:type="dxa"/>
            <w:vAlign w:val="bottom"/>
            <w:tcBorders>
              <w:bottom w:val="single" w:sz="8" w:color="CCEEFF"/>
            </w:tcBorders>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0, 36, 47 mg/m² of GEN-1 plus NACT</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n=12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580" w:type="dxa"/>
            <w:vAlign w:val="bottom"/>
          </w:tcPr>
          <w:p>
            <w:pPr>
              <w:ind w:left="1780"/>
              <w:spacing w:after="0"/>
              <w:rPr>
                <w:sz w:val="20"/>
                <w:szCs w:val="20"/>
                <w:color w:val="auto"/>
              </w:rPr>
            </w:pPr>
            <w:r>
              <w:rPr>
                <w:rFonts w:ascii="Arial" w:cs="Arial" w:eastAsia="Arial" w:hAnsi="Arial"/>
                <w:sz w:val="18"/>
                <w:szCs w:val="18"/>
                <w:color w:val="auto"/>
              </w:rPr>
              <w:t>n=17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objective response rate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 Assets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20, 2014, we completed the acquisition of substantially all of the assets of EGEN, which has changed its company name to EGWU, Inc. after the closing of the acquisition, pursuant to an asset purchase agreement (the “Asset Purchase Agreement”) dated as of June 6, 2014, by and between EGEN and Celsion.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issued the Holdback Shares on June 16, 2017. 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6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eight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2019, the Company evaluated its IPR&amp;D of the (GBM) product candidate and concluded that it is not more likely than not that the asset is further impaired. On September 30, 2019 and 2018, the Company evaluated its IPR&amp;D of the ovarian cancer indication and concluded that it is not more likely than not that the asset is impaired. As no other indicators of impairment existed during the fourth quarter of 2019, the Company concluded none of the other IPR&amp;D assets were impaired at December 31, 2019. The carrying amount of the ovarian cancer indication was $13.3 million at December 31, 2019 and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Not to Compete (CNTC)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had $16.7 million in cash, investments, interest receivable and deferred income tax asset as of December 31, 2019, as well as $6.4 million we have raised thus far in 2020 under the 2019 Aspire Purchase Agreement and from the February 2020 Offering. The Company has approximately $15 million available under the Capital on Demand Agreement with JonesTrading International Services LLC. Given our development plans, we anticipate our current cash resources will be sufficient to fund our operations and financial commitments through mid-2021. On March 5, 2020, we terminated the 2019 Aspire Purchase Agreement. Other than the Capital on Demand Agreement with Jones Trading that provides us the ability to sell equity securities in the future, we have no other committed sources of additional capital and there is uncertainty whether additional funding will be available when needed on terms that will be acceptable to it, or at all. If the Company would not be able to obtain financing when needed, it could be unable to carry out the business plan and may have to significantly limit its operations and its business and its financial condition and results of operations could be materially harmed. The extent to which the recent global Covid-19 pandemic impacts our business will depend on future developments, which are highly uncertain and cannot be predicted, including new information that may emerge concerning the severity of COVID-19 and the actions to contain or treat its impact, among others. Any significant infectious disease outbreak, including the COVID-19 pandemic, could result in a widespread health crisis that could adversely affect the economies and financial markets worldwide, resulting in an economic downturn that could impact our business, financial condition and results of operations, including our ability to obtain additional funding, if needed.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discussed in Note 9 of the Financial Statement included in this Annual Report, during the fourth quarter of 2018, the Company received eligibility from the New Jersey Economic Development Authority to sell, and did sell, $11.1 million of its unused New Jersey net operating losses under the Technology Business Tax Certificate Program, receiving $10.4 million of non-dilutive funding in the process. During the fourth quarter of 2019, the Company received approval from the New Jersey Economic Development Authority to sell $1.9 million its New Jersey net operating losses. In early 2020, the Company entered into an agreement to sell these net operating losses and expects to receive net proceeds of approximately $1.8 million in the second quarter of 2020.</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2018 and 2019, we issued a total of 5.1 million shares of common stock as discussed below for an aggregate $9.4 million in gross proceeds. During the first quarter of 2020, the Company has issued a total of 5.6 million shares of common stock for an aggregate of $6.4 million in gross proceeds as discussed in more detail below. In June 2018, we entered a $10 million loan facility with Horizon Technology Finance Corporation (“Horizon”).</w:t>
      </w:r>
    </w:p>
    <w:p>
      <w:pPr>
        <w:spacing w:after="0" w:line="149" w:lineRule="exact"/>
        <w:rPr>
          <w:sz w:val="20"/>
          <w:szCs w:val="20"/>
          <w:color w:val="auto"/>
        </w:rPr>
      </w:pPr>
    </w:p>
    <w:p>
      <w:pPr>
        <w:jc w:val="both"/>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94"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August 31, 2018, the Company entered into the 2018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2018 Aspire Purchase Agreement may be terminated by the Company at any time, at its discretion, without any cost to the Company. During 2018 and 2019 the Company sold and issued an aggregate of 3.4 million shares under the Purchase Agreement, receiving approximately $6.5 million. All proceeds from the Company received under the 2018 Aspire Purchase Agreement were used for working capital and general corporate purposes. As a result of the Company and Aspire Capital entering into a new purchase agreement on October 28, 2019 discussed in the next paragraph, the 2018 Aspire Purchase Agreement was terminated.</w:t>
      </w:r>
    </w:p>
    <w:p>
      <w:pPr>
        <w:spacing w:after="0" w:line="170" w:lineRule="exact"/>
        <w:rPr>
          <w:rFonts w:ascii="Arial" w:cs="Arial" w:eastAsia="Arial" w:hAnsi="Arial"/>
          <w:sz w:val="16"/>
          <w:szCs w:val="16"/>
          <w:color w:val="auto"/>
        </w:rPr>
      </w:pPr>
    </w:p>
    <w:p>
      <w:pPr>
        <w:jc w:val="both"/>
        <w:ind w:left="660" w:hanging="328"/>
        <w:spacing w:after="0" w:line="26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October 28, 2019, Company, entered into the 2019 Aspire Purchase Agreement with Aspire Capital. The terms and conditions pursuant to the 2019 Aspire Purchase Agreement are substantially similar to the 2018 Aspire Purchase Agreement. Pursuant to the new 2019 Aspire Purchase Agreement,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100,000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of common stock under the 2019 Aspire Purchase Agreement, receiving approximately $0.7 million in gross proceeds. On March 5, 2020, the Company delivered notice to Aspire Capital terminating the 2019 Aspire Purchase Agreement effective as of March 6, 2020. During the first quarter of 2020, the Company sold 1.0 million shares of common stock under the 2019 Aspire Purchase Agreement and received $1.6 million in gross proceeds.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ind w:left="660" w:hanging="328"/>
        <w:spacing w:after="0" w:line="236" w:lineRule="auto"/>
        <w:tabs>
          <w:tab w:leader="none" w:pos="660" w:val="left"/>
        </w:tabs>
        <w:numPr>
          <w:ilvl w:val="0"/>
          <w:numId w:val="30"/>
        </w:numPr>
        <w:rPr>
          <w:rFonts w:ascii="Arial" w:cs="Arial" w:eastAsia="Arial" w:hAnsi="Arial"/>
          <w:sz w:val="34"/>
          <w:szCs w:val="34"/>
          <w:color w:val="auto"/>
          <w:vertAlign w:val="superscript"/>
        </w:rPr>
      </w:pPr>
      <w:r>
        <w:rPr>
          <w:rFonts w:ascii="Arial" w:cs="Arial" w:eastAsia="Arial" w:hAnsi="Arial"/>
          <w:sz w:val="17"/>
          <w:szCs w:val="17"/>
          <w:color w:val="auto"/>
        </w:rPr>
        <w:t>We were a party to a Controlled Equity Offering</w:t>
      </w:r>
      <w:r>
        <w:rPr>
          <w:rFonts w:ascii="Arial" w:cs="Arial" w:eastAsia="Arial" w:hAnsi="Arial"/>
          <w:sz w:val="27"/>
          <w:szCs w:val="27"/>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During 2018, the Company sold 0.5 million shares of common stock under the ATM, receiving approximately $1.2 million in net proceeds. On October 10, 2018, the Company delivered notice to Cantor terminating the ATM effective as of October 20, 2018. From February 2013 through the date of termination, the Company sold 1.8 million shares of Common Stock under the Sales Agreement generating gross proceeds of $12.8 million. The Company has no further obligations under the ATM.</w:t>
      </w:r>
    </w:p>
    <w:p>
      <w:pPr>
        <w:spacing w:after="0" w:line="206" w:lineRule="exact"/>
        <w:rPr>
          <w:rFonts w:ascii="Arial" w:cs="Arial" w:eastAsia="Arial" w:hAnsi="Arial"/>
          <w:sz w:val="34"/>
          <w:szCs w:val="34"/>
          <w:color w:val="auto"/>
          <w:vertAlign w:val="superscript"/>
        </w:rPr>
      </w:pPr>
    </w:p>
    <w:p>
      <w:pPr>
        <w:jc w:val="both"/>
        <w:ind w:left="660" w:hanging="328"/>
        <w:spacing w:after="0" w:line="270" w:lineRule="auto"/>
        <w:tabs>
          <w:tab w:leader="none" w:pos="660" w:val="left"/>
        </w:tabs>
        <w:numPr>
          <w:ilvl w:val="0"/>
          <w:numId w:val="30"/>
        </w:numPr>
        <w:rPr>
          <w:rFonts w:ascii="Arial" w:cs="Arial" w:eastAsia="Arial" w:hAnsi="Arial"/>
          <w:sz w:val="32"/>
          <w:szCs w:val="32"/>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did not sell any shares under the Capital on Demand Agreement during 2018. During 2019, the Company sold 0.5 million shares of common stock under the Capital on Demand Agreement, receiving approximately $1.0 million.</w:t>
      </w:r>
    </w:p>
    <w:p>
      <w:pPr>
        <w:spacing w:after="0" w:line="181" w:lineRule="exact"/>
        <w:rPr>
          <w:rFonts w:ascii="Arial" w:cs="Arial" w:eastAsia="Arial" w:hAnsi="Arial"/>
          <w:sz w:val="32"/>
          <w:szCs w:val="32"/>
          <w:color w:val="auto"/>
          <w:vertAlign w:val="superscript"/>
        </w:rPr>
      </w:pPr>
    </w:p>
    <w:p>
      <w:pPr>
        <w:jc w:val="both"/>
        <w:ind w:left="660" w:hanging="328"/>
        <w:spacing w:after="0" w:line="26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statements, which appear at Item 8 to this Annual Report, have been prepared in accordance with accounting principles generally accepted in the U.S.,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 606) -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As further described in Note 16,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spacing w:after="0" w:line="273" w:lineRule="auto"/>
        <w:rPr>
          <w:sz w:val="20"/>
          <w:szCs w:val="20"/>
          <w:color w:val="auto"/>
        </w:rPr>
      </w:pPr>
      <w:r>
        <w:rPr>
          <w:rFonts w:ascii="Arial" w:cs="Arial" w:eastAsia="Arial" w:hAnsi="Arial"/>
          <w:sz w:val="17"/>
          <w:szCs w:val="17"/>
          <w:color w:val="auto"/>
        </w:rPr>
        <w:t>We adopted Topic ASC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million,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Note 15 for further discussions regarding the adoption of ASC Topic 842.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Stockholders’ Equity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in each of the quarterly reporting period starting in 2019.</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2019 and Fiscal Year Ended December 31,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2019, our net loss was $16.9 million compared to a net loss of $11.9 million for the year ended December 31, 2018. The Company recognized $1.8 million and $10.4 million in tax benefits from the sale of its New Jersey net operating losses under the Technology Business Tax Certificate Program in the fourth quarters of 2019 and 2018, respectively. With $16.7 million in cash, investments, interest receivable and deferred income tax asset at December 31, 2019 coupled with the $6.4 million of additional capital raised during the first quarter of 2020, the Company believes it has sufficient capital resources to fund its operations through mid-2021.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and 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recognized revenue of $500,000 in each of the years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increased $1.2 million or 10% from $11.9 million in 2018 to $13.1 million in 2019. Costs associated with the Phase III OPTIMA Study were $4.1 million in 2019 compared to $4.7 million in 2018. The prior year period was favorably impacted by a $0.8 million credit resulting from cost concessions negotiated with the Company’s lead contract research organization (CRO) for the OPTIMA Study. Excluding this one-time credit, clinical development costs for the Phase III OPTIMA Study decreased $1.4 million in 2019, due to the completion of enrollment of the study in August 2018. The Company continues to follow patients on the study through the two preplanned efficacy analyses and the final efficacy analysis after 197 OS events. Costs associated with the OVATION 2 Study were $0.6 million in 2019 compared to $0.4 million in 2018. Regulatory costs were $1.1 million in 2019 compared to $0.3 million in 2018. Other clinical costs were $2.5 million in each of 2019 and 2018. Costs associated with the production of ThermoDox® were $1.5 million during 2019 compared to $1.1 million in 2018 as the Company is preparing registration batches at its three CMOs assuming a successful outcome of the OPTIMA Study. R&amp;D costs associated with the development of GEN-1 to support the OVATION program increased by $0.5 million to $3.3 million in 2019 compared to $2.8 million in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to $8.0 million in 2019 compared to $9.7 million in 2018. This decrease is primarily attributable to lower personnel costs of approximately $1.6 million which included a $1.7 million decrease in non-cash stock compensation expense partially offset by an increase in salary and benefits in 2019 compared to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provided EGWU, Inc. 200,000 warrants to purchase common stock at a strike price of $0.01 per warrant share as consideration for entering into the amended agreement. These warrants shares have no expiration and were fair valued at $2.00 using the closing price of a share of Celsion stock on the date of issuance offset by the exercise price and recorded $0.4 million as an expense in the income statement and were classified as equity on the balance sheet during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 fair valued the earn-out milestone liability at $5.7 million and recognized a non-cash benefit of $3.2 million for 2019 as a result of the change in the fair value of these milestones from $8.9 million at December 31, 2018. In assessing the earnout milestone liability at December 31,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write down of the IPR&amp;D asset mentioned below, the Company concluded there was a reduced probability of payments of the earn-out milestones associated with the GBM asset as of September 30, 2018 and reduced the earnout milestone at that time. As of December 31, 2018, the Company fair valued these milestones at $8.9 million and recognized a non-cash benefit of $3.6 million in 2018 as a result of the change in the fair value of these milestones from $12.5 million at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After our annual assessment of the totality of the events that could impair IPR&amp;D at September 30, 2018,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$6.9 million, was partially impaired and wrote down the GBM asset to $2.5 million incurring a non-cash charge of $4.5 million in the third quarter of 2018. The Company concluded none of the other IPR&amp;D assets were impaired at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none of the IPR&amp;D assets were impaired further as of December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realized $0.5 million and $0.4 million of investment income from its short-term investments during 2019 and 2018, respectively.</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entered a loan facility with Horizon Technology Finance Corporation in June 2018 and incurred interest expense of $1.4 million during 2019 compared to $0.7 million during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research and development and business operations. During the fourth quarter of 2018, the Company received eligibility from the New Jersey Economic Development Authority to sell, and did sell, $11.1 million of its unused New Jersey net operating losses under the Technology Business Tax Certificate Program, receiving $10.4 million of non-dilutive funding. The Company received approval from the New Jersey Economic Development Authority to sell $1.9 million of its New Jersey net operating losses recognizing a tax benefit for the year ended December 31, 2019 for the net proceeds (approximately $1.8 million) by reducing the deferred income tax valuation allowance. In early 2020, the Company entered into an agreement to sell these net operating losses and expects to receive net proceeds of approximately $1.8 million in the second quarter of 2020. The Company has approximately $2.1 million in future tax benefits remaining under the NOL Program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adverse impact on our revenue or operations in any of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we have incurred significant losses and negative cash flows from operations. We have financed our operations primarily through the net proceeds from the sales of equity, credit facilities sales of our New State net operating losses (as discussed above)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$291 million at December 31, 2019.</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we had total current assets of $16.2 million (including cash, cash equivalents, short-term investment, interest receivable of $14.9 million) and current liabilities of $7.9 million, resulting in net working capital of $8.3 million. At December 31, 2018 we had total current assets of $28.1 million (including cash, cash equivalents, short-term investments and interest receivable of $27.6 million) and current liabilities of $6.1 million, resulting in net working capital of $22.0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for 2019 was $20.3 million. Our net loss of $16.9 million for 2019 included the following non-cash transactions: (i) $2.3 million in non-cash stock-based compensation expense, (ii) $0.4 million non-cash charge from the issuance of warrants in connection with an amendment to the EGEN Asset Purchase Agreement (iii) $0.4 million in non-cash interest expense and (iv) $3.2 non-cash benefit based on the change in the earn-out milestone liability. The $20.3 million net cash used in operating activities was mostly funded from cash and cash equivalents, short term investments, and cash proceeds received in equity financings during 2019. At December 31, 2019, we had cash, cash equivalents, short-term investment, and interest receivable of $14.9 million.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6"/>
          <w:szCs w:val="16"/>
          <w:color w:val="auto"/>
        </w:rPr>
        <w:t>On August 31, 2018, the Company entered into the 2018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2018 Aspire Purchase Agreement may be terminated by the Company at any time, at its discretion, without any cost to the Company. During 2018 and 2019 the Company sold and issued an aggregate of 3.4 million shares under the Purchase Agreement, receiving approximately $6.5 million. All proceeds from the Company received under the 2018 Aspire Purchase Agreement were used for working capital and general corporate purposes. As a result of the Company and Aspire Capital entering into a new purchase agreement on October 28, 2019 as discussed in the next paragraph, the 2018 Aspire Purchase Agreement terminated.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28, 2019, Company, entered into the 2019 Aspire Purchase Agreement with Aspire Capital. The terms and conditions pursuant to the 2019 Aspire Purchase Agreement are substantially similar to the 2018 Aspire Purchase Agreement. Pursuant to the new 2019 Aspire Purchase Agreement,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100,000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under the 2019 Aspire Purchase Agreement, receiving approximately $0.7 million. On March 5, 2020, the Company delivered notice to Aspire Capital terminating the 2019 Aspire Purchase Agreement with Aspire Capital effective as of March 6, 2020. The Company sold 1.0 million shares receiving $1.6 million during 2020 until the date of termination under the 2019 Aspire Purchase Agreement.</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were a party to a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During 2018, the Company sold 0.5 million shares of common stock under the ATM, receiving approximately $1.2 million in net proceeds. On October 10, 2018, the Company delivered notice to Cantor terminating the ATM effective as of October 20, 2018. From February 2013 through the date of termination, the Company sold 1.8 million shares of Common Stock under the Sales Agreement generating gross proceeds of $12.8 million. The Company has no further obligations under the Sales Agreement.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4, 2018, the Company entered into a new Capital on DemandTM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did not sell any shares under the Capital on Demand Agreement during 2018. During 2019, the Company sold 0.5 million shares under the Capital on Demand Agreement, receiving approximately $1.0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had $16.7 million in cash, investments, interest receivable and deferred income tax asset as of December 31, 2019, as well as $6.4 million we have raised thus far in 2020 under the 2019 Aspire Purchase Agreement and the February 2020 Offering. Given our development plans, we anticipate cash resources will be sufficient to fund our operations through mid-2020. The Company has approximately $15 million available under the Capital on Demand Agreement with JonesTrading International Services LLC. On March 5, 2020, we terminated the 2019 Aspire Purchase Agreement. Other than the Capital on Demand Agreement that provides us the ability to sell equity securities in the future, we have no other committed sources of additional capital.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w w:val="97"/>
              </w:rPr>
              <w:t>Following is a table of the lease payments and maturity of our operating lease liabilities as of December 31, 2019:</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years ending</w:t>
            </w:r>
          </w:p>
        </w:tc>
      </w:tr>
      <w:tr>
        <w:trPr>
          <w:trHeight w:val="241"/>
        </w:trPr>
        <w:tc>
          <w:tcPr>
            <w:tcW w:w="58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58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530,734</w:t>
            </w:r>
          </w:p>
        </w:tc>
        <w:tc>
          <w:tcPr>
            <w:tcW w:w="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233,117</w:t>
            </w:r>
          </w:p>
        </w:tc>
        <w:tc>
          <w:tcPr>
            <w:tcW w:w="14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8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1,825,239</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49"/>
        </w:trPr>
        <w:tc>
          <w:tcPr>
            <w:tcW w:w="580" w:type="dxa"/>
            <w:vAlign w:val="bottom"/>
          </w:tcPr>
          <w:p>
            <w:pPr>
              <w:spacing w:after="0"/>
              <w:rPr>
                <w:sz w:val="21"/>
                <w:szCs w:val="21"/>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(293,789)</w:t>
            </w:r>
          </w:p>
        </w:tc>
      </w:tr>
      <w:tr>
        <w:trPr>
          <w:trHeight w:val="210"/>
        </w:trPr>
        <w:tc>
          <w:tcPr>
            <w:tcW w:w="580" w:type="dxa"/>
            <w:vAlign w:val="bottom"/>
          </w:tcPr>
          <w:p>
            <w:pPr>
              <w:spacing w:after="0"/>
              <w:rPr>
                <w:sz w:val="18"/>
                <w:szCs w:val="18"/>
                <w:color w:val="auto"/>
              </w:rPr>
            </w:pPr>
          </w:p>
        </w:tc>
        <w:tc>
          <w:tcPr>
            <w:tcW w:w="8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1,531,450</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22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3.45 years</w:t>
            </w:r>
          </w:p>
        </w:tc>
      </w:tr>
      <w:tr>
        <w:trPr>
          <w:trHeight w:val="216"/>
        </w:trPr>
        <w:tc>
          <w:tcPr>
            <w:tcW w:w="58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5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2019, operating lease expense was $522,380 and cash paid for operating leases included in operating cash flows was $485,848. For 2018, operating lease expense was $450,430 and cash paid for operating leases included in operating cash flows was $457,321.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2019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2019, our investments consisted of investments in corporate notes and obligations or in money market accounts and checking funds with variable market rates of interest. We believe our credit risk is immaterial.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2019, which is the end of the period covered by this Annual Report, our disclosure controls and procedures are effective.</w:t>
      </w:r>
    </w:p>
    <w:p>
      <w:pPr>
        <w:spacing w:after="0" w:line="188"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2019.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its evaluation, management has concluded that the Company’s internal control over financial reporting is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2019,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10 is herein incorporated by reference to the definitive Proxy Statement to be filed with the Securities and Exchange Commission pursuant to Regulation 14A within 120 days after the end of the fiscal year covered by this Annual Report.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Arial" w:cs="Arial" w:eastAsia="Arial" w:hAnsi="Arial"/>
          <w:sz w:val="18"/>
          <w:szCs w:val="18"/>
          <w:i w:val="1"/>
          <w:iCs w:val="1"/>
          <w:color w:val="auto"/>
        </w:rPr>
        <w:t>www.celsion.com</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11 is herein incorporated by reference to the definitive Proxy Statement to be filed with the Securities and Exchange Commission pursuant to Regulation 14A within 120 days after the end of the fiscal year covered by this Annual Report.</w:t>
      </w:r>
    </w:p>
    <w:p>
      <w:pPr>
        <w:spacing w:after="0" w:line="166"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12 is herein incorporated by reference to the definitive Proxy Statement to be filed with the Securities and Exchange Commission pursuant to Regulation 14A within 120 days after the end of the fiscal year covered by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13 is herein incorporated by reference to the definitive Proxy Statement to be filed with the Securities and Exchange Commission pursuant to Regulation 14A within 120 days after the end of the fiscal year covered by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14 is herein incorporated by reference to the definitive Proxy Statement to be filed with the Securities and Exchange Commission pursuant to Regulation 14A within 120 days after the end of the fiscal year covered by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 of the consolidated financial statements of Celsion Corporation filed with this Annual Report,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6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8"/>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Balance Sheets</w:t>
              </w:r>
            </w:hyperlink>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5"/>
        </w:trPr>
        <w:tc>
          <w:tcPr>
            <w:tcW w:w="10600" w:type="dxa"/>
            <w:vAlign w:val="bottom"/>
            <w:gridSpan w:val="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Loss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35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Cash Flows</w:t>
              </w:r>
            </w:hyperlink>
          </w:p>
        </w:tc>
        <w:tc>
          <w:tcPr>
            <w:tcW w:w="70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Changes in Stockholders’ Equity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r>
      <w:tr>
        <w:trPr>
          <w:trHeight w:val="432"/>
        </w:trPr>
        <w:tc>
          <w:tcPr>
            <w:tcW w:w="47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8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financial statement schedules are omitted because the information is inapplicable or presented in the notes to the consolidated financial statements.</w:t>
      </w:r>
    </w:p>
    <w:p>
      <w:pPr>
        <w:spacing w:after="0" w:line="2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1100" w:hanging="764"/>
        <w:spacing w:after="0" w:line="277" w:lineRule="auto"/>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as of June 6, 2014, by and between Celsion Corporation and EGEN, Inc., incorporated herein by reference to Exhibit 2.1 to the Quarterly Report on Form 10-Q of the Company for the quarter ended June 30, 2014.</w:t>
      </w:r>
    </w:p>
    <w:p>
      <w:pPr>
        <w:spacing w:after="0" w:line="170" w:lineRule="exact"/>
        <w:rPr>
          <w:sz w:val="20"/>
          <w:szCs w:val="20"/>
          <w:color w:val="auto"/>
        </w:rPr>
      </w:pPr>
    </w:p>
    <w:p>
      <w:pPr>
        <w:jc w:val="both"/>
        <w:ind w:left="1100" w:hanging="719"/>
        <w:spacing w:after="0" w:line="277" w:lineRule="auto"/>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of Celsion, as amended, incorporated herein by reference to Exhibit 3.1 to the Quarterly Report on Form 10-Q of the Company for the quarter ended June 30, 2004.</w:t>
      </w:r>
    </w:p>
    <w:p>
      <w:pPr>
        <w:spacing w:after="0" w:line="170" w:lineRule="exact"/>
        <w:rPr>
          <w:sz w:val="20"/>
          <w:szCs w:val="20"/>
          <w:color w:val="auto"/>
        </w:rPr>
      </w:pPr>
    </w:p>
    <w:p>
      <w:pPr>
        <w:jc w:val="both"/>
        <w:ind w:left="1100" w:hanging="719"/>
        <w:spacing w:after="0" w:line="263" w:lineRule="auto"/>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Ownership and Merger of Celsion Corporation (a Maryland Corporation) into Celsion (Delaware) Corporation (inter alia, changing the Company’s name to “Celsion Corporation” from “Celsion (Delaware) Corporation”), incorporated herein by reference to Exhibit 3.1.3 to the Annual Report of the Company for the year ended September 30, 2000.</w:t>
      </w:r>
    </w:p>
    <w:p>
      <w:pPr>
        <w:spacing w:after="0" w:line="184" w:lineRule="exact"/>
        <w:rPr>
          <w:sz w:val="20"/>
          <w:szCs w:val="20"/>
          <w:color w:val="auto"/>
        </w:rPr>
      </w:pPr>
    </w:p>
    <w:p>
      <w:pPr>
        <w:jc w:val="both"/>
        <w:ind w:left="1100" w:hanging="719"/>
        <w:spacing w:after="0" w:line="277" w:lineRule="auto"/>
        <w:tabs>
          <w:tab w:leader="none" w:pos="1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of the Certificate of Incorporation effective and filed on February 27, 2006, incorporated therein by reference to Exhibit 3.1 to the Current Report on Form 8-K of the Company filed on March 1, 2006.</w:t>
      </w:r>
    </w:p>
    <w:p>
      <w:pPr>
        <w:spacing w:after="0" w:line="170" w:lineRule="exact"/>
        <w:rPr>
          <w:sz w:val="20"/>
          <w:szCs w:val="20"/>
          <w:color w:val="auto"/>
        </w:rPr>
      </w:pPr>
    </w:p>
    <w:p>
      <w:pPr>
        <w:jc w:val="both"/>
        <w:ind w:left="1100" w:right="20" w:hanging="719"/>
        <w:spacing w:after="0" w:line="277" w:lineRule="auto"/>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to Certificate of Incorporation effective October 28, 2013, incorporated herein by reference to Exhibit 3.1 to the Current Report on Form 8-K of the Company filed on October 29,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3.5</w:t>
            </w:r>
          </w:p>
        </w:tc>
        <w:tc>
          <w:tcPr>
            <w:tcW w:w="10140" w:type="dxa"/>
            <w:vAlign w:val="bottom"/>
            <w:gridSpan w:val="2"/>
          </w:tcPr>
          <w:p>
            <w:pPr>
              <w:spacing w:after="0"/>
              <w:rPr>
                <w:sz w:val="20"/>
                <w:szCs w:val="20"/>
                <w:color w:val="auto"/>
              </w:rPr>
            </w:pPr>
            <w:r>
              <w:rPr>
                <w:rFonts w:ascii="Arial" w:cs="Arial" w:eastAsia="Arial" w:hAnsi="Arial"/>
                <w:sz w:val="18"/>
                <w:szCs w:val="18"/>
                <w:color w:val="auto"/>
                <w:w w:val="95"/>
              </w:rPr>
              <w:t>Certificate of Amendment to Certificate of Incorporation effective June 15, 2016, incorporated herein by reference to Exhibit 3.1 to the</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Current Report on Form 8-K of the Company, filed on June 15, 2016.</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3.6</w:t>
            </w:r>
          </w:p>
        </w:tc>
        <w:tc>
          <w:tcPr>
            <w:tcW w:w="10140" w:type="dxa"/>
            <w:vAlign w:val="bottom"/>
            <w:gridSpan w:val="2"/>
          </w:tcPr>
          <w:p>
            <w:pPr>
              <w:spacing w:after="0"/>
              <w:rPr>
                <w:sz w:val="20"/>
                <w:szCs w:val="20"/>
                <w:color w:val="auto"/>
              </w:rPr>
            </w:pPr>
            <w:r>
              <w:rPr>
                <w:rFonts w:ascii="Arial" w:cs="Arial" w:eastAsia="Arial" w:hAnsi="Arial"/>
                <w:sz w:val="18"/>
                <w:szCs w:val="18"/>
                <w:color w:val="auto"/>
                <w:w w:val="95"/>
              </w:rPr>
              <w:t>Certificate of Amendment to Certificate of Incorporation, effective May 26, 2017, incorporated herein by reference to Exhibit 3.1 to the</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Current Report on Form 8-K of the Company, filed on May 26, 2017.</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3.7</w:t>
            </w: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Amended and Restated By-laws dated November 27, 2011, incorporated herein by reference to Exhibit 3.1 to the Current Report on Form 8-</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K of the Company, filed on December 1, 2011.</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Form of Common Stock Certificate, par value $0.01, incorporated herein by reference to Exhibit 4.1 to the Annual Report of the Company</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 the year ended September 30, 2000.</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4.2</w:t>
            </w: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Form of Representative’s Common Stock Purchase Warrant, incorporated herein by reference to Exhibit 4.2 to the Current Report on Form</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8-K of the Company filed on October 31, 2017.</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4.3</w:t>
            </w: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Form of Placement Agent Common Stock Purchase Warrant incorporated herein by reference to Exhibit 4.4 to the Current Report on Form</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8-K of the Company filed on July 11, 2017.</w:t>
            </w:r>
          </w:p>
        </w:tc>
      </w:tr>
      <w:tr>
        <w:trPr>
          <w:trHeight w:val="418"/>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4.4</w:t>
            </w: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Form of Series AA Warrant, incorporated herein by reference to Exhibit 4.26 to the Registration Statement to the Registration Statement on</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S-1 of the Company filed on February 13, 2017.</w:t>
            </w:r>
          </w:p>
        </w:tc>
      </w:tr>
      <w:tr>
        <w:trPr>
          <w:trHeight w:val="39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4.5</w:t>
            </w:r>
          </w:p>
        </w:tc>
        <w:tc>
          <w:tcPr>
            <w:tcW w:w="3080" w:type="dxa"/>
            <w:vAlign w:val="bottom"/>
            <w:tcBorders>
              <w:bottom w:val="single" w:sz="8" w:color="0000EE"/>
            </w:tcBorders>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Description of Securities of the Registrant.</w:t>
              </w:r>
            </w:hyperlink>
          </w:p>
        </w:tc>
        <w:tc>
          <w:tcPr>
            <w:tcW w:w="7060" w:type="dxa"/>
            <w:vAlign w:val="bottom"/>
          </w:tcPr>
          <w:p>
            <w:pPr>
              <w:spacing w:after="0"/>
              <w:rPr>
                <w:sz w:val="24"/>
                <w:szCs w:val="24"/>
                <w:color w:val="auto"/>
              </w:rPr>
            </w:pPr>
          </w:p>
        </w:tc>
      </w:tr>
      <w:tr>
        <w:trPr>
          <w:trHeight w:val="438"/>
        </w:trPr>
        <w:tc>
          <w:tcPr>
            <w:tcW w:w="1100" w:type="dxa"/>
            <w:vAlign w:val="bottom"/>
          </w:tcPr>
          <w:p>
            <w:pPr>
              <w:jc w:val="center"/>
              <w:ind w:right="30"/>
              <w:spacing w:after="0"/>
              <w:rPr>
                <w:sz w:val="20"/>
                <w:szCs w:val="20"/>
                <w:color w:val="auto"/>
              </w:rPr>
            </w:pPr>
            <w:r>
              <w:rPr>
                <w:rFonts w:ascii="Arial" w:cs="Arial" w:eastAsia="Arial" w:hAnsi="Arial"/>
                <w:sz w:val="18"/>
                <w:szCs w:val="18"/>
                <w:color w:val="auto"/>
              </w:rPr>
              <w:t>10.1***</w:t>
            </w: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Celsion Corporation 2007 Stock Incentive Plan, as amended, incorporated herein by reference to Exhibit 10.1 to the Current Report on Form</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8-K of the Company filed on May 16, 2017.</w:t>
            </w:r>
          </w:p>
        </w:tc>
      </w:tr>
      <w:tr>
        <w:trPr>
          <w:trHeight w:val="418"/>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0140" w:type="dxa"/>
            <w:vAlign w:val="bottom"/>
            <w:gridSpan w:val="2"/>
          </w:tcPr>
          <w:p>
            <w:pPr>
              <w:spacing w:after="0"/>
              <w:rPr>
                <w:sz w:val="20"/>
                <w:szCs w:val="20"/>
                <w:color w:val="auto"/>
              </w:rPr>
            </w:pPr>
            <w:r>
              <w:rPr>
                <w:rFonts w:ascii="Arial" w:cs="Arial" w:eastAsia="Arial" w:hAnsi="Arial"/>
                <w:sz w:val="18"/>
                <w:szCs w:val="18"/>
                <w:color w:val="auto"/>
                <w:w w:val="93"/>
              </w:rPr>
              <w:t>Form Inducement Offer to Exercise Common Stock Purchase Warrants, incorporated herein by reference to exhibit 10.3 to the Quarterly</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Report on Form 10-Q of the Company for the quarter ended September 30, 2017.</w:t>
            </w:r>
          </w:p>
        </w:tc>
      </w:tr>
      <w:tr>
        <w:trPr>
          <w:trHeight w:val="418"/>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Form of Warrant Exercise Agreement, incorporated herein by reference to Exhibit 10.1 to the Current Report on Form 8-K of the Company</w:t>
            </w:r>
          </w:p>
        </w:tc>
      </w:tr>
      <w:tr>
        <w:trPr>
          <w:trHeight w:val="230"/>
        </w:trPr>
        <w:tc>
          <w:tcPr>
            <w:tcW w:w="1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filed on June 26, 2017.</w:t>
            </w:r>
          </w:p>
        </w:tc>
      </w:tr>
      <w:tr>
        <w:trPr>
          <w:trHeight w:val="439"/>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2"/>
          </w:tcPr>
          <w:p>
            <w:pPr>
              <w:ind w:left="44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240"/>
          </w:cols>
          <w:pgMar w:left="320" w:top="665"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300" w:type="dxa"/>
            <w:vAlign w:val="bottom"/>
          </w:tcPr>
          <w:p>
            <w:pPr>
              <w:ind w:left="160"/>
              <w:spacing w:after="0"/>
              <w:rPr>
                <w:sz w:val="20"/>
                <w:szCs w:val="20"/>
                <w:color w:val="auto"/>
              </w:rPr>
            </w:pPr>
            <w:r>
              <w:rPr>
                <w:rFonts w:ascii="Arial" w:cs="Arial" w:eastAsia="Arial" w:hAnsi="Arial"/>
                <w:sz w:val="18"/>
                <w:szCs w:val="18"/>
                <w:color w:val="auto"/>
                <w:w w:val="92"/>
              </w:rPr>
              <w:t>Form of Warrant Exercise Agreement, incorporated herein by reference to Exhibit 10.1 to the Current Report on Form 8-K of the Company</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filed on June 23, 2017.</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300" w:type="dxa"/>
            <w:vAlign w:val="bottom"/>
          </w:tcPr>
          <w:p>
            <w:pPr>
              <w:ind w:left="160"/>
              <w:spacing w:after="0"/>
              <w:rPr>
                <w:sz w:val="20"/>
                <w:szCs w:val="20"/>
                <w:color w:val="auto"/>
              </w:rPr>
            </w:pPr>
            <w:r>
              <w:rPr>
                <w:rFonts w:ascii="Arial" w:cs="Arial" w:eastAsia="Arial" w:hAnsi="Arial"/>
                <w:sz w:val="18"/>
                <w:szCs w:val="18"/>
                <w:color w:val="auto"/>
                <w:w w:val="92"/>
              </w:rPr>
              <w:t>Form of Warrant Exercise Agreement, incorporated herein by reference to Exhibit 10.1 to the Current Report on Form 8-K of the Company</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filed on June 9, 2017.</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rPr>
              <w:t>10.6***</w:t>
            </w:r>
          </w:p>
        </w:tc>
        <w:tc>
          <w:tcPr>
            <w:tcW w:w="10300" w:type="dxa"/>
            <w:vAlign w:val="bottom"/>
          </w:tcPr>
          <w:p>
            <w:pPr>
              <w:ind w:left="160"/>
              <w:spacing w:after="0"/>
              <w:rPr>
                <w:sz w:val="20"/>
                <w:szCs w:val="20"/>
                <w:color w:val="auto"/>
              </w:rPr>
            </w:pPr>
            <w:r>
              <w:rPr>
                <w:rFonts w:ascii="Arial" w:cs="Arial" w:eastAsia="Arial" w:hAnsi="Arial"/>
                <w:sz w:val="18"/>
                <w:szCs w:val="18"/>
                <w:color w:val="auto"/>
                <w:w w:val="93"/>
              </w:rPr>
              <w:t>Amended and Restated Employment Agreement, effective March 30, 2016, between Celsion Corporation and Mr. Michael H. Tardugno,</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10.8 to the Annual Report of the Company filed on March 30, 2016.</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rPr>
              <w:t>10.7***</w:t>
            </w: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Employment Offer Letter, entered into on June 15, 2010, between the Company and Jeffrey W. Church, incorporated herein by reference to</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Exhibit 10.1 to the Current Report on Form 8-K of the Company filed on June 18, 2010.</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0300" w:type="dxa"/>
            <w:vAlign w:val="bottom"/>
          </w:tcPr>
          <w:p>
            <w:pPr>
              <w:ind w:left="160"/>
              <w:spacing w:after="0"/>
              <w:rPr>
                <w:sz w:val="20"/>
                <w:szCs w:val="20"/>
                <w:color w:val="auto"/>
              </w:rPr>
            </w:pPr>
            <w:r>
              <w:rPr>
                <w:rFonts w:ascii="Arial" w:cs="Arial" w:eastAsia="Arial" w:hAnsi="Arial"/>
                <w:sz w:val="18"/>
                <w:szCs w:val="18"/>
                <w:color w:val="auto"/>
                <w:w w:val="94"/>
              </w:rPr>
              <w:t>Patent License Agreement between the Company and Duke University dated November 10, 1999, incorporated herein by reference to</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Exhibit 10.9 to the Annual Report of the Company for the year ended September 30, 1999.</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0300" w:type="dxa"/>
            <w:vAlign w:val="bottom"/>
          </w:tcPr>
          <w:p>
            <w:pPr>
              <w:ind w:left="160"/>
              <w:spacing w:after="0"/>
              <w:rPr>
                <w:sz w:val="20"/>
                <w:szCs w:val="20"/>
                <w:color w:val="auto"/>
              </w:rPr>
            </w:pPr>
            <w:r>
              <w:rPr>
                <w:rFonts w:ascii="Arial" w:cs="Arial" w:eastAsia="Arial" w:hAnsi="Arial"/>
                <w:sz w:val="18"/>
                <w:szCs w:val="18"/>
                <w:color w:val="auto"/>
                <w:w w:val="90"/>
              </w:rPr>
              <w:t>License Agreement dated July 18, 2003, between the Company and Duke University, incorporated herein by reference to Exhibit 10.1 to the</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Registration Statement on Form S-3 (File No. 333-108318) filed on August 28, 2003.</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0300" w:type="dxa"/>
            <w:vAlign w:val="bottom"/>
          </w:tcPr>
          <w:p>
            <w:pPr>
              <w:ind w:left="160"/>
              <w:spacing w:after="0"/>
              <w:rPr>
                <w:sz w:val="20"/>
                <w:szCs w:val="20"/>
                <w:color w:val="auto"/>
              </w:rPr>
            </w:pPr>
            <w:r>
              <w:rPr>
                <w:rFonts w:ascii="Arial" w:cs="Arial" w:eastAsia="Arial" w:hAnsi="Arial"/>
                <w:sz w:val="18"/>
                <w:szCs w:val="18"/>
                <w:color w:val="auto"/>
                <w:w w:val="92"/>
              </w:rPr>
              <w:t>Development, Product Supply and Commercialization Agreement, effective December 5, 2008, by and between the Company and Yakult</w:t>
            </w:r>
          </w:p>
        </w:tc>
      </w:tr>
      <w:tr>
        <w:trPr>
          <w:trHeight w:val="216"/>
        </w:trPr>
        <w:tc>
          <w:tcPr>
            <w:tcW w:w="940" w:type="dxa"/>
            <w:vAlign w:val="bottom"/>
          </w:tcPr>
          <w:p>
            <w:pPr>
              <w:spacing w:after="0"/>
              <w:rPr>
                <w:sz w:val="18"/>
                <w:szCs w:val="18"/>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Honsha Co., Ltd., incorporated herein by reference to Exhibit 10.15 to the Annual Report of the Company for the year ended December 31,</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2008.</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0300" w:type="dxa"/>
            <w:vAlign w:val="bottom"/>
          </w:tcPr>
          <w:p>
            <w:pPr>
              <w:ind w:left="160"/>
              <w:spacing w:after="0"/>
              <w:rPr>
                <w:sz w:val="20"/>
                <w:szCs w:val="20"/>
                <w:color w:val="auto"/>
              </w:rPr>
            </w:pPr>
            <w:r>
              <w:rPr>
                <w:rFonts w:ascii="Arial" w:cs="Arial" w:eastAsia="Arial" w:hAnsi="Arial"/>
                <w:sz w:val="18"/>
                <w:szCs w:val="18"/>
                <w:color w:val="auto"/>
                <w:w w:val="92"/>
              </w:rPr>
              <w:t>The 2nd Amendment to The Development, Product Supply And Commercialization Agreement, effective January 7, 2011, by and between</w:t>
            </w:r>
          </w:p>
        </w:tc>
      </w:tr>
      <w:tr>
        <w:trPr>
          <w:trHeight w:val="216"/>
        </w:trPr>
        <w:tc>
          <w:tcPr>
            <w:tcW w:w="940" w:type="dxa"/>
            <w:vAlign w:val="bottom"/>
          </w:tcPr>
          <w:p>
            <w:pPr>
              <w:spacing w:after="0"/>
              <w:rPr>
                <w:sz w:val="18"/>
                <w:szCs w:val="18"/>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w w:val="96"/>
              </w:rPr>
              <w:t>the Company and Yakult Honsha Co., Ltd. incorporated herein by reference to Exhibit 10.1 to the Current Report on Form 8-K of the</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Company filed on January 18, 2011.</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Lease Agreement, executed July 21, 2011, by and between Celsion Corporation and Brandywine Operating Partnership, L.P., incorporated</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herein by reference to Exhibit 10.1 to the Current Report on Form 8-K of the Company filed on July 25, 2011.</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300" w:type="dxa"/>
            <w:vAlign w:val="bottom"/>
          </w:tcPr>
          <w:p>
            <w:pPr>
              <w:ind w:left="160"/>
              <w:spacing w:after="0"/>
              <w:rPr>
                <w:sz w:val="20"/>
                <w:szCs w:val="20"/>
                <w:color w:val="auto"/>
              </w:rPr>
            </w:pPr>
            <w:r>
              <w:rPr>
                <w:rFonts w:ascii="Arial" w:cs="Arial" w:eastAsia="Arial" w:hAnsi="Arial"/>
                <w:sz w:val="18"/>
                <w:szCs w:val="18"/>
                <w:color w:val="auto"/>
                <w:w w:val="93"/>
              </w:rPr>
              <w:t>First Amendment to Lease Agreement, executed April 20, 2017, by and between Celsion Corporation and Lenox Drive Office Park, LLC,</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w w:val="97"/>
              </w:rPr>
              <w:t>incorporated herein by reference to Exhibit 10.1 to the Current Report on Form 10-Q of the Company filed on November 14, 2017.</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Technology Development Agreement effective as of May 7, 2012, by and between Celsion Corporation and Zhejiang Hisun Pharmaceutical</w:t>
            </w:r>
          </w:p>
        </w:tc>
      </w:tr>
      <w:tr>
        <w:trPr>
          <w:trHeight w:val="216"/>
        </w:trPr>
        <w:tc>
          <w:tcPr>
            <w:tcW w:w="940" w:type="dxa"/>
            <w:vAlign w:val="bottom"/>
          </w:tcPr>
          <w:p>
            <w:pPr>
              <w:spacing w:after="0"/>
              <w:rPr>
                <w:sz w:val="18"/>
                <w:szCs w:val="18"/>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Co. Ltd., incorporated herein by reference to Exhibit 10.2 to the Quarterly Report on Form 10-Q of the Company for the quarter ended June</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30, 2012.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10300" w:type="dxa"/>
            <w:vAlign w:val="bottom"/>
          </w:tcPr>
          <w:p>
            <w:pPr>
              <w:ind w:left="160"/>
              <w:spacing w:after="0"/>
              <w:rPr>
                <w:sz w:val="20"/>
                <w:szCs w:val="20"/>
                <w:color w:val="auto"/>
              </w:rPr>
            </w:pPr>
            <w:r>
              <w:rPr>
                <w:rFonts w:ascii="Arial" w:cs="Arial" w:eastAsia="Arial" w:hAnsi="Arial"/>
                <w:sz w:val="18"/>
                <w:szCs w:val="18"/>
                <w:color w:val="auto"/>
                <w:w w:val="91"/>
              </w:rPr>
              <w:t>Technology Development Contract dated as of January 18, 2013, by and between Celsion Corporation and Zhejiang Hisun Pharmaceutical</w:t>
            </w:r>
          </w:p>
        </w:tc>
      </w:tr>
      <w:tr>
        <w:trPr>
          <w:trHeight w:val="216"/>
        </w:trPr>
        <w:tc>
          <w:tcPr>
            <w:tcW w:w="940" w:type="dxa"/>
            <w:vAlign w:val="bottom"/>
          </w:tcPr>
          <w:p>
            <w:pPr>
              <w:spacing w:after="0"/>
              <w:rPr>
                <w:sz w:val="18"/>
                <w:szCs w:val="18"/>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w w:val="95"/>
              </w:rPr>
              <w:t>Co. Ltd., incorporated herein by reference to Exhibit 10.1 to the Quarterly Report on Form 10-Q of the Company for the quarter ended</w:t>
            </w:r>
          </w:p>
        </w:tc>
      </w:tr>
      <w:tr>
        <w:trPr>
          <w:trHeight w:val="230"/>
        </w:trPr>
        <w:tc>
          <w:tcPr>
            <w:tcW w:w="940" w:type="dxa"/>
            <w:vAlign w:val="bottom"/>
          </w:tcPr>
          <w:p>
            <w:pPr>
              <w:spacing w:after="0"/>
              <w:rPr>
                <w:sz w:val="20"/>
                <w:szCs w:val="20"/>
                <w:color w:val="auto"/>
              </w:rPr>
            </w:pPr>
          </w:p>
        </w:tc>
        <w:tc>
          <w:tcPr>
            <w:tcW w:w="10300" w:type="dxa"/>
            <w:vAlign w:val="bottom"/>
          </w:tcPr>
          <w:p>
            <w:pPr>
              <w:ind w:left="160"/>
              <w:spacing w:after="0"/>
              <w:rPr>
                <w:sz w:val="20"/>
                <w:szCs w:val="20"/>
                <w:color w:val="auto"/>
              </w:rPr>
            </w:pPr>
            <w:r>
              <w:rPr>
                <w:rFonts w:ascii="Arial" w:cs="Arial" w:eastAsia="Arial" w:hAnsi="Arial"/>
                <w:sz w:val="18"/>
                <w:szCs w:val="18"/>
                <w:color w:val="auto"/>
              </w:rPr>
              <w:t>March 31, 2013.</w:t>
            </w:r>
          </w:p>
        </w:tc>
      </w:tr>
      <w:tr>
        <w:trPr>
          <w:trHeight w:val="439"/>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240"/>
          </w:cols>
          <w:pgMar w:left="320" w:top="665"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rPr>
              <w:t>10.16***</w:t>
            </w:r>
          </w:p>
        </w:tc>
        <w:tc>
          <w:tcPr>
            <w:tcW w:w="10280" w:type="dxa"/>
            <w:vAlign w:val="bottom"/>
          </w:tcPr>
          <w:p>
            <w:pPr>
              <w:ind w:left="140"/>
              <w:spacing w:after="0"/>
              <w:rPr>
                <w:sz w:val="20"/>
                <w:szCs w:val="20"/>
                <w:color w:val="auto"/>
              </w:rPr>
            </w:pPr>
            <w:r>
              <w:rPr>
                <w:rFonts w:ascii="Arial" w:cs="Arial" w:eastAsia="Arial" w:hAnsi="Arial"/>
                <w:sz w:val="18"/>
                <w:szCs w:val="18"/>
                <w:color w:val="auto"/>
                <w:w w:val="93"/>
              </w:rPr>
              <w:t>Employment Offer Letter effective as of June 2, 2014, between the Company and Khursheed Anwer incorporated herein by reference to</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Exhibit 10.27 to the Annual Report of the Company for the year ended December 31, 2014.</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rPr>
              <w:t>10.17***</w:t>
            </w:r>
          </w:p>
        </w:tc>
        <w:tc>
          <w:tcPr>
            <w:tcW w:w="10280" w:type="dxa"/>
            <w:vAlign w:val="bottom"/>
          </w:tcPr>
          <w:p>
            <w:pPr>
              <w:ind w:left="140"/>
              <w:spacing w:after="0"/>
              <w:rPr>
                <w:sz w:val="20"/>
                <w:szCs w:val="20"/>
                <w:color w:val="auto"/>
              </w:rPr>
            </w:pPr>
            <w:r>
              <w:rPr>
                <w:rFonts w:ascii="Arial" w:cs="Arial" w:eastAsia="Arial" w:hAnsi="Arial"/>
                <w:sz w:val="18"/>
                <w:szCs w:val="18"/>
                <w:color w:val="auto"/>
                <w:w w:val="95"/>
              </w:rPr>
              <w:t>Amended and Restated Change in Control Agreement dated as of September 6, 2016, by and between the Company and Michael H.</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4"/>
              </w:rPr>
              <w:t>Tardugno, incorporated herein by reference to Exhibit 10.1 to the Quarterly Report on Form 10-Q of the Company for the quarter ended</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September 30, 2016.</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rPr>
              <w:t>10.18***</w:t>
            </w:r>
          </w:p>
        </w:tc>
        <w:tc>
          <w:tcPr>
            <w:tcW w:w="10280" w:type="dxa"/>
            <w:vAlign w:val="bottom"/>
          </w:tcPr>
          <w:p>
            <w:pPr>
              <w:ind w:left="140"/>
              <w:spacing w:after="0"/>
              <w:rPr>
                <w:sz w:val="20"/>
                <w:szCs w:val="20"/>
                <w:color w:val="auto"/>
              </w:rPr>
            </w:pPr>
            <w:r>
              <w:rPr>
                <w:rFonts w:ascii="Arial" w:cs="Arial" w:eastAsia="Arial" w:hAnsi="Arial"/>
                <w:sz w:val="18"/>
                <w:szCs w:val="18"/>
                <w:color w:val="auto"/>
                <w:w w:val="92"/>
              </w:rPr>
              <w:t>Amended and Restated Change in Control Agreement dated as of September 6, 2016, by and between the Company and Nicholas Borys,</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7"/>
              </w:rPr>
              <w:t>M.D., incorporated herein by reference to Exhibit 10.2 to the Quarterly Report on Form 10-Q of the Company for the quarter ended</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September 30, 2016.</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rPr>
              <w:t>10.19***</w:t>
            </w:r>
          </w:p>
        </w:tc>
        <w:tc>
          <w:tcPr>
            <w:tcW w:w="10280" w:type="dxa"/>
            <w:vAlign w:val="bottom"/>
          </w:tcPr>
          <w:p>
            <w:pPr>
              <w:ind w:left="140"/>
              <w:spacing w:after="0"/>
              <w:rPr>
                <w:sz w:val="20"/>
                <w:szCs w:val="20"/>
                <w:color w:val="auto"/>
              </w:rPr>
            </w:pPr>
            <w:r>
              <w:rPr>
                <w:rFonts w:ascii="Arial" w:cs="Arial" w:eastAsia="Arial" w:hAnsi="Arial"/>
                <w:sz w:val="18"/>
                <w:szCs w:val="18"/>
                <w:color w:val="auto"/>
                <w:w w:val="90"/>
              </w:rPr>
              <w:t>Amended and Restated Change in Control Agreement dated as of September 6, 2016, by and between the Company and Jeffrey W. Church,</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0"/>
              </w:rPr>
              <w:t>incorporated herein by reference to Exhibit 10.3 to the Quarterly Report on Form 10-Q of the Company for the quarter ended September 30,</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2016.</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rPr>
              <w:t>10.20***</w:t>
            </w:r>
          </w:p>
        </w:tc>
        <w:tc>
          <w:tcPr>
            <w:tcW w:w="10280" w:type="dxa"/>
            <w:vAlign w:val="bottom"/>
          </w:tcPr>
          <w:p>
            <w:pPr>
              <w:ind w:left="140"/>
              <w:spacing w:after="0"/>
              <w:rPr>
                <w:sz w:val="20"/>
                <w:szCs w:val="20"/>
                <w:color w:val="auto"/>
              </w:rPr>
            </w:pPr>
            <w:r>
              <w:rPr>
                <w:rFonts w:ascii="Arial" w:cs="Arial" w:eastAsia="Arial" w:hAnsi="Arial"/>
                <w:sz w:val="18"/>
                <w:szCs w:val="18"/>
                <w:color w:val="auto"/>
                <w:w w:val="95"/>
              </w:rPr>
              <w:t>Amended and Restated Change in Control Agreement dated as of September 6, 2016, by and between the Company and Timothy J.</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2"/>
              </w:rPr>
              <w:t>Tumminello, incorporated herein by reference to Exhibit 10.4 to the Quarterly Report on Form 10-Q of the Company for the quarter ended</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September 30, 2016.</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280" w:type="dxa"/>
            <w:vAlign w:val="bottom"/>
          </w:tcPr>
          <w:p>
            <w:pPr>
              <w:ind w:left="140"/>
              <w:spacing w:after="0"/>
              <w:rPr>
                <w:sz w:val="20"/>
                <w:szCs w:val="20"/>
                <w:color w:val="auto"/>
              </w:rPr>
            </w:pPr>
            <w:r>
              <w:rPr>
                <w:rFonts w:ascii="Arial" w:cs="Arial" w:eastAsia="Arial" w:hAnsi="Arial"/>
                <w:sz w:val="18"/>
                <w:szCs w:val="18"/>
                <w:color w:val="auto"/>
                <w:w w:val="91"/>
              </w:rPr>
              <w:t>Form of Securities Purchase Agreement incorporated herein by reference to Exhibit 10.33 to the Registration Statement on Form S-1 of the</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Company filed on February 13, 2017.</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280" w:type="dxa"/>
            <w:vAlign w:val="bottom"/>
          </w:tcPr>
          <w:p>
            <w:pPr>
              <w:ind w:left="140"/>
              <w:spacing w:after="0"/>
              <w:rPr>
                <w:sz w:val="20"/>
                <w:szCs w:val="20"/>
                <w:color w:val="auto"/>
              </w:rPr>
            </w:pPr>
            <w:r>
              <w:rPr>
                <w:rFonts w:ascii="Arial" w:cs="Arial" w:eastAsia="Arial" w:hAnsi="Arial"/>
                <w:sz w:val="18"/>
                <w:szCs w:val="18"/>
                <w:color w:val="auto"/>
                <w:w w:val="91"/>
              </w:rPr>
              <w:t>Lease Agreement dated January 15, 2018, by and between Celsion Corporation and HudsonAlpha Institute of Biotechnology for office and</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5"/>
              </w:rPr>
              <w:t>lab space located in Huntsville, Alabama incorporated herein by reference to Exhibit 10.1 to the Quarterly Report on Form 10-Q of the</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Company for the quarter ended March 31, 2018.</w:t>
            </w:r>
          </w:p>
        </w:tc>
      </w:tr>
      <w:tr>
        <w:trPr>
          <w:trHeight w:val="418"/>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280" w:type="dxa"/>
            <w:vAlign w:val="bottom"/>
          </w:tcPr>
          <w:p>
            <w:pPr>
              <w:ind w:left="140"/>
              <w:spacing w:after="0"/>
              <w:rPr>
                <w:sz w:val="20"/>
                <w:szCs w:val="20"/>
                <w:color w:val="auto"/>
              </w:rPr>
            </w:pPr>
            <w:r>
              <w:rPr>
                <w:rFonts w:ascii="Arial" w:cs="Arial" w:eastAsia="Arial" w:hAnsi="Arial"/>
                <w:sz w:val="18"/>
                <w:szCs w:val="18"/>
                <w:color w:val="auto"/>
                <w:w w:val="96"/>
              </w:rPr>
              <w:t>Venture Loan and Security Agreement dated June 27, 2018, by and between Celsion Corporation and Horizon Technology Finance</w:t>
            </w:r>
          </w:p>
        </w:tc>
      </w:tr>
      <w:tr>
        <w:trPr>
          <w:trHeight w:val="216"/>
        </w:trPr>
        <w:tc>
          <w:tcPr>
            <w:tcW w:w="96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w w:val="92"/>
              </w:rPr>
              <w:t>Corporation incorporated herein by reference to Exhibit 10.0 to the Quarterly Report on Form 10-Q of the Company for the quarter ended</w:t>
            </w:r>
          </w:p>
        </w:tc>
      </w:tr>
      <w:tr>
        <w:trPr>
          <w:trHeight w:val="230"/>
        </w:trPr>
        <w:tc>
          <w:tcPr>
            <w:tcW w:w="960" w:type="dxa"/>
            <w:vAlign w:val="bottom"/>
          </w:tcPr>
          <w:p>
            <w:pPr>
              <w:spacing w:after="0"/>
              <w:rPr>
                <w:sz w:val="20"/>
                <w:szCs w:val="20"/>
                <w:color w:val="auto"/>
              </w:rPr>
            </w:pPr>
          </w:p>
        </w:tc>
        <w:tc>
          <w:tcPr>
            <w:tcW w:w="10280" w:type="dxa"/>
            <w:vAlign w:val="bottom"/>
          </w:tcPr>
          <w:p>
            <w:pPr>
              <w:ind w:left="140"/>
              <w:spacing w:after="0"/>
              <w:rPr>
                <w:sz w:val="20"/>
                <w:szCs w:val="20"/>
                <w:color w:val="auto"/>
              </w:rPr>
            </w:pPr>
            <w:r>
              <w:rPr>
                <w:rFonts w:ascii="Arial" w:cs="Arial" w:eastAsia="Arial" w:hAnsi="Arial"/>
                <w:sz w:val="18"/>
                <w:szCs w:val="18"/>
                <w:color w:val="auto"/>
              </w:rPr>
              <w:t>June 30, 2018.</w:t>
            </w:r>
          </w:p>
        </w:tc>
      </w:tr>
      <w:tr>
        <w:trPr>
          <w:trHeight w:val="439"/>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240"/>
          </w:cols>
          <w:pgMar w:left="320" w:top="665" w:right="339" w:bottom="1440" w:gutter="0" w:footer="0" w:header="0"/>
        </w:sectPr>
      </w:pPr>
    </w:p>
    <w:bookmarkStart w:id="75" w:name="page76"/>
    <w:bookmarkEnd w:id="75"/>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10.24</w:t>
            </w:r>
          </w:p>
        </w:tc>
        <w:tc>
          <w:tcPr>
            <w:tcW w:w="10140" w:type="dxa"/>
            <w:vAlign w:val="bottom"/>
            <w:gridSpan w:val="7"/>
          </w:tcPr>
          <w:p>
            <w:pPr>
              <w:spacing w:after="0"/>
              <w:rPr>
                <w:sz w:val="20"/>
                <w:szCs w:val="20"/>
                <w:color w:val="auto"/>
              </w:rPr>
            </w:pPr>
            <w:r>
              <w:rPr>
                <w:rFonts w:ascii="Arial" w:cs="Arial" w:eastAsia="Arial" w:hAnsi="Arial"/>
                <w:sz w:val="18"/>
                <w:szCs w:val="18"/>
                <w:color w:val="auto"/>
                <w:w w:val="92"/>
              </w:rPr>
              <w:t>Common Stock Purchase Agreement, dated August 31, 2018 between Celsion Corporation and Aspire Capital Fund, LLC incorporated by</w:t>
            </w:r>
          </w:p>
        </w:tc>
      </w:tr>
      <w:tr>
        <w:trPr>
          <w:trHeight w:val="230"/>
        </w:trPr>
        <w:tc>
          <w:tcPr>
            <w:tcW w:w="84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reference to Exhibit 10.1 to the Current Report on Form 8-K of the Company filed on September 4, 2018.</w:t>
            </w:r>
          </w:p>
        </w:tc>
      </w:tr>
      <w:tr>
        <w:trPr>
          <w:trHeight w:val="45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10.25</w:t>
            </w:r>
          </w:p>
        </w:tc>
        <w:tc>
          <w:tcPr>
            <w:tcW w:w="10140" w:type="dxa"/>
            <w:vAlign w:val="bottom"/>
            <w:gridSpan w:val="7"/>
          </w:tcPr>
          <w:p>
            <w:pPr>
              <w:spacing w:after="0"/>
              <w:rPr>
                <w:sz w:val="20"/>
                <w:szCs w:val="20"/>
                <w:color w:val="auto"/>
              </w:rPr>
            </w:pPr>
            <w:r>
              <w:rPr>
                <w:rFonts w:ascii="Arial" w:cs="Arial" w:eastAsia="Arial" w:hAnsi="Arial"/>
                <w:sz w:val="18"/>
                <w:szCs w:val="18"/>
                <w:color w:val="auto"/>
                <w:w w:val="92"/>
              </w:rPr>
              <w:t>Capital on Demand</w:t>
            </w:r>
            <w:r>
              <w:rPr>
                <w:rFonts w:ascii="Arial" w:cs="Arial" w:eastAsia="Arial" w:hAnsi="Arial"/>
                <w:sz w:val="29"/>
                <w:szCs w:val="29"/>
                <w:color w:val="auto"/>
                <w:w w:val="92"/>
                <w:vertAlign w:val="superscript"/>
              </w:rPr>
              <w:t>TM</w:t>
            </w:r>
            <w:r>
              <w:rPr>
                <w:rFonts w:ascii="Arial" w:cs="Arial" w:eastAsia="Arial" w:hAnsi="Arial"/>
                <w:sz w:val="18"/>
                <w:szCs w:val="18"/>
                <w:color w:val="auto"/>
                <w:w w:val="92"/>
              </w:rPr>
              <w:t xml:space="preserve"> Sales Agreement, dated December 4, 2018, between Celsion Corporation and JonesTrading Institutional Services</w:t>
            </w:r>
          </w:p>
        </w:tc>
      </w:tr>
      <w:tr>
        <w:trPr>
          <w:trHeight w:val="230"/>
        </w:trPr>
        <w:tc>
          <w:tcPr>
            <w:tcW w:w="84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LLC incorporated by reference to Exhibit 10.1 to the Current Report on Form 8-K of the Company filed on December 4, 2018.</w:t>
            </w:r>
          </w:p>
        </w:tc>
      </w:tr>
      <w:tr>
        <w:trPr>
          <w:trHeight w:val="41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10.26</w:t>
            </w:r>
          </w:p>
        </w:tc>
        <w:tc>
          <w:tcPr>
            <w:tcW w:w="10140" w:type="dxa"/>
            <w:vAlign w:val="bottom"/>
            <w:gridSpan w:val="7"/>
          </w:tcPr>
          <w:p>
            <w:pPr>
              <w:spacing w:after="0"/>
              <w:rPr>
                <w:sz w:val="20"/>
                <w:szCs w:val="20"/>
                <w:color w:val="auto"/>
              </w:rPr>
            </w:pPr>
            <w:r>
              <w:rPr>
                <w:rFonts w:ascii="Arial" w:cs="Arial" w:eastAsia="Arial" w:hAnsi="Arial"/>
                <w:sz w:val="18"/>
                <w:szCs w:val="18"/>
                <w:color w:val="auto"/>
                <w:w w:val="91"/>
              </w:rPr>
              <w:t>Common Stock Purchase Agreement, dated October 28, 2019 between Celsion Corporation and Aspire Capital Fund, LLC incorporated by</w:t>
            </w:r>
          </w:p>
        </w:tc>
      </w:tr>
      <w:tr>
        <w:trPr>
          <w:trHeight w:val="230"/>
        </w:trPr>
        <w:tc>
          <w:tcPr>
            <w:tcW w:w="84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reference to Exhibit 10.1 to the Current Report on Form 8-K of the Company filed on October 28, 2019.</w:t>
            </w:r>
          </w:p>
        </w:tc>
      </w:tr>
      <w:tr>
        <w:trPr>
          <w:trHeight w:val="391"/>
        </w:trPr>
        <w:tc>
          <w:tcPr>
            <w:tcW w:w="840" w:type="dxa"/>
            <w:vAlign w:val="bottom"/>
          </w:tcPr>
          <w:p>
            <w:pPr>
              <w:jc w:val="center"/>
              <w:ind w:right="290"/>
              <w:spacing w:after="0"/>
              <w:rPr>
                <w:sz w:val="20"/>
                <w:szCs w:val="20"/>
                <w:color w:val="auto"/>
              </w:rPr>
            </w:pPr>
            <w:r>
              <w:rPr>
                <w:rFonts w:ascii="Arial" w:cs="Arial" w:eastAsia="Arial" w:hAnsi="Arial"/>
                <w:sz w:val="18"/>
                <w:szCs w:val="18"/>
                <w:color w:val="auto"/>
                <w:w w:val="92"/>
              </w:rPr>
              <w:t>21.1+</w:t>
            </w:r>
          </w:p>
        </w:tc>
        <w:tc>
          <w:tcPr>
            <w:tcW w:w="10140" w:type="dxa"/>
            <w:vAlign w:val="bottom"/>
            <w:gridSpan w:val="7"/>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Subsidiaries of Celsion Corporation</w:t>
              </w:r>
            </w:hyperlink>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12"/>
        </w:trPr>
        <w:tc>
          <w:tcPr>
            <w:tcW w:w="840" w:type="dxa"/>
            <w:vAlign w:val="bottom"/>
          </w:tcPr>
          <w:p>
            <w:pPr>
              <w:jc w:val="center"/>
              <w:ind w:right="290"/>
              <w:spacing w:after="0"/>
              <w:rPr>
                <w:sz w:val="20"/>
                <w:szCs w:val="20"/>
                <w:color w:val="auto"/>
              </w:rPr>
            </w:pPr>
            <w:r>
              <w:rPr>
                <w:rFonts w:ascii="Arial" w:cs="Arial" w:eastAsia="Arial" w:hAnsi="Arial"/>
                <w:sz w:val="18"/>
                <w:szCs w:val="18"/>
                <w:color w:val="auto"/>
                <w:w w:val="92"/>
              </w:rPr>
              <w:t>23.1+</w:t>
            </w:r>
          </w:p>
        </w:tc>
        <w:tc>
          <w:tcPr>
            <w:tcW w:w="10140" w:type="dxa"/>
            <w:vAlign w:val="bottom"/>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Consent of WithumSmith+Brown, PC, independent registered public accounting firm for the Company.</w:t>
              </w:r>
            </w:hyperlink>
          </w:p>
        </w:tc>
      </w:tr>
      <w:tr>
        <w:trPr>
          <w:trHeight w:val="412"/>
        </w:trPr>
        <w:tc>
          <w:tcPr>
            <w:tcW w:w="840" w:type="dxa"/>
            <w:vAlign w:val="bottom"/>
          </w:tcPr>
          <w:p>
            <w:pPr>
              <w:jc w:val="center"/>
              <w:ind w:right="290"/>
              <w:spacing w:after="0"/>
              <w:rPr>
                <w:sz w:val="20"/>
                <w:szCs w:val="20"/>
                <w:color w:val="auto"/>
              </w:rPr>
            </w:pPr>
            <w:r>
              <w:rPr>
                <w:rFonts w:ascii="Arial" w:cs="Arial" w:eastAsia="Arial" w:hAnsi="Arial"/>
                <w:sz w:val="18"/>
                <w:szCs w:val="18"/>
                <w:color w:val="auto"/>
                <w:w w:val="92"/>
              </w:rPr>
              <w:t>24.1+</w:t>
            </w:r>
          </w:p>
        </w:tc>
        <w:tc>
          <w:tcPr>
            <w:tcW w:w="744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Power of Attorney (included on signature page to this Annual Report).</w:t>
              </w:r>
            </w:hyperlink>
          </w:p>
        </w:tc>
        <w:tc>
          <w:tcPr>
            <w:tcW w:w="27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12"/>
        </w:trPr>
        <w:tc>
          <w:tcPr>
            <w:tcW w:w="840" w:type="dxa"/>
            <w:vAlign w:val="bottom"/>
          </w:tcPr>
          <w:p>
            <w:pPr>
              <w:jc w:val="center"/>
              <w:ind w:right="290"/>
              <w:spacing w:after="0"/>
              <w:rPr>
                <w:sz w:val="20"/>
                <w:szCs w:val="20"/>
                <w:color w:val="auto"/>
              </w:rPr>
            </w:pPr>
            <w:r>
              <w:rPr>
                <w:rFonts w:ascii="Arial" w:cs="Arial" w:eastAsia="Arial" w:hAnsi="Arial"/>
                <w:sz w:val="18"/>
                <w:szCs w:val="18"/>
                <w:color w:val="auto"/>
                <w:w w:val="92"/>
              </w:rPr>
              <w:t>31.1+</w:t>
            </w:r>
          </w:p>
        </w:tc>
        <w:tc>
          <w:tcPr>
            <w:tcW w:w="10140" w:type="dxa"/>
            <w:vAlign w:val="bottom"/>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840" w:type="dxa"/>
            <w:vAlign w:val="bottom"/>
          </w:tcPr>
          <w:p>
            <w:pPr>
              <w:jc w:val="center"/>
              <w:ind w:right="290"/>
              <w:spacing w:after="0"/>
              <w:rPr>
                <w:sz w:val="20"/>
                <w:szCs w:val="20"/>
                <w:color w:val="auto"/>
              </w:rPr>
            </w:pPr>
            <w:r>
              <w:rPr>
                <w:rFonts w:ascii="Arial" w:cs="Arial" w:eastAsia="Arial" w:hAnsi="Arial"/>
                <w:sz w:val="18"/>
                <w:szCs w:val="18"/>
                <w:color w:val="auto"/>
                <w:w w:val="92"/>
              </w:rPr>
              <w:t>31.2+</w:t>
            </w:r>
          </w:p>
        </w:tc>
        <w:tc>
          <w:tcPr>
            <w:tcW w:w="7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17">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920" w:type="dxa"/>
            <w:vAlign w:val="bottom"/>
            <w:gridSpan w:val="2"/>
          </w:tcPr>
          <w:p>
            <w:pPr>
              <w:spacing w:after="0"/>
              <w:rPr>
                <w:sz w:val="24"/>
                <w:szCs w:val="24"/>
                <w:color w:val="auto"/>
              </w:rPr>
            </w:pPr>
          </w:p>
        </w:tc>
      </w:tr>
      <w:tr>
        <w:trPr>
          <w:trHeight w:val="41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32.1^</w:t>
            </w:r>
          </w:p>
        </w:tc>
        <w:tc>
          <w:tcPr>
            <w:tcW w:w="101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r>
      <w:tr>
        <w:trPr>
          <w:trHeight w:val="196"/>
        </w:trPr>
        <w:tc>
          <w:tcPr>
            <w:tcW w:w="84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of 2002.</w:t>
              </w:r>
            </w:hyperlink>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40" w:type="dxa"/>
            <w:vAlign w:val="bottom"/>
            <w:gridSpan w:val="6"/>
          </w:tcPr>
          <w:p>
            <w:pPr>
              <w:spacing w:after="0" w:line="20" w:lineRule="exact"/>
              <w:rPr>
                <w:sz w:val="1"/>
                <w:szCs w:val="1"/>
                <w:color w:val="auto"/>
              </w:rPr>
            </w:pPr>
          </w:p>
        </w:tc>
      </w:tr>
      <w:tr>
        <w:trPr>
          <w:trHeight w:val="41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32.2^</w:t>
            </w:r>
          </w:p>
        </w:tc>
        <w:tc>
          <w:tcPr>
            <w:tcW w:w="101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r>
      <w:tr>
        <w:trPr>
          <w:trHeight w:val="196"/>
        </w:trPr>
        <w:tc>
          <w:tcPr>
            <w:tcW w:w="84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of 2002.</w:t>
              </w:r>
            </w:hyperlink>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40" w:type="dxa"/>
            <w:vAlign w:val="bottom"/>
            <w:gridSpan w:val="6"/>
          </w:tcPr>
          <w:p>
            <w:pPr>
              <w:spacing w:after="0" w:line="20" w:lineRule="exact"/>
              <w:rPr>
                <w:sz w:val="1"/>
                <w:szCs w:val="1"/>
                <w:color w:val="auto"/>
              </w:rPr>
            </w:pPr>
          </w:p>
        </w:tc>
      </w:tr>
      <w:tr>
        <w:trPr>
          <w:trHeight w:val="438"/>
        </w:trPr>
        <w:tc>
          <w:tcPr>
            <w:tcW w:w="840" w:type="dxa"/>
            <w:vAlign w:val="bottom"/>
          </w:tcPr>
          <w:p>
            <w:pPr>
              <w:jc w:val="center"/>
              <w:ind w:right="290"/>
              <w:spacing w:after="0"/>
              <w:rPr>
                <w:sz w:val="20"/>
                <w:szCs w:val="20"/>
                <w:color w:val="auto"/>
              </w:rPr>
            </w:pPr>
            <w:r>
              <w:rPr>
                <w:rFonts w:ascii="Arial" w:cs="Arial" w:eastAsia="Arial" w:hAnsi="Arial"/>
                <w:sz w:val="18"/>
                <w:szCs w:val="18"/>
                <w:color w:val="auto"/>
              </w:rPr>
              <w:t>101**</w:t>
            </w:r>
          </w:p>
        </w:tc>
        <w:tc>
          <w:tcPr>
            <w:tcW w:w="10140" w:type="dxa"/>
            <w:vAlign w:val="bottom"/>
            <w:gridSpan w:val="7"/>
          </w:tcPr>
          <w:p>
            <w:pPr>
              <w:spacing w:after="0"/>
              <w:rPr>
                <w:sz w:val="20"/>
                <w:szCs w:val="20"/>
                <w:color w:val="auto"/>
              </w:rPr>
            </w:pPr>
            <w:r>
              <w:rPr>
                <w:rFonts w:ascii="Arial" w:cs="Arial" w:eastAsia="Arial" w:hAnsi="Arial"/>
                <w:sz w:val="18"/>
                <w:szCs w:val="18"/>
                <w:color w:val="auto"/>
                <w:w w:val="93"/>
              </w:rPr>
              <w:t>The following materials from the Company’s Annual Report for the fiscal year ended December 31, 2019, formatted in XBRL (Extensible</w:t>
            </w:r>
          </w:p>
        </w:tc>
      </w:tr>
      <w:tr>
        <w:trPr>
          <w:trHeight w:val="216"/>
        </w:trPr>
        <w:tc>
          <w:tcPr>
            <w:tcW w:w="8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w w:val="90"/>
              </w:rPr>
              <w:t>Business Reporting Language): (i) the audited Consolidated Balance Sheets, (ii) the audited Consolidated Statements of Operations, (iii) the</w:t>
            </w:r>
          </w:p>
        </w:tc>
      </w:tr>
      <w:tr>
        <w:trPr>
          <w:trHeight w:val="216"/>
        </w:trPr>
        <w:tc>
          <w:tcPr>
            <w:tcW w:w="8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w w:val="97"/>
              </w:rPr>
              <w:t>audited Consolidated Statements of Comprehensive Loss, (iv) the audited Consolidated Statements of Cash Flows, (v) the audited</w:t>
            </w:r>
          </w:p>
        </w:tc>
      </w:tr>
      <w:tr>
        <w:trPr>
          <w:trHeight w:val="230"/>
        </w:trPr>
        <w:tc>
          <w:tcPr>
            <w:tcW w:w="84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Consolidated Statements of Changes in Stockholders’ Equity and (vi) Notes to Consolidated Financial Statements.</w:t>
            </w:r>
          </w:p>
        </w:tc>
      </w:tr>
    </w:tbl>
    <w:p>
      <w:pPr>
        <w:spacing w:after="0" w:line="202" w:lineRule="exact"/>
        <w:rPr>
          <w:sz w:val="20"/>
          <w:szCs w:val="20"/>
          <w:color w:val="auto"/>
        </w:rPr>
      </w:pPr>
    </w:p>
    <w:p>
      <w:pPr>
        <w:ind w:left="1100" w:hanging="629"/>
        <w:spacing w:after="0" w:line="274" w:lineRule="auto"/>
        <w:tabs>
          <w:tab w:leader="none" w:pos="11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00" w:hanging="657"/>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100" w:hanging="648"/>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00" w:hanging="69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1100" w:hanging="741"/>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CELSION CORPORATION</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March 25, 2020</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202"/>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H. Tardugno</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March 25, 2020</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202"/>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Jeffrey W. Church</w:t>
            </w:r>
          </w:p>
        </w:tc>
      </w:t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04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Chairman of the Board, President and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188"/>
        </w:trPr>
        <w:tc>
          <w:tcPr>
            <w:tcW w:w="4500" w:type="dxa"/>
            <w:vAlign w:val="bottom"/>
          </w:tcPr>
          <w:p>
            <w:pPr>
              <w:spacing w:after="0" w:line="189" w:lineRule="exact"/>
              <w:rPr>
                <w:sz w:val="20"/>
                <w:szCs w:val="20"/>
                <w:color w:val="auto"/>
              </w:rPr>
            </w:pPr>
            <w:r>
              <w:rPr>
                <w:rFonts w:ascii="Arial" w:cs="Arial" w:eastAsia="Arial" w:hAnsi="Arial"/>
                <w:sz w:val="18"/>
                <w:szCs w:val="18"/>
                <w:color w:val="auto"/>
              </w:rPr>
              <w:t>(Michael H. Tardugno)</w:t>
            </w:r>
          </w:p>
        </w:tc>
        <w:tc>
          <w:tcPr>
            <w:tcW w:w="240" w:type="dxa"/>
            <w:vAlign w:val="bottom"/>
          </w:tcPr>
          <w:p>
            <w:pPr>
              <w:spacing w:after="0"/>
              <w:rPr>
                <w:sz w:val="16"/>
                <w:szCs w:val="16"/>
                <w:color w:val="auto"/>
              </w:rPr>
            </w:pPr>
          </w:p>
        </w:tc>
        <w:tc>
          <w:tcPr>
            <w:tcW w:w="42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w:t>
            </w:r>
          </w:p>
        </w:tc>
        <w:tc>
          <w:tcPr>
            <w:tcW w:w="2240" w:type="dxa"/>
            <w:vAlign w:val="bottom"/>
          </w:tcPr>
          <w:p>
            <w:pPr>
              <w:spacing w:after="0"/>
              <w:rPr>
                <w:sz w:val="16"/>
                <w:szCs w:val="16"/>
                <w:color w:val="auto"/>
              </w:rPr>
            </w:pPr>
          </w:p>
        </w:tc>
      </w:tr>
      <w:tr>
        <w:trPr>
          <w:trHeight w:val="230"/>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(Jeffrey W. Church)</w:t>
            </w:r>
          </w:p>
        </w:tc>
        <w:tc>
          <w:tcPr>
            <w:tcW w:w="240" w:type="dxa"/>
            <w:vAlign w:val="bottom"/>
          </w:tcPr>
          <w:p>
            <w:pPr>
              <w:spacing w:after="0"/>
              <w:rPr>
                <w:sz w:val="20"/>
                <w:szCs w:val="20"/>
                <w:color w:val="auto"/>
              </w:rPr>
            </w:pPr>
          </w:p>
        </w:tc>
        <w:tc>
          <w:tcPr>
            <w:tcW w:w="4260" w:type="dxa"/>
            <w:vAlign w:val="bottom"/>
            <w:gridSpan w:val="2"/>
          </w:tcPr>
          <w:p>
            <w:pPr>
              <w:spacing w:after="0" w:line="203" w:lineRule="exact"/>
              <w:rPr>
                <w:sz w:val="20"/>
                <w:szCs w:val="20"/>
                <w:color w:val="auto"/>
              </w:rPr>
            </w:pPr>
            <w:r>
              <w:rPr>
                <w:rFonts w:ascii="Arial" w:cs="Arial" w:eastAsia="Arial" w:hAnsi="Arial"/>
                <w:sz w:val="18"/>
                <w:szCs w:val="18"/>
                <w:color w:val="auto"/>
              </w:rPr>
              <w:t>Officer (Principal Financial Officer)</w:t>
            </w: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Controller and Chief Accounting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(Timothy J. Tumminello)</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(Augustine Chow, Ph.D.)</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(Frederick J. Fritz)</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(Alberto Martinez, M.D.)</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(Donald Braun, Ph.D.)</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2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25,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(Andreas Voss, M.D.)</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297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7" w:name="page78"/>
    <w:bookmarkEnd w:id="7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Celsion Corporation (the “Company”) as of December 31, 2019 and 2018, the related consolidated statements of operations,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2019 due to the adoption of ASU 2016-02, Leases (Topic 842).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6,875,273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13,353,543</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in debt securities - available for sale, at fair value</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7,985,886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21,369</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68,309</w:t>
            </w:r>
          </w:p>
        </w:tc>
      </w:tr>
      <w:tr>
        <w:trPr>
          <w:trHeight w:val="236"/>
        </w:trPr>
        <w:tc>
          <w:tcPr>
            <w:tcW w:w="744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1,352,670</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451,293</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16,235,198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(at cost, less accumulated depreciation and amortization)</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405,363</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184,627</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Deferred income tax asset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1,819,324</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15,736,491</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1,976,101</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1,431,640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340,976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568,292</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333,274</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258,933</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other assets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21,637,806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18,539,817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38,278,367</w:t>
            </w:r>
          </w:p>
        </w:tc>
        <w:tc>
          <w:tcPr>
            <w:tcW w:w="320" w:type="dxa"/>
            <w:vAlign w:val="bottom"/>
          </w:tcPr>
          <w:p>
            <w:pPr>
              <w:spacing w:after="0"/>
              <w:rPr>
                <w:sz w:val="21"/>
                <w:szCs w:val="21"/>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46,855,587</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F-2</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(Continued)</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2,862,949</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3,020,638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2,303,547</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2,585,898</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1,840,228</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387,733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7,894,457</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6,106,536</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5,717,709</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8,907,664</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7,963,449</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9,417,037</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1,143,717</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non-current portion</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Other liabilities - non-current</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63,278</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23,719,332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25,994,515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 $0.01 par value (100,000 shares authorized, and no shares issued or</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31, 2019 and 2018)</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 $0.01 par value (112,500,000 shares authorized; 23,256,152 and 18,832,168</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shares issued at December 31, 2019 and 2018, respectively, and 23,255,818 and 18,831,834</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December 31, 2019 and 2018, respectively)</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232,562</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188,322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304,885,663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294,393,313</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gain</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42,778</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29,872</w:t>
            </w: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6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(290,516,780)</w:t>
            </w:r>
          </w:p>
        </w:tc>
        <w:tc>
          <w:tcPr>
            <w:tcW w:w="5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(273,665,247)</w:t>
            </w:r>
          </w:p>
        </w:tc>
      </w:tr>
      <w:tr>
        <w:trPr>
          <w:trHeight w:val="216"/>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14,644,223</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(334 shares at December 31, 2019 and 2018)</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(85,188)</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(85,188)</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14,559,035</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20,861,072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38,278,367</w:t>
            </w:r>
          </w:p>
        </w:tc>
        <w:tc>
          <w:tcPr>
            <w:tcW w:w="320" w:type="dxa"/>
            <w:vAlign w:val="bottom"/>
          </w:tcPr>
          <w:p>
            <w:pPr>
              <w:spacing w:after="0"/>
              <w:rPr>
                <w:sz w:val="21"/>
                <w:szCs w:val="21"/>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46,855,587</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F-3</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4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01"/>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500,000</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13,065,309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11,865,523</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8,000,164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9,699,521</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21,065,473</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21,565,044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(20,565,473)</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(21,065,044)</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change in earn-out milestone liability</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3,189,955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3,630,861</w:t>
            </w: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 GEN-1 earn-out</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6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(400,000)</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(4,510,000)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income,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500,882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353,682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(1,393,400)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(712,025)</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52</w:t>
            </w: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1,897,466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 benefit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(18,668,007)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(22,302,474)</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1,816,474</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10,419,115</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(16,851,533)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(11,883,359)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 basic and diluted</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21,832,932</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17,582,879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F-4</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1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CELSION CORPORATION</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656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9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29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(16,851,533)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(11,883,359)</w:t>
            </w:r>
          </w:p>
        </w:tc>
      </w:tr>
      <w:tr>
        <w:trPr>
          <w:trHeight w:val="216"/>
        </w:trPr>
        <w:tc>
          <w:tcPr>
            <w:tcW w:w="290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180"/>
              <w:spacing w:after="0"/>
              <w:rPr>
                <w:sz w:val="20"/>
                <w:szCs w:val="20"/>
                <w:color w:val="auto"/>
              </w:rPr>
            </w:pPr>
            <w:r>
              <w:rPr>
                <w:rFonts w:ascii="Arial" w:cs="Arial" w:eastAsia="Arial" w:hAnsi="Arial"/>
                <w:sz w:val="18"/>
                <w:szCs w:val="18"/>
                <w:color w:val="auto"/>
              </w:rPr>
              <w:t>Realized (gain) loss on investment securities recognized in investment income, net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(57,895)</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10,164</w:t>
            </w:r>
          </w:p>
        </w:tc>
      </w:tr>
      <w:tr>
        <w:trPr>
          <w:trHeight w:val="250"/>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 securities</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70,801</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29,872</w:t>
            </w:r>
          </w:p>
        </w:tc>
      </w:tr>
      <w:tr>
        <w:trPr>
          <w:trHeight w:val="210"/>
        </w:trPr>
        <w:tc>
          <w:tcPr>
            <w:tcW w:w="29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w w:val="95"/>
              </w:rPr>
              <w:t>Other comprehensive income (loss)</w:t>
            </w:r>
          </w:p>
        </w:tc>
        <w:tc>
          <w:tcPr>
            <w:tcW w:w="454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12,906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40,036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9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(16,838,627)</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(11,843,323)</w:t>
            </w:r>
          </w:p>
        </w:tc>
      </w:tr>
      <w:tr>
        <w:trPr>
          <w:trHeight w:val="20"/>
        </w:trPr>
        <w:tc>
          <w:tcPr>
            <w:tcW w:w="2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00" w:type="dxa"/>
            <w:vAlign w:val="bottom"/>
          </w:tcPr>
          <w:p>
            <w:pPr>
              <w:spacing w:after="0"/>
              <w:rPr>
                <w:sz w:val="24"/>
                <w:szCs w:val="24"/>
                <w:color w:val="auto"/>
              </w:rPr>
            </w:pPr>
          </w:p>
        </w:tc>
        <w:tc>
          <w:tcPr>
            <w:tcW w:w="51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9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F-5</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520"/>
              <w:spacing w:after="0"/>
              <w:rPr>
                <w:sz w:val="20"/>
                <w:szCs w:val="20"/>
                <w:color w:val="auto"/>
              </w:rPr>
            </w:pPr>
            <w:r>
              <w:rPr>
                <w:rFonts w:ascii="Arial" w:cs="Arial" w:eastAsia="Arial" w:hAnsi="Arial"/>
                <w:sz w:val="18"/>
                <w:szCs w:val="18"/>
                <w:b w:val="1"/>
                <w:bCs w:val="1"/>
                <w:color w:val="auto"/>
              </w:rPr>
              <w:t>CELSION CORPORATION</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2"/>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(16,851,533)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(11,883,359)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721,665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356,859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earn-out milestone liability</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(3,189,955)</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(3,630,861)</w:t>
            </w: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w w:val="98"/>
              </w:rPr>
              <w:t>Fair value of warrants issued in connection with amendment to modify the GEN-1 earn-out</w:t>
            </w: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48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400,000</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2,286,388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4,604,415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Shares issues in upon vesting of stock awards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5,350</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(1,819,324)</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Shares issued in exchange for services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29,841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in-process research and development</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w w:val="99"/>
              </w:rPr>
              <w:t>Amortization of deferred finance charges and debt discount associated with note payable</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386,640</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199,153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rent liability</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(8,432)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 on investments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46,940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(13,869)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(901,377)</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(362,107)</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(74,341)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(250,172)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(157,689)</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(396,225)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(500,000)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480" w:type="dxa"/>
            <w:vAlign w:val="bottom"/>
          </w:tcPr>
          <w:p>
            <w:pPr>
              <w:spacing w:after="0"/>
              <w:rPr>
                <w:sz w:val="20"/>
                <w:szCs w:val="20"/>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(611,746)</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303,071</w:t>
            </w:r>
          </w:p>
        </w:tc>
        <w:tc>
          <w:tcPr>
            <w:tcW w:w="80" w:type="dxa"/>
            <w:vAlign w:val="bottom"/>
          </w:tcPr>
          <w:p>
            <w:pPr>
              <w:spacing w:after="0"/>
              <w:rPr>
                <w:sz w:val="20"/>
                <w:szCs w:val="20"/>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(20,258,982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(7,041,686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Purchases of investment in debt securities</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(23,829,982)</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(16,973,942)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and maturity of investment in debt securities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30,115,000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15,480,000</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tcPr>
          <w:p>
            <w:pPr>
              <w:spacing w:after="0"/>
              <w:rPr>
                <w:sz w:val="20"/>
                <w:szCs w:val="20"/>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(349,158)</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(138,399)</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5,935,860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(1,632,341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equity, net of issuance costs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7,844,852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858,515</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note payable, net of issuance costs</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9,725,000</w:t>
            </w:r>
          </w:p>
        </w:tc>
        <w:tc>
          <w:tcPr>
            <w:tcW w:w="80" w:type="dxa"/>
            <w:vAlign w:val="bottom"/>
            <w:shd w:val="clear" w:color="auto" w:fill="CCEEFF"/>
          </w:tcPr>
          <w:p>
            <w:pPr>
              <w:spacing w:after="0"/>
              <w:rPr>
                <w:sz w:val="21"/>
                <w:szCs w:val="2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7,844,852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10,583,515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(6,478,270)</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1,909,488</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13,353,543</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11,444,055</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6,875,273</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13,353,543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6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received from:</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(760,615)</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(512,872)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10,419,115</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485,848</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 the GEN-1 earn-out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milestone payments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Fair value of common stock issued as equity issuance costs and charged against paid in capital</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warrants issued in connection with the debt facility</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507,116</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stock issued in exchange for cancelation of warrants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 of use assets obtained in exchange for lease liabilities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1,797,561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Realized and unrealized gains and losses, net, on investment in debt securities</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12,906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40,036</w:t>
            </w:r>
          </w:p>
        </w:tc>
      </w:tr>
      <w:tr>
        <w:trPr>
          <w:trHeight w:val="414"/>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F-7</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020" w:type="dxa"/>
            <w:vAlign w:val="bottom"/>
            <w:gridSpan w:val="5"/>
            <w:vMerge w:val="restart"/>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Accum.</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Outstanding</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Paid in</w:t>
            </w:r>
          </w:p>
        </w:tc>
        <w:tc>
          <w:tcPr>
            <w:tcW w:w="196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Compr.</w:t>
            </w:r>
          </w:p>
        </w:tc>
        <w:tc>
          <w:tcPr>
            <w:tcW w:w="12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5"/>
              </w:rPr>
              <w:t>Accumulated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9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20" w:type="dxa"/>
            <w:vAlign w:val="bottom"/>
            <w:gridSpan w:val="2"/>
          </w:tcPr>
          <w:p>
            <w:pPr>
              <w:jc w:val="right"/>
              <w:ind w:right="379"/>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17,276,965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172,772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$ 288,408,976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(85,188)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(10,164)</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92"/>
              </w:rPr>
              <w:t>$ (261,781,888)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26,704,508</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(11,883,359)</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(11,883,359)</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Sale of equity through ATM and common</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stock purchase agreement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557,070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983,528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989,100</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20"/>
                <w:szCs w:val="20"/>
                <w:color w:val="auto"/>
              </w:rPr>
            </w:pPr>
            <w:r>
              <w:rPr>
                <w:rFonts w:ascii="Arial" w:cs="Arial" w:eastAsia="Arial" w:hAnsi="Arial"/>
                <w:sz w:val="16"/>
                <w:szCs w:val="16"/>
                <w:color w:val="auto"/>
              </w:rPr>
              <w:t>Common stock issuance in exchange for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6"/>
                <w:szCs w:val="16"/>
                <w:color w:val="auto"/>
              </w:rPr>
              <w:t>cancellation of common stock warrants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820,714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8,207</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(138,792)</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(130,585)</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Common stock and warrants to purchase</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 in connection with</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equity and debt facilities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164,835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505,468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507,116</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20"/>
                <w:szCs w:val="20"/>
                <w:color w:val="auto"/>
              </w:rPr>
            </w:pPr>
            <w:r>
              <w:rPr>
                <w:rFonts w:ascii="Arial" w:cs="Arial" w:eastAsia="Arial" w:hAnsi="Arial"/>
                <w:sz w:val="16"/>
                <w:szCs w:val="16"/>
                <w:color w:val="auto"/>
                <w:w w:val="98"/>
              </w:rPr>
              <w:t>Realized and unrealized gains and losses,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6"/>
                <w:szCs w:val="16"/>
                <w:color w:val="auto"/>
              </w:rPr>
              <w:t>net, on investments securities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40,036</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40,036</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4,604,415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4,604,415</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12,250</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123</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29,718</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29,841</w:t>
            </w:r>
          </w:p>
        </w:tc>
        <w:tc>
          <w:tcPr>
            <w:tcW w:w="0" w:type="dxa"/>
            <w:vAlign w:val="bottom"/>
          </w:tcPr>
          <w:p>
            <w:pPr>
              <w:spacing w:after="0"/>
              <w:rPr>
                <w:sz w:val="1"/>
                <w:szCs w:val="1"/>
                <w:color w:val="auto"/>
              </w:rPr>
            </w:pPr>
          </w:p>
        </w:tc>
      </w:tr>
      <w:tr>
        <w:trPr>
          <w:trHeight w:val="30"/>
        </w:trPr>
        <w:tc>
          <w:tcPr>
            <w:tcW w:w="29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18,831,834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188,322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$ 294,393,313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(85,188</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29,872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 (273,665,247</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20,861,072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020" w:type="dxa"/>
            <w:vAlign w:val="bottom"/>
            <w:gridSpan w:val="5"/>
            <w:vMerge w:val="restart"/>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Accum.</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Outstanding</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Paid in</w:t>
            </w:r>
          </w:p>
        </w:tc>
        <w:tc>
          <w:tcPr>
            <w:tcW w:w="196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tcPr>
          <w:p>
            <w:pPr>
              <w:spacing w:after="0"/>
              <w:rPr>
                <w:sz w:val="19"/>
                <w:szCs w:val="19"/>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Compr.</w:t>
            </w:r>
          </w:p>
        </w:tc>
        <w:tc>
          <w:tcPr>
            <w:tcW w:w="12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9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Income</w:t>
            </w:r>
          </w:p>
        </w:tc>
        <w:tc>
          <w:tcPr>
            <w:tcW w:w="1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18,831,834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188,322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$ 294,393,313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(85,188)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29,872</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92"/>
              </w:rPr>
              <w:t>$ (273,665,247)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20,861,072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(16,851,533)</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(16,851,533)</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facilities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4,385,984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43,860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7,800,992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60" w:type="dxa"/>
            <w:vAlign w:val="bottom"/>
          </w:tcPr>
          <w:p>
            <w:pPr>
              <w:spacing w:after="0"/>
              <w:rPr>
                <w:sz w:val="20"/>
                <w:szCs w:val="20"/>
                <w:color w:val="auto"/>
              </w:rPr>
            </w:pPr>
            <w:r>
              <w:rPr>
                <w:rFonts w:ascii="Arial" w:cs="Arial" w:eastAsia="Arial" w:hAnsi="Arial"/>
                <w:sz w:val="16"/>
                <w:szCs w:val="16"/>
                <w:color w:val="auto"/>
              </w:rPr>
              <w:t>Common stock warrants issued in</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connection with amendment to modify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6"/>
                <w:szCs w:val="16"/>
                <w:color w:val="auto"/>
              </w:rPr>
              <w:t>GEN-1 earn-out milestone payments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400,000</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w w:val="98"/>
              </w:rPr>
              <w:t>Realized and unrealized gains and losses,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on investments securities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12,906</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2,286,388</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2,286,388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4,970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vMerge w:val="continue"/>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23,255,818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232,562</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$ 304,885,663</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(85,188</w:t>
            </w:r>
          </w:p>
        </w:tc>
        <w:tc>
          <w:tcPr>
            <w:tcW w:w="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42,778</w:t>
            </w:r>
          </w:p>
        </w:tc>
        <w:tc>
          <w:tcPr>
            <w:tcW w:w="1000" w:type="dxa"/>
            <w:vAlign w:val="bottom"/>
          </w:tcPr>
          <w:p>
            <w:pPr>
              <w:jc w:val="right"/>
              <w:spacing w:after="0"/>
              <w:rPr>
                <w:sz w:val="20"/>
                <w:szCs w:val="20"/>
                <w:color w:val="auto"/>
              </w:rPr>
            </w:pPr>
            <w:r>
              <w:rPr>
                <w:rFonts w:ascii="Arial" w:cs="Arial" w:eastAsia="Arial" w:hAnsi="Arial"/>
                <w:sz w:val="16"/>
                <w:szCs w:val="16"/>
                <w:color w:val="auto"/>
                <w:w w:val="91"/>
              </w:rPr>
              <w:t>$ (290,516,780</w:t>
            </w:r>
          </w:p>
        </w:tc>
        <w:tc>
          <w:tcPr>
            <w:tcW w:w="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14,559,035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Celsion Corporation (“Celsion” and the “Company”) is an integrated development clinical stage oncology drug company focused on advancing innovative cancer treatments, including directed chemotherapies, DNA-mediated immunotherapy and RNA-based therapies. Our lead product candidate is ThermoDox®, a proprietary heat-activated liposomal encapsulation of doxorubicin, currently in a Phase III clinical trial for the treatment of primary liver cancer (the “OPTIMA Study”). Second in our product pipeline is GEN-1, a DNA-mediated immunotherapy for the localized treatment of ovarian cancer. These investigational products are based on platform technologies that provide the basis for future development of a range of therapeutics, largely focused on difficult-to-treat forms of cancer. The first platform technology is Lysolipid Thermally Sensitive Liposomes, a heat sensitive liposomal based dosage form that is designed to target disease with known chemotherapeutics in the presence of mild heat. The second platform technology is TheraPlas, a novel nucleic acid-based investigational candidate under development for local transfection of therapeutic DNA plasmids. Employing these technologies, we are working to develop and commercialize more efficient, effective and targeted oncology therapies that maximize efficacy while minimizing side effects common to cancer treatments.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of Celsion have been prepared in accordance with generally accepted accounting principles (“GAAP”) in the United States and include the accounts of the Company and CLSN Laboratories, Inc. All significant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Events and conditions arising subsequent to the most recent balance sheet date through the date of the issuance of these consolidated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earn-out milestone liabilities, estimates for contingent liabilities, if any, and accounting for valuation of in-process research and development assets. Management believes its estimates to be reasonable under the circumstances. Actual results could differ significantly from those estimates. Significant estimates in these financials are the valuation of options granted and valuation methods used to determine the recoverability of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2018, the Company adopted the new accounting standard ASC 606, Revenue from Contracts with Customers and all related amendments (the “new revenue standard”) to all contracts with customers using the modified retrospective method. The adoption of the new revenue standard had no impact on retained earnings as of December 31, 2017 and, accordingly, no cumulative adjustment was required. We do not expect the new revenue standard to have a significant impact on our net income on an ongoing basis. The Company’s sole revenue stream is related to the Hisun agreement described in Note 16. There were no accounts receivable as of December 31, 2019 or 2018. Contract liabilities from the Hisun agreement amounted to $1,500,000, $2,000,000 and $2,500,000 at December 31, 2019, 2018and 2017, respectively. Contract liabilities values represent the value of cash received before the services were provided.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Investment in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 securities approximate their respective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its investments in debt securities with readily determinable fair values as investments available-for-sale in accordance with Accounting Standards Codification (ASC) 320, Investments - Debt and Equity Securities.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$128,500 and $130,000 for the years ended December 31, 2019 and 2018,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Accounting Standards Codification (“ASC”) </w:t>
      </w:r>
      <w:r>
        <w:rPr>
          <w:rFonts w:ascii="Arial" w:cs="Arial" w:eastAsia="Arial" w:hAnsi="Arial"/>
          <w:sz w:val="16"/>
          <w:szCs w:val="16"/>
          <w:i w:val="1"/>
          <w:iCs w:val="1"/>
          <w:color w:val="auto"/>
        </w:rPr>
        <w:t>220, Comprehensive Income</w:t>
      </w:r>
      <w:r>
        <w:rPr>
          <w:rFonts w:ascii="Arial" w:cs="Arial" w:eastAsia="Arial" w:hAnsi="Arial"/>
          <w:sz w:val="16"/>
          <w:szCs w:val="16"/>
          <w:color w:val="auto"/>
        </w:rPr>
        <w:t>, establishes standards for the reporting and display of comprehensive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(loss) and its components in the Company’s consolidated financial statements. The objective of ASC </w:t>
      </w:r>
      <w:r>
        <w:rPr>
          <w:rFonts w:ascii="Arial" w:cs="Arial" w:eastAsia="Arial" w:hAnsi="Arial"/>
          <w:sz w:val="16"/>
          <w:szCs w:val="16"/>
          <w:i w:val="1"/>
          <w:iCs w:val="1"/>
          <w:color w:val="auto"/>
        </w:rPr>
        <w:t>220</w:t>
      </w:r>
      <w:r>
        <w:rPr>
          <w:rFonts w:ascii="Arial" w:cs="Arial" w:eastAsia="Arial" w:hAnsi="Arial"/>
          <w:sz w:val="16"/>
          <w:szCs w:val="16"/>
          <w:color w:val="auto"/>
        </w:rPr>
        <w:t xml:space="preserve"> is to report a measure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of all changes in equity of an enterprise that result from transactions and other economic events in a period other than transactions with owners.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gains (losses) result from changes in unrealized gains and losses from investment in debt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2019 and 2018, the total number of shares of common stock issuable upon exercise of warrants and equity awards is 4,766,990 and 4,764,405 respectively. Warrants with an exercise price of $0.01 (as more fully described in Note 13 of these financial statements) exercisable for 200,000 shares of common stock were considered issued in calculating basic loss per share. For the year ended December 31, 2019 and 2018,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w:t>
      </w:r>
      <w:r>
        <w:rPr>
          <w:rFonts w:ascii="Arial" w:cs="Arial" w:eastAsia="Arial" w:hAnsi="Arial"/>
          <w:sz w:val="16"/>
          <w:szCs w:val="16"/>
          <w:i w:val="1"/>
          <w:iCs w:val="1"/>
          <w:color w:val="auto"/>
        </w:rPr>
        <w:t>740, Income Taxes,</w:t>
      </w:r>
      <w:r>
        <w:rPr>
          <w:rFonts w:ascii="Arial" w:cs="Arial" w:eastAsia="Arial" w:hAnsi="Arial"/>
          <w:sz w:val="16"/>
          <w:szCs w:val="16"/>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more fully discussed in Note 9, the Company received approval from the New Jersey Economic Development Authority to sell $1.9 million of its New Jersey net operating losses recognizing a tax benefit for the year ended December 31, 2019 for the net proceeds (approximately $1.8 million) by reducing the deferred income tax valuation allowance. In early 2020, the Company entered into an agreement to sell these net operating losses and expects to receive net proceeds of approximately $1.8 million in the second quarter of 2020. In 2018, the Company completed the sale of a portion of its New Jersey net operating losses for 2011 - 2017 totaling approximately $11.1 for net proceeds of approximately $10.4 million in December 2018. The proceeds of $10.4 million were reflected as a tax benefit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2016, the FASB issued ASU 2016-09, Compensation-Stock Compensation,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recognizes the effect of forfeitures in compensation cost when they occur.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Topic ASC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Topic ASC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expects to adopt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in the process of determining the impact the adoption will have on its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We have not generated significant revenue and have incurred significant net losses in each year since our inception. We have incurred approximately $291 million of cumulated net losses. As of December 31, 2019, we had approximately $16.7 million in cash, investment securities, interest receivable and deferred income tax asset.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 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continues to spread globally and, as of late March 2020, has spread to over 100 countries, including the United States. Our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disruptions caused by COVID-19 may also disrupt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these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the Company has entered into research and development agreements;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additional sales from the sale of its State of New Jersey net operating losses in the future and other sources. If the Company raises funds by selling additional shares of common stock or other securities convertible into common stock, the ownership interest of existing stockholders may be diluted.</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2019 and 2018, the Company submitted an application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 As more fully discussed in Note 9, the Company received approval from the New Jersey Economic Development Authority to sell $1.9 million of its New Jersey net operating losses recognizing a tax benefit for the year ended December 31, 2019 for the net proceeds (approximately $1.8 million) by reducing the deferred income tax valuation allowance. In early 2020, the Company entered into an agreement to sell these net operating losses and expects to receive net proceeds of approximately $1.8 million in the second quarter of 2020. In 2018, the Company completed the sale of a portion of its New Jersey net operating losses for 2011 - 2017 totaling approximately $11.1 for net proceeds of approximately $10.4 million in December 2018. The proceeds of $10.4 million were reflected as a tax benefit for the year ended December 31, 2018. The Company has approximately $2.1 million in future tax benefits remaining under the NOL Program for future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both"/>
        <w:spacing w:after="0" w:line="275" w:lineRule="auto"/>
        <w:rPr>
          <w:sz w:val="20"/>
          <w:szCs w:val="20"/>
          <w:color w:val="auto"/>
        </w:rPr>
      </w:pPr>
      <w:r>
        <w:rPr>
          <w:rFonts w:ascii="Arial" w:cs="Arial" w:eastAsia="Arial" w:hAnsi="Arial"/>
          <w:sz w:val="17"/>
          <w:szCs w:val="17"/>
          <w:color w:val="auto"/>
        </w:rPr>
        <w:t>With $16.7 million in cash, investment securities, interest receivable and deferred income tax asset at December 31, 2019, as well as the $6.4 million raised in equity financings so far in 2020 (Note 10), the Company believes it has sufficient capital resources to fund its operations and financial commitments thru mid-2021. The Company will be required to obtain additional funding to continue development of its current product candidates within the anticipated time periods, if at all, and to continue to fund operations. As more fully discussed in Note 10, the Company has approximately $15 million available for future sale of equity securities under the common stock sales agreement with JonesTrading International Services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IN DEBT SECURITIES AVAILABLE FOR SALE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debt securities available for sale of $7,985,886 and $14,257,998 as of December 31, 2019 and 2018, respectively, consist of corporate debt securities. These investments are valued at estimated fair value, with unrealized gains and losses reported as a separate component of stockholders’ equity in accumulated other comprehensive loss.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126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Pr>
          <w:p>
            <w:pPr>
              <w:spacing w:after="0"/>
              <w:rPr>
                <w:sz w:val="20"/>
                <w:szCs w:val="20"/>
                <w:color w:val="auto"/>
              </w:rPr>
            </w:pPr>
          </w:p>
        </w:tc>
        <w:tc>
          <w:tcPr>
            <w:tcW w:w="30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3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7,943,108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7,985,886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14,228,126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r>
      <w:tr>
        <w:trPr>
          <w:trHeight w:val="23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7,943,108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14,228,126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126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Pr>
          <w:p>
            <w:pPr>
              <w:spacing w:after="0"/>
              <w:rPr>
                <w:sz w:val="20"/>
                <w:szCs w:val="20"/>
                <w:color w:val="auto"/>
              </w:rPr>
            </w:pPr>
          </w:p>
        </w:tc>
        <w:tc>
          <w:tcPr>
            <w:tcW w:w="3000" w:type="dxa"/>
            <w:vAlign w:val="bottom"/>
            <w:gridSpan w:val="7"/>
          </w:tcPr>
          <w:p>
            <w:pPr>
              <w:ind w:left="56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Within 3 months</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7,943,108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7,985,886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5,383,488</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5,393,743</w:t>
            </w:r>
          </w:p>
        </w:tc>
        <w:tc>
          <w:tcPr>
            <w:tcW w:w="80" w:type="dxa"/>
            <w:vAlign w:val="bottom"/>
          </w:tcPr>
          <w:p>
            <w:pPr>
              <w:spacing w:after="0"/>
              <w:rPr>
                <w:sz w:val="18"/>
                <w:szCs w:val="18"/>
                <w:color w:val="auto"/>
              </w:rPr>
            </w:pP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8,844,638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8,864,255</w:t>
            </w:r>
          </w:p>
        </w:tc>
        <w:tc>
          <w:tcPr>
            <w:tcW w:w="80" w:type="dxa"/>
            <w:vAlign w:val="bottom"/>
            <w:shd w:val="clear" w:color="auto" w:fill="CCEEFF"/>
          </w:tcPr>
          <w:p>
            <w:pPr>
              <w:spacing w:after="0"/>
              <w:rPr>
                <w:sz w:val="21"/>
                <w:szCs w:val="21"/>
                <w:color w:val="auto"/>
              </w:rPr>
            </w:pPr>
          </w:p>
        </w:tc>
      </w:tr>
      <w:tr>
        <w:trPr>
          <w:trHeight w:val="217"/>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7,943,108</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7,985,886</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14,228,126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14,257,998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2019 and 2018.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126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December 31, 2018</w:t>
            </w:r>
          </w:p>
        </w:tc>
      </w:t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w w:val="96"/>
              </w:rPr>
              <w:t xml:space="preserve">Available for sale securities </w:t>
            </w:r>
            <w:r>
              <w:rPr>
                <w:rFonts w:ascii="Arial" w:cs="Arial" w:eastAsia="Arial" w:hAnsi="Arial"/>
                <w:sz w:val="18"/>
                <w:szCs w:val="18"/>
                <w:color w:val="auto"/>
                <w:w w:val="96"/>
              </w:rPr>
              <w:t>(all unrealized holding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8"/>
              </w:rPr>
              <w:t>gains and losses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Gains</w:t>
            </w:r>
          </w:p>
        </w:tc>
      </w:tr>
      <w:tr>
        <w:trPr>
          <w:trHeight w:val="241"/>
        </w:trPr>
        <w:tc>
          <w:tcPr>
            <w:tcW w:w="4060" w:type="dxa"/>
            <w:vAlign w:val="bottom"/>
          </w:tcPr>
          <w:p>
            <w:pPr>
              <w:spacing w:after="0"/>
              <w:rPr>
                <w:sz w:val="20"/>
                <w:szCs w:val="20"/>
                <w:color w:val="auto"/>
              </w:rPr>
            </w:pPr>
            <w:r>
              <w:rPr>
                <w:rFonts w:ascii="Arial" w:cs="Arial" w:eastAsia="Arial" w:hAnsi="Arial"/>
                <w:sz w:val="18"/>
                <w:szCs w:val="18"/>
                <w:color w:val="auto"/>
              </w:rPr>
              <w:t>measurement)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3"/>
              </w:rPr>
              <w:t>(Losses)</w:t>
            </w:r>
          </w:p>
        </w:tc>
        <w:tc>
          <w:tcPr>
            <w:tcW w:w="2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(Losses)</w:t>
            </w: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debt securities with unrealized gains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7,985,886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42,778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7,515,676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w w:val="96"/>
              </w:rPr>
              <w:t>Investments in debt securities with unrealized 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6,742,322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r>
      <w:tr>
        <w:trPr>
          <w:trHeight w:val="230"/>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F-15</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060" w:type="dxa"/>
            <w:vAlign w:val="bottom"/>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442,987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363,846</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Realized gains (losses)</w:t>
            </w:r>
          </w:p>
        </w:tc>
        <w:tc>
          <w:tcPr>
            <w:tcW w:w="10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57,895</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(10,164)</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06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500,882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2019 and 2018. There were no transfers of assets or liabilities between Level 1 and Level 2 and no transfers in or out of Level 3 during the year ended December 31, 2019 or 2018.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12). The in-process R&amp;D – GBM is valued using a multi-period excess earnings method (see note 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Identical</w:t>
            </w: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Significant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Assets/Liabilities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Fair Value</w:t>
            </w:r>
          </w:p>
        </w:tc>
        <w:tc>
          <w:tcPr>
            <w:tcW w:w="1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3)</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7,985,886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7,985,886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Recurring items as of December 31, 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14,257,998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14,257,998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Earn-out milestone liability (Note 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5,717,709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5,717,709</w:t>
            </w: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Recurring items as of December 31, 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8,907,664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8,907,664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2019, the Company evaluated its IPR&amp;D of the (GBM) product candidate and concluded that it is not more likely than not that the asset is further impaired. As no other indicators of impairment existed during the fourth quarter of 2019, the Company concluded none of the other IPR&amp;D assets were impaired at December 31, 2019. The carrying amount of the GBM) product candidate indication was $2.4 million at December 31, 2019 and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spacing w:after="0" w:line="311" w:lineRule="auto"/>
        <w:rPr>
          <w:sz w:val="20"/>
          <w:szCs w:val="20"/>
          <w:color w:val="auto"/>
        </w:rPr>
      </w:pPr>
      <w:r>
        <w:rPr>
          <w:rFonts w:ascii="Arial" w:cs="Arial" w:eastAsia="Arial" w:hAnsi="Arial"/>
          <w:sz w:val="16"/>
          <w:szCs w:val="16"/>
          <w:color w:val="auto"/>
        </w:rPr>
        <w:t>At September 30, 2019 and 2018, the Company evaluated its IPR&amp;D of the ovarian cancer indication and concluded that it is not more likely than not that the asset is impaired. As no other indicators of impairment existed during the fourth quarter of 2019, the Company concluded none of the other IPR&amp;D assets were impaired at December 31, 2019. The carrying amount of the ovarian cancer indication was $13.3 million at December 31, 2019 and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$227,316 in 2019 and 2018. The carrying value of the Covenant Not to Compete was $340,976, net of $1,250,238 accumulated amortization, as of December 31, 2019 and $568,292, net of $1,022,922 accumulated amortization as of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w w:val="99"/>
              </w:rPr>
              <w:t>Following is a schedule of future amortization amounts during the remaining life of the Covenant Not to Compete.</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9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113,660</w:t>
            </w:r>
          </w:p>
        </w:tc>
      </w:tr>
      <w:tr>
        <w:trPr>
          <w:trHeight w:val="229"/>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2019, we concluded that the Company’s fair value exceeded its carrying value therefore “it is not more likely than not” that the Goodwill was impaired. As no other indicators of impairment existed during the fourth quarter of 2019, the Company concluded it is “not more likely than not” Goodwill was impaired.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net fair value of the assets acquired in the EGEN acquisition for the two years ended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Covenant Not to</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IPR&amp;D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Compete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 net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20,246,491</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1,976,101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4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(4,510,000)</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2018, net</w:t>
            </w:r>
          </w:p>
        </w:tc>
        <w:tc>
          <w:tcPr>
            <w:tcW w:w="4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15,736,491</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1,976,101</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568,292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2019, net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15,736,491</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6. </w:t>
            </w:r>
            <w:r>
              <w:rPr>
                <w:rFonts w:ascii="Arial" w:cs="Arial" w:eastAsia="Arial" w:hAnsi="Arial"/>
                <w:sz w:val="18"/>
                <w:szCs w:val="18"/>
                <w:b w:val="1"/>
                <w:bCs w:val="1"/>
                <w:color w:val="auto"/>
              </w:rPr>
              <w:t>PROPERTY AND EQUIPMENT</w:t>
            </w: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327,278</w:t>
            </w: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267,712</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343,202</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289,004</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3,502,044</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3,152,886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(3,096,681)</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(2,968,259)</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405,363</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F-18</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OTHER ACCRUED LIABILITIES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Other accrued liabilities at December 31, 2019 and 2018 include the following:</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ind w:left="46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475,440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749,369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1,604,541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1,592,590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204,155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198,654</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19,411</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45,285</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Credit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The effective interest rate at December 31, 2019 was 9.63%. Payments under the loan agreement are interest only for the first twenty-four (24) months after loan closing, followed by a 24-month amortization period of principal and interest through the scheduled maturity date. At its option, the Company can prepay all of the outstanding principal balance by prepaying the outstanding principal balance and an amount equal to 1-3% of the outstanding principal balance at that time, based on the amount of time prior to the maturity date of the notes.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registered the Horizon Warrants on Form S-3 (File No. 333 - 227236) filed with the Securities and Exchange Commission on September 7, 2018 and declared effective on October 10, 2018.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7"/>
          <w:szCs w:val="17"/>
          <w:color w:val="auto"/>
        </w:rPr>
        <w:t>During 2019, the Company incurred $1,006,760 in interest expense and amortized $386,640 respectively, as interest expense for debt discounts and end of term charges in connection with the Horizon Credit Agreement. During 2018, the Company incurred $512,872 in interest expense and amortized $199,153 respectively, as interest expense for debt discounts and end of term charges in connection with the Horizon Credit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principle payments, net of unamortized debt discounts and amortized end of term charges, due on the Horizon Credit Agreement: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For the year ending</w:t>
            </w:r>
          </w:p>
        </w:tc>
      </w:tr>
      <w:tr>
        <w:trPr>
          <w:trHeight w:val="241"/>
        </w:trPr>
        <w:tc>
          <w:tcPr>
            <w:tcW w:w="8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4,583,333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3,333,333</w:t>
            </w:r>
          </w:p>
        </w:tc>
      </w:tr>
      <w:tr>
        <w:trPr>
          <w:trHeight w:val="236"/>
        </w:trPr>
        <w:tc>
          <w:tcPr>
            <w:tcW w:w="8540" w:type="dxa"/>
            <w:vAlign w:val="bottom"/>
          </w:tcPr>
          <w:p>
            <w:pPr>
              <w:spacing w:after="0"/>
              <w:rPr>
                <w:sz w:val="20"/>
                <w:szCs w:val="20"/>
                <w:color w:val="auto"/>
              </w:rPr>
            </w:pPr>
            <w:r>
              <w:rPr>
                <w:rFonts w:ascii="Arial" w:cs="Arial" w:eastAsia="Arial" w:hAnsi="Arial"/>
                <w:sz w:val="18"/>
                <w:szCs w:val="18"/>
                <w:color w:val="auto"/>
              </w:rPr>
              <w:t>2023 and thereafter</w:t>
            </w: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of future principle payments</w:t>
            </w:r>
          </w:p>
        </w:tc>
        <w:tc>
          <w:tcPr>
            <w:tcW w:w="1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540" w:type="dxa"/>
            <w:vAlign w:val="bottom"/>
          </w:tcPr>
          <w:p>
            <w:pPr>
              <w:spacing w:after="0"/>
              <w:rPr>
                <w:sz w:val="20"/>
                <w:szCs w:val="20"/>
                <w:color w:val="auto"/>
              </w:rPr>
            </w:pPr>
            <w:r>
              <w:rPr>
                <w:rFonts w:ascii="Arial" w:cs="Arial" w:eastAsia="Arial" w:hAnsi="Arial"/>
                <w:sz w:val="18"/>
                <w:szCs w:val="18"/>
                <w:color w:val="auto"/>
              </w:rPr>
              <w:t>Unamortized debt issuance costs, net</w:t>
            </w:r>
          </w:p>
        </w:tc>
        <w:tc>
          <w:tcPr>
            <w:tcW w:w="16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(196,323)</w:t>
            </w:r>
          </w:p>
        </w:tc>
      </w:tr>
      <w:tr>
        <w:trPr>
          <w:trHeight w:val="230"/>
        </w:trPr>
        <w:tc>
          <w:tcPr>
            <w:tcW w:w="8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 -time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for the years ended December 31, 2019 and 2018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State and Local</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(10,419,115)</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(1,819,324)</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(1,819,324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(10,419,115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and deferred rate change, net</w:t>
            </w: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r>
      <w:tr>
        <w:trPr>
          <w:trHeight w:val="216"/>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tax rate</w:t>
            </w:r>
          </w:p>
        </w:tc>
        <w:tc>
          <w:tcPr>
            <w:tcW w:w="24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3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60" w:type="dxa"/>
            <w:vAlign w:val="bottom"/>
            <w:gridSpan w:val="4"/>
          </w:tcPr>
          <w:p>
            <w:pPr>
              <w:spacing w:after="0"/>
              <w:rPr>
                <w:sz w:val="20"/>
                <w:szCs w:val="20"/>
                <w:color w:val="auto"/>
              </w:rPr>
            </w:pPr>
            <w:r>
              <w:rPr>
                <w:rFonts w:ascii="Arial" w:cs="Arial" w:eastAsia="Arial" w:hAnsi="Arial"/>
                <w:sz w:val="18"/>
                <w:szCs w:val="18"/>
                <w:color w:val="auto"/>
                <w:w w:val="92"/>
              </w:rPr>
              <w:t>The components of the Company’s deferred tax asset as of December 31, 2019 and 2018 are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9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5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58,243,000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51,498,000</w:t>
            </w:r>
          </w:p>
        </w:tc>
        <w:tc>
          <w:tcPr>
            <w:tcW w:w="100" w:type="dxa"/>
            <w:vAlign w:val="bottom"/>
            <w:shd w:val="clear" w:color="auto" w:fill="CCEEFF"/>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Other Deferred tax assets, net</w:t>
            </w: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254,000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1,092,000</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58,497,000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52,590,000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Valuation allowance</w:t>
            </w: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(56,677,676)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(52,590,000)</w:t>
            </w: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5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1,819,324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887"/>
              <w:spacing w:after="0"/>
              <w:rPr>
                <w:sz w:val="20"/>
                <w:szCs w:val="20"/>
                <w:color w:val="auto"/>
              </w:rPr>
            </w:pPr>
            <w:r>
              <w:rPr>
                <w:rFonts w:ascii="Arial" w:cs="Arial" w:eastAsia="Arial" w:hAnsi="Arial"/>
                <w:sz w:val="18"/>
                <w:szCs w:val="18"/>
                <w:color w:val="auto"/>
              </w:rPr>
              <w:t>F-20</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17"/>
          <w:szCs w:val="17"/>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As of December 31, 2019, the Company has established a valuation reserve for its deferred income tax assets other than those related to its New Jersey NOLs. At December 31, 2019, after its evaluation of its New Jersey NOL’s as discussed more fully below, reduced the valuation reserve and recognized $1.8 million as a deferred tax asset. Such tax assets are available to be recognized and benefit future periods. As of December 31, 2019, the Company had net operating losses of approximately $289 million of which $247 million, if unused, will expire starting in 2023 through 2037. The Federal net operating loss generated for the year ended December 31, 2018 of approximately $25.8 million can be carried forward indefinitely. However, the deduction for net operating losses incurred in tax years beginning after January 1, 2018 is limited to 80% of annual taxable income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2019, 2018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October 2017 and August 2018. As a result, the utilization of the Company’s federal tax net operating loss carry forwards generated prior to the ownership changes are limited. As of December 31, 2018, the Company has net operating loss carry forwards for U.S. federal and state tax purposes of approximately $233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approximately $0.8 million per year for approximately $5 million of additional net operating losses occurring from June 2017 to the ownership change that occurred in October 2017, and approximately $1.5 million per year for approximately $30 million of additional net operating losses occurring from October 2017 to the ownership change that occurred in August 2018. The utilization of these net operating loss carry forwards may be further limited if the Company experiences future ownership changes as defined in Section 382 of the Internal Revenue Code.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New Jersey Net Operating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2019 and 2018, the Company received approval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 During the first quarter of 2020, the Company entered into an agreement to sell these approved portion of these New Jersey NOL’s for $1.8 million. At December 31, 2019, the Company evaluated the valuation reserve for its tax net operating losses associated with its New Jersey NOLs and reduced the valuation reserve and recognized $1.8 million as a deferred income tax asset and an income tax benefit. The Company expects to complete the sale of these net operating losses in the second quarter of 2020. In 2018, the Company completed the sale of a portion of its New Jersey net operating losses totaling approximately $11.1 million for net proceeds of $10.4 million in December 2018. The Company has approximately $2.1 million in future tax benefits remaining under the NOL Program for future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September 2018, the Company filed with the SEC a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2018, we entered into a common stock purchase agreement (the “2018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the shares of common stock that may be offered to Aspire Capital from time to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2018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no trading volume requirements or restrictions under the 2018 Aspire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2018 Aspire Purchase Agreement. There are no limitations on use of proceeds, financial or business covenants, restrictions on future funding, rights of first refusal, participation rights, penalties or liquidated damages in the Aspire Purchase Agreement. In consideration for entering into the 2018 Aspire Purchase Agreement, concurrently with the execution of the 2018 Aspire Purchase Agreement, the Company issued to Aspire Capital 164,835 shares of the Company’s common stock (the “2018 Commitment Shares”). The Company’s policy is to record specific incremental costs directly attributable to an offering as a charge against the gross proceeds, if any, when the offering becomes effective. The 2018 Commitment Shares valued at $450,000 were recorded in September 2018 as costs of equity financing and charged against additional paid-in capital. The 2018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2018 Aspire Purchase Agreement. Any proceeds from the Company receives under the 2018 Aspire Purchase Agreement are expected to be used for working capital and general corporate purposes. During 2018, the Company sold and issued an aggregate of 100,000 shares under the 2018 Aspire Purchase Agreement, receiving approximately $0.2 million. During 2019, the Company sold and issued an aggregate of 3.3 million shares under the 2018 Aspire Purchase Agreement, receiving approximately $6.3 million. As a result of the Company and Aspire Capital entering into a new purchase agreement on October 28, 2019 discussed in the next paragraph, the 2018 Aspire Purchase Agreement was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jc w:val="both"/>
        <w:spacing w:after="0" w:line="290" w:lineRule="auto"/>
        <w:rPr>
          <w:sz w:val="20"/>
          <w:szCs w:val="20"/>
          <w:color w:val="auto"/>
        </w:rPr>
      </w:pPr>
      <w:r>
        <w:rPr>
          <w:rFonts w:ascii="Arial" w:cs="Arial" w:eastAsia="Arial" w:hAnsi="Arial"/>
          <w:sz w:val="16"/>
          <w:szCs w:val="16"/>
          <w:color w:val="auto"/>
        </w:rPr>
        <w:t>On October 28, 2019, Company, entered into a new common stock purchase agreement (the “2019 Aspire Purchase Agreement”) with Aspire Capital which provides that, upon the terms and subject to the conditions and limitations set forth therein,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On November 8, 2019, the Company filed with the SEC a Registration Statement on Form S-1 registering all the shares of common stock that may be offered to Aspire Capital from time to time under the 2019 Aspire Purchase Agreement.</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terms and conditions pursuant to the 2019 Aspire Purchase Agreement are substantially similar to the 2018 Aspire Purchase Agreement and the more significant terms are restated as follows:</w:t>
      </w:r>
    </w:p>
    <w:p>
      <w:pPr>
        <w:spacing w:after="0" w:line="170" w:lineRule="exact"/>
        <w:rPr>
          <w:sz w:val="20"/>
          <w:szCs w:val="20"/>
          <w:color w:val="auto"/>
        </w:rPr>
      </w:pPr>
    </w:p>
    <w:p>
      <w:pPr>
        <w:jc w:val="both"/>
        <w:ind w:left="660" w:hanging="328"/>
        <w:spacing w:after="0" w:line="311" w:lineRule="auto"/>
        <w:tabs>
          <w:tab w:leader="none" w:pos="6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Under the terms of the 2019 Aspire Purchase Agreement, on any trading day selected by the Company, the Company has the right, in its sole discretion, to present Aspire Capital with a Purchase Notice, directing Aspire Capital to purchase up to 100,000 shares of the Company’s common stock per business day, up to $10.0 million of the Company’s common stock in the aggregate at a per share Purchase Price equal to the lesser of:</w:t>
      </w:r>
    </w:p>
    <w:p>
      <w:pPr>
        <w:spacing w:after="0" w:line="148" w:lineRule="exact"/>
        <w:rPr>
          <w:rFonts w:ascii="Arial" w:cs="Arial" w:eastAsia="Arial" w:hAnsi="Arial"/>
          <w:sz w:val="16"/>
          <w:szCs w:val="16"/>
          <w:b w:val="1"/>
          <w:bCs w:val="1"/>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70" w:lineRule="exact"/>
        <w:rPr>
          <w:rFonts w:ascii="Arial" w:cs="Arial" w:eastAsia="Arial" w:hAnsi="Arial"/>
          <w:sz w:val="18"/>
          <w:szCs w:val="18"/>
          <w:b w:val="1"/>
          <w:bCs w:val="1"/>
          <w:color w:val="auto"/>
        </w:rPr>
      </w:pPr>
    </w:p>
    <w:p>
      <w:pPr>
        <w:jc w:val="both"/>
        <w:ind w:left="660" w:hanging="328"/>
        <w:spacing w:after="0" w:line="29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on any date on which the Company submits a Purchase Notice to Aspire Capital in an amount of 100,000 shares, the Company also has the right, in its sole discretion, to present Aspire Capital with a VWAP Purchase Notice directing Aspire Capital to purchase an amount of stock equal to up to 30% of the aggregate shares of the Company’s common stock traded on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61"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consideration for entering into the 2019 Aspire Purchase Agreement, the Company issued to Aspire Capital 100,000 shares of the Company’s common stock (the “2019 Commitment Shares”). The Company’s policy is to record specific incremental costs directly attributable to an offering as a charge against the gross proceeds, if any, when the offering becomes effective. The 2019 Commitment Shares will be fair valued and recorded in October 2019 as costs of equity financing and charged against additional paid-in capital.</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other rights, responsibilities and conditions of the 2019 Aspire Purchase Agreement remain the same as the prior agreement in 2018.</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the Company sold and issued an aggregate of 0.5 million shares under the 2019 Aspire Purchase Agreement, receiving approximately $0.7 million. Subsequent to December 31, 2019 and through March 5, 2020 when the Company delivered notice to Aspire terminating the 2019 Aspire Purchase Agreement, the Company sold 1.0 million shares of common stock under the Aspire Purchase Agreement, receiving approximately $1.6 million in additional gross proceeds.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December 4, 2018, the Company entered into a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jc w:val="both"/>
        <w:spacing w:after="0" w:line="259" w:lineRule="auto"/>
        <w:rPr>
          <w:sz w:val="20"/>
          <w:szCs w:val="20"/>
          <w:color w:val="auto"/>
        </w:rPr>
      </w:pPr>
      <w:r>
        <w:rPr>
          <w:rFonts w:ascii="Arial" w:cs="Arial" w:eastAsia="Arial" w:hAnsi="Arial"/>
          <w:sz w:val="18"/>
          <w:szCs w:val="18"/>
          <w:color w:val="auto"/>
        </w:rPr>
        <w:t>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JonesTrading a commission of 3.0% of the aggregate gross proceeds from each sale of Common Stock and has agreed to provide JonesTrading with customary indemnification and contribution rights.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Shares will be issued pursuant to Celsion’s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During 2019, the Company sold and issued an aggregate of 0.5 million shares under the Capital on Demand Agreement, receiving approximately $1.0 million in gross proceeds. The Company did not sell any shares under the Capital on Demand Agreement as of December 31, 2018. As of December 31, 2019, the Company has approximately $15 million available under the Capital on Demand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could offer and sell, from time to time, through Cantor, shares of our common stock having an aggregate offering price of up to $25.0 million (the “ATM Shares”) pursuant to the 2015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On October 10, 2018, the Company delivered notice to Cantor terminating the ATM effective as of October 20, 2018. The Company has no further obligations under the Sales Agreement. During 2018, the Company received approximately $1.2 million in proceeds from the sale of 0.5 million shares of common stock under the ATM Agreement. From February 1, 2013 through September 30, 2018, the Company sold and issued an aggregate of 1,784,396 shares of common stock under the ATM Agreement, receiving approximately $12.8 million in gross proceeds.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jc w:val="both"/>
        <w:spacing w:after="0" w:line="254" w:lineRule="auto"/>
        <w:rPr>
          <w:sz w:val="20"/>
          <w:szCs w:val="20"/>
          <w:color w:val="auto"/>
        </w:rPr>
      </w:pPr>
      <w:r>
        <w:rPr>
          <w:rFonts w:ascii="Arial" w:cs="Arial" w:eastAsia="Arial" w:hAnsi="Arial"/>
          <w:sz w:val="18"/>
          <w:szCs w:val="18"/>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there were a total of 4,580,893 shares of Celsion common stock reserved for issuance under the 2018 Plan, which were comprised of 4,130,886 shares of Celsion common stock subject to equity awards previously granted under the 2018 Plan and 2007 Plan and 450,007 shares of Celsion common stock available for future issuance under the 2018 Plan. As of December 31, 2019, there were a total of 210,006 of Celsion common stock subject to outstanding inducement awards.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compensation cost related to stock options and restricted stock awards was approximately $2.3 million and $4.6 million during 2019, and 2018, respectively. Of these amounts, $0.9 million and $1.5 million was charged to research and development during 2019 and 2018, respectively, and $1.4 million and $3.1 million was charged to general and administrative expenses during 2019 and 2018,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A summary of stock option awards as of December 31, 2019 and changes during the two-year period ended December 31, 2019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2,629,004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46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at December 31, 2018</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3,148,743</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CCEEFF"/>
            </w:tcBorders>
            <w:gridSpan w:val="2"/>
          </w:tcPr>
          <w:p>
            <w:pPr>
              <w:jc w:val="right"/>
              <w:ind w:right="200"/>
              <w:spacing w:after="0" w:line="203" w:lineRule="exact"/>
              <w:rPr>
                <w:sz w:val="20"/>
                <w:szCs w:val="20"/>
                <w:color w:val="auto"/>
              </w:rPr>
            </w:pPr>
            <w:r>
              <w:rPr>
                <w:rFonts w:ascii="Arial" w:cs="Arial" w:eastAsia="Arial" w:hAnsi="Arial"/>
                <w:sz w:val="18"/>
                <w:szCs w:val="18"/>
                <w:color w:val="auto"/>
              </w:rPr>
              <w:t>2.67</w:t>
            </w: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1,250,754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Canceled or expired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(67,355)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2,469,033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restricted stock awards as of December 31, 2019 and changes during the two-year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21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2018</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35,000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3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2018</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29,250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(38,000)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29"/>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2019</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6"/>
          </w:tcPr>
          <w:p>
            <w:pPr>
              <w:spacing w:after="0"/>
              <w:rPr>
                <w:sz w:val="20"/>
                <w:szCs w:val="20"/>
                <w:color w:val="auto"/>
              </w:rPr>
            </w:pPr>
            <w:r>
              <w:rPr>
                <w:rFonts w:ascii="Arial" w:cs="Arial" w:eastAsia="Arial" w:hAnsi="Arial"/>
                <w:sz w:val="18"/>
                <w:szCs w:val="18"/>
                <w:color w:val="auto"/>
                <w:w w:val="98"/>
              </w:rPr>
              <w:t>A summary of stock options outstanding at December 31, 2019 by price range is as follows: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5000" w:type="dxa"/>
            <w:vAlign w:val="bottom"/>
            <w:gridSpan w:val="2"/>
          </w:tcPr>
          <w:p>
            <w:pPr>
              <w:ind w:left="1500"/>
              <w:spacing w:after="0"/>
              <w:rPr>
                <w:sz w:val="20"/>
                <w:szCs w:val="20"/>
                <w:color w:val="auto"/>
              </w:rPr>
            </w:pPr>
            <w:r>
              <w:rPr>
                <w:rFonts w:ascii="Arial" w:cs="Arial" w:eastAsia="Arial" w:hAnsi="Arial"/>
                <w:sz w:val="18"/>
                <w:szCs w:val="18"/>
                <w:b w:val="1"/>
                <w:bCs w:val="1"/>
                <w:color w:val="auto"/>
              </w:rPr>
              <w:t>Range of Exercise Prices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4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$5.00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3,821,470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2,404,611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37"/>
        </w:trPr>
        <w:tc>
          <w:tcPr>
            <w:tcW w:w="5000" w:type="dxa"/>
            <w:vAlign w:val="bottom"/>
            <w:gridSpan w:val="2"/>
          </w:tcPr>
          <w:p>
            <w:pPr>
              <w:spacing w:after="0"/>
              <w:rPr>
                <w:sz w:val="20"/>
                <w:szCs w:val="20"/>
                <w:color w:val="auto"/>
              </w:rPr>
            </w:pPr>
            <w:r>
              <w:rPr>
                <w:rFonts w:ascii="Arial" w:cs="Arial" w:eastAsia="Arial" w:hAnsi="Arial"/>
                <w:sz w:val="18"/>
                <w:szCs w:val="18"/>
                <w:color w:val="auto"/>
              </w:rPr>
              <w:t>Above $5.00 to $81.90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64,422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64,422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r>
      <w:tr>
        <w:trPr>
          <w:trHeight w:val="223"/>
        </w:trPr>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3,885,892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39"/>
        </w:trPr>
        <w:tc>
          <w:tcPr>
            <w:tcW w:w="4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F-26</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03" w:name="page104"/>
    <w:bookmarkEnd w:id="103"/>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39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6180" w:type="dxa"/>
            <w:vAlign w:val="bottom"/>
            <w:tcBorders>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 to 3.02%</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 to 3.02%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101.3 – 106.2%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99.9 - 102.1%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 to 9.3</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 to 10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As of December 31, 2019, there was $1.6 million of total unrecognized compensation cost related to non-vested stock-based compensation arrangements. That cost is expected to be recognized over a weighted-average period of 1.1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fair valued the earn-out milestone liability at $5.7 million and recognized a non-cash gain of $3.2 million during 2019 as a result of the change in the fair value of earn-out milestone liability of $8.9 million at December 31, 2018. In assessing the earnout milestone liability at December 31, 2019,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2018, the Company fair valued the earn-out milestone liability at $8.9 million and recognized a non-cash gain of $3.6 million during 2018 as a result of the change in the fair value of earn-out milestone liability of $12.5 million at December 31, 2017. Included in the non-cash gain during 2018, was the reduction of the liability by $3.9 million during the third quarter of 2017 related to the write down of one of the in-process research and development assets (see Note 5) as the Company believes there is a de minimis probability of the payout of the related earn-out milestone liabilities. The fair value of the remaining earn-out milestone liabilities at December 31, 2018 was based on the Company’s risk-adjusted assessment of each milestone (80%) utilizing a discount rate based on the estimated time to achieve the milestone (1.25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2018 and 2019:</w:t>
            </w: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2018 net loss</w:t>
            </w:r>
          </w:p>
        </w:tc>
        <w:tc>
          <w:tcPr>
            <w:tcW w:w="7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(3,630,861)</w:t>
            </w: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2019 net loss</w:t>
            </w:r>
          </w:p>
        </w:tc>
        <w:tc>
          <w:tcPr>
            <w:tcW w:w="7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(3,189,955)</w:t>
            </w:r>
          </w:p>
        </w:tc>
      </w:tr>
      <w:tr>
        <w:trPr>
          <w:trHeight w:val="229"/>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Warrants to purchase 1,167,064 and 13,927 shares of common stock expired during 2019 and 2018, respectively. During 2018, the Company and certain investors holding warrants to collectively purchase 1.6 million shares of the Company’s common stock, entered into warrant exchange agreements whereby the Company issued 820,714 shares of its common stock in exchange for the cancellation of the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two years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6760" w:type="dxa"/>
            <w:vAlign w:val="bottom"/>
          </w:tcPr>
          <w:p>
            <w:pPr>
              <w:ind w:left="302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Issued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outstanding at January 1, 2018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3,058,402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Warrants issued in connection with 2018 equity transactions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190,114</w:t>
            </w:r>
          </w:p>
        </w:tc>
        <w:tc>
          <w:tcPr>
            <w:tcW w:w="20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cancelled in exchange for common stock</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(1,641,427)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line="189" w:lineRule="exact"/>
              <w:rPr>
                <w:sz w:val="20"/>
                <w:szCs w:val="20"/>
                <w:color w:val="auto"/>
              </w:rPr>
            </w:pPr>
            <w:r>
              <w:rPr>
                <w:rFonts w:ascii="Arial" w:cs="Arial" w:eastAsia="Arial" w:hAnsi="Arial"/>
                <w:sz w:val="18"/>
                <w:szCs w:val="18"/>
                <w:color w:val="auto"/>
              </w:rPr>
              <w:t>Warrants expired during 2018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(13,927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48"/>
        </w:trPr>
        <w:tc>
          <w:tcPr>
            <w:tcW w:w="67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vMerge w:val="continue"/>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gridSpan w:val="2"/>
            <w:vMerge w:val="continue"/>
          </w:tcPr>
          <w:p>
            <w:pPr>
              <w:spacing w:after="0"/>
              <w:rPr>
                <w:sz w:val="4"/>
                <w:szCs w:val="4"/>
                <w:color w:val="auto"/>
              </w:rPr>
            </w:pPr>
          </w:p>
        </w:tc>
        <w:tc>
          <w:tcPr>
            <w:tcW w:w="1680" w:type="dxa"/>
            <w:vAlign w:val="bottom"/>
            <w:tcBorders>
              <w:bottom w:val="single" w:sz="8" w:color="CCEE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1,593,162</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Warrants issued during 2019 (see Note 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Warrants expired during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(1,167,064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Warrants outstanding and exercisable at December 31, 2019</w:t>
            </w:r>
          </w:p>
        </w:tc>
        <w:tc>
          <w:tcPr>
            <w:tcW w:w="2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626,098</w:t>
            </w:r>
          </w:p>
        </w:tc>
        <w:tc>
          <w:tcPr>
            <w:tcW w:w="20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Aggregate intrinsic value of outstanding warrants at December 31, 2019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Weighted average remaining contractual terms (years)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left="277"/>
              <w:spacing w:after="0"/>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Schedule of weighted average remaining contractual terms at</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 Warrants</w:t>
            </w:r>
          </w:p>
        </w:tc>
        <w:tc>
          <w:tcPr>
            <w:tcW w:w="1540" w:type="dxa"/>
            <w:vAlign w:val="bottom"/>
          </w:tcPr>
          <w:p>
            <w:pPr>
              <w:jc w:val="center"/>
              <w:ind w:left="277"/>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 Terms</w:t>
            </w:r>
          </w:p>
        </w:tc>
        <w:tc>
          <w:tcPr>
            <w:tcW w:w="0" w:type="dxa"/>
            <w:vAlign w:val="bottom"/>
          </w:tcPr>
          <w:p>
            <w:pPr>
              <w:spacing w:after="0"/>
              <w:rPr>
                <w:sz w:val="1"/>
                <w:szCs w:val="1"/>
                <w:color w:val="auto"/>
              </w:rPr>
            </w:pPr>
          </w:p>
        </w:tc>
      </w:tr>
      <w:tr>
        <w:trPr>
          <w:trHeight w:val="241"/>
        </w:trPr>
        <w:tc>
          <w:tcPr>
            <w:tcW w:w="49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Issued</w:t>
            </w:r>
          </w:p>
        </w:tc>
        <w:tc>
          <w:tcPr>
            <w:tcW w:w="1540" w:type="dxa"/>
            <w:vAlign w:val="bottom"/>
          </w:tcPr>
          <w:p>
            <w:pPr>
              <w:jc w:val="center"/>
              <w:ind w:left="277"/>
              <w:spacing w:after="0"/>
              <w:rPr>
                <w:sz w:val="20"/>
                <w:szCs w:val="20"/>
                <w:color w:val="auto"/>
              </w:rPr>
            </w:pPr>
            <w:r>
              <w:rPr>
                <w:rFonts w:ascii="Arial" w:cs="Arial" w:eastAsia="Arial" w:hAnsi="Arial"/>
                <w:sz w:val="18"/>
                <w:szCs w:val="18"/>
                <w:b w:val="1"/>
                <w:bCs w:val="1"/>
                <w:color w:val="auto"/>
                <w:w w:val="89"/>
              </w:rPr>
              <w:t>Exercise Price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provided to EGWU, Inc (Note 12)</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540" w:type="dxa"/>
            <w:vAlign w:val="bottom"/>
            <w:shd w:val="clear" w:color="auto" w:fill="CCEEFF"/>
          </w:tcPr>
          <w:p>
            <w:pPr>
              <w:jc w:val="right"/>
              <w:ind w:right="137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0.01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 expiration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warrants outstanding</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426,098</w:t>
            </w:r>
          </w:p>
        </w:tc>
        <w:tc>
          <w:tcPr>
            <w:tcW w:w="1540" w:type="dxa"/>
            <w:vAlign w:val="bottom"/>
            <w:shd w:val="clear" w:color="auto" w:fill="CCEEFF"/>
          </w:tcPr>
          <w:p>
            <w:pPr>
              <w:jc w:val="right"/>
              <w:ind w:right="137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2.74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14. CELSION EMPLOYEE BENEFIT PLANS</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 maintains a defined-contribution plan under Section 401(k) of the Internal Revenue Code. The plan covers substantially all employees over the age of 21. Participating employees may defer a portion of their pretax earnings, up to the IRS annual contribution limit. The Company makes a matching contribution up to a maximum of 3% of an employee’s annual salary. The Company’s total matching contributions for the years ended December 31, 2019 and 2018 was $105,999 and $93,948 respectively. During 2018, the Company also provided a discretionary contribution totaling $181,999 which represented 6% of each eligible participant’s annual salary in each of 2018. This amount was paid in January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The Company also had a one-time option to cancel the lease as of the 40th month after the commencement date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and must provide the landlord notice by the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of the lease. Effective January 9, 2019, the Company amended the current terms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to increase the size of the premises by 2,285 square feet to 9,850 square feet and also extended the lease term by one year to</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September 1, 2023. In conjunction with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previously mentioned in Note 4, 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Consolidated Condensed Balance Sheet but had no impact on our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w:t>
      </w:r>
    </w:p>
    <w:p>
      <w:pPr>
        <w:spacing w:after="0" w:line="4" w:lineRule="exact"/>
        <w:rPr>
          <w:sz w:val="20"/>
          <w:szCs w:val="20"/>
          <w:color w:val="auto"/>
        </w:rPr>
      </w:pPr>
    </w:p>
    <w:p>
      <w:pPr>
        <w:jc w:val="both"/>
        <w:ind w:firstLine="8"/>
        <w:spacing w:after="0" w:line="281" w:lineRule="auto"/>
        <w:tabs>
          <w:tab w:leader="none" w:pos="3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w:t>
      </w:r>
    </w:p>
    <w:p>
      <w:pPr>
        <w:spacing w:after="0" w:line="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reasonably certain to be 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table of the lease payments and maturity of our operating lease liabilities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For the</w:t>
            </w:r>
          </w:p>
        </w:tc>
      </w:tr>
      <w:tr>
        <w:trPr>
          <w:trHeight w:val="216"/>
        </w:trPr>
        <w:tc>
          <w:tcPr>
            <w:tcW w:w="3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 ending</w:t>
            </w:r>
          </w:p>
        </w:tc>
      </w:tr>
      <w:tr>
        <w:trPr>
          <w:trHeight w:val="241"/>
        </w:trPr>
        <w:tc>
          <w:tcPr>
            <w:tcW w:w="39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2021</w:t>
            </w: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530,734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535,579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2023</w:t>
            </w: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233,117</w:t>
            </w: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5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5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1,825,239</w:t>
            </w:r>
          </w:p>
        </w:tc>
        <w:tc>
          <w:tcPr>
            <w:tcW w:w="160" w:type="dxa"/>
            <w:vAlign w:val="bottom"/>
            <w:tcBorders>
              <w:top w:val="single" w:sz="8" w:color="CCEEFF"/>
            </w:tcBorders>
          </w:tcPr>
          <w:p>
            <w:pPr>
              <w:spacing w:after="0"/>
              <w:rPr>
                <w:sz w:val="17"/>
                <w:szCs w:val="17"/>
                <w:color w:val="auto"/>
              </w:rPr>
            </w:pPr>
          </w:p>
        </w:tc>
      </w:tr>
      <w:tr>
        <w:trPr>
          <w:trHeight w:val="24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5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(293,789)</w:t>
            </w:r>
          </w:p>
        </w:tc>
      </w:tr>
      <w:tr>
        <w:trPr>
          <w:trHeight w:val="210"/>
        </w:trPr>
        <w:tc>
          <w:tcPr>
            <w:tcW w:w="3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52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1,531,450</w:t>
            </w:r>
          </w:p>
        </w:tc>
        <w:tc>
          <w:tcPr>
            <w:tcW w:w="160" w:type="dxa"/>
            <w:vAlign w:val="bottom"/>
            <w:tcBorders>
              <w:top w:val="single" w:sz="8" w:color="CCEEFF"/>
              <w:bottom w:val="single" w:sz="8" w:color="CCEEFF"/>
            </w:tcBorders>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6"/>
        </w:trPr>
        <w:tc>
          <w:tcPr>
            <w:tcW w:w="390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3.45 years</w:t>
            </w:r>
          </w:p>
        </w:tc>
      </w:tr>
      <w:tr>
        <w:trPr>
          <w:trHeight w:val="216"/>
        </w:trPr>
        <w:tc>
          <w:tcPr>
            <w:tcW w:w="39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39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39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3567"/>
              <w:spacing w:after="0"/>
              <w:rPr>
                <w:sz w:val="20"/>
                <w:szCs w:val="20"/>
                <w:color w:val="auto"/>
              </w:rPr>
            </w:pPr>
            <w:r>
              <w:rPr>
                <w:rFonts w:ascii="Arial" w:cs="Arial" w:eastAsia="Arial" w:hAnsi="Arial"/>
                <w:sz w:val="18"/>
                <w:szCs w:val="18"/>
                <w:color w:val="auto"/>
              </w:rPr>
              <w:t>F-29</w:t>
            </w: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6" w:name="page107"/>
    <w:bookmarkEnd w:id="106"/>
    <w:p>
      <w:pPr>
        <w:jc w:val="both"/>
        <w:spacing w:after="0" w:line="277" w:lineRule="auto"/>
        <w:rPr>
          <w:sz w:val="20"/>
          <w:szCs w:val="20"/>
          <w:color w:val="auto"/>
        </w:rPr>
      </w:pPr>
      <w:r>
        <w:rPr>
          <w:rFonts w:ascii="Arial" w:cs="Arial" w:eastAsia="Arial" w:hAnsi="Arial"/>
          <w:sz w:val="18"/>
          <w:szCs w:val="18"/>
          <w:color w:val="auto"/>
        </w:rPr>
        <w:t>For the 2019, operating lease expense was $522,380 and cash paid for operating leases included in operating cash flows was $485,848. For 2018, operating lease expense was $450,430 and cash paid for operating leases included in operating cash flows was $457,321.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2019, a purported stockholder of the Company filed a derivative and putative class action lawsuit against the Company and certain officers and directors (the “Shareholder Action”). The Shareholder Action alleges breaches of fiduciary duty in connection with the shareholder approval process associated with the 2018 Stock Incentive Plan. The matter is in the early stages and the ultimate outcome of this matter is not currently determinable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LICENSES OF INTELLECTUAL PROPERTY AND PATENTS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 For the years ended December 31, 2019 and 2018, the Company has not incurred any expense under this agreement and will not incur any future liabilities until commercial sales commence.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the EU, Hong Kong, Australia and Canada and have been allowed in Japan. The EU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extend for the life of the last-to-expire of the licensed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8"/>
          <w:szCs w:val="18"/>
          <w:color w:val="auto"/>
        </w:rPr>
        <w:t>ThermoDox® is a registered trademark in the U.S., Argentina, Australia, Canada, China, Columbia, the EU Member States: (Austria, Belgium, Bulgaria, Croatia, Cyprus, Czech Republic, Denmark, Estonia, Finland, France, Germany, Greece, Hungary, Ireland, Italy, Korea, Latvia, Lithuania, Luxembourg, Malta, the Netherlands, Poland, Portugal, Romania, Slovakia, Slovenia, Spain, Sweden, the United Kingdom),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On January 18, 2013, we entered into a technology development contract with Hisun, pursuant to which Hisun paid us a non-refundable research and development fee of $5 million to support our development of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and other activities to further the development of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spacing w:after="0" w:line="209" w:lineRule="auto"/>
        <w:rPr>
          <w:sz w:val="20"/>
          <w:szCs w:val="20"/>
          <w:color w:val="auto"/>
        </w:rPr>
      </w:pPr>
      <w:r>
        <w:rPr>
          <w:rFonts w:ascii="Arial" w:cs="Arial" w:eastAsia="Arial" w:hAnsi="Arial"/>
          <w:sz w:val="18"/>
          <w:szCs w:val="18"/>
          <w:color w:val="auto"/>
        </w:rPr>
        <w:t xml:space="preserve">time as the parties find a mutually acceptable path forward on the development of ThermoDox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more fully discussed in Note 10, the Company sold 4.6 million shares of common stock for gross proceeds of $4.8 million under the February 2020 Offering. On March 5, 2020, the Company also terminated the 2019 Aspire Purchase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of the general terms and provisions of the registered capital stock of Celsion Corporation (“Celsion”, “we”, “our”) does not purport to be complete and is subject to, and qualified in its entirety by, reference to our Amended and Restated Certificate of Incorporation (“certificate of incorporation”) our Amended and Restated Bylaws (“bylaws”) each of which is incorporated by reference as an exhibit to our most recent Annual Report on Form 10-K filed with the Securities and Exchange Commission, and applicable provisions of the Delaware General Corporation Law (the “DGCL”). Our common stock, par value $0.01 per share is registered pursuant to Section 12(b) of the Securities and Exchange Act of 1934 and trades on the Nasdaq Capital Market under the symbol CLSN. The summaries below do not purport to be complete statements of the relevant provisions of the certificate of incorporation, the bylaws or the DGCL.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112,500,000 shares of common stock, par value $0.01 per share and 100,000 shares of preferred stock, par value $0.01 per share, all of which preferred stock is undesignated.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common stock to be registered hereunder are entitled to one vote for each share held of record on all matters submitted to a vote of stockholders and do not have cumulative voting rights. Subject to any preferential rights of any outstanding preferred stock, holders of common stock are entitled to receive ratably such dividends, if any, as may be declared from time to time by our board of directors out of funds legally available therefor. In the event of a dissolution, liquidation or winding-up of the Company, holders of common stock are entitled to share ratably in all assets remaining after payment of liabilities and any preferential rights of any outstanding preferred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common stock have no preemptive or conversion rights or other subscription rights. There are no redemption or sinking fund provisions applicable to our common stock. All outstanding shares of common stock are fully paid and non-assessable. The rights, preferences and privileges of the holders of common stock are subject to, and may be adversely affected by, the rights of the holders of shares of any series of preferred stock which may be designated and issued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Listing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exchange listing for our common stock is NASDAQ Capital Market located at 151 W. 42nd Street, New York City, NY, 10036. NASDAQ’s phone number is (212) 401-8700.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(AST), located at 6201 15th Avenue, Brooklyn, New York 11219. AST’s phone number is (800) 937-5449.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our certificate of incorporation, our board of directors has the authority, without further action by the stockholders (unless such stockholder action is required by applicable law or NASDAQ rules), to designate and issue shares of preferred stock in one or more series, to establish from time to time the number of shares to be included in each such series, to fix the designations, powers (including voting), privileges, preferences and relative participating, optional or other rights, if any, of the shares of each such series and the qualifications, limitations or restrictions thereof and to increase or decrease the number of shares of any such series, but not below the number of shares of such series then outstanding.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fix the designations, powers (including voting), privileges, preferences and relative participating, optional or other rights, if any,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188"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or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line="182" w:lineRule="auto"/>
        <w:tabs>
          <w:tab w:leader="none" w:pos="980" w:val="left"/>
        </w:tabs>
        <w:numPr>
          <w:ilvl w:val="0"/>
          <w:numId w:val="47"/>
        </w:numPr>
        <w:rPr>
          <w:rFonts w:ascii="Arial" w:cs="Arial" w:eastAsia="Arial" w:hAnsi="Arial"/>
          <w:sz w:val="34"/>
          <w:szCs w:val="34"/>
          <w:color w:val="auto"/>
          <w:vertAlign w:val="subscript"/>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203" w:lineRule="exact"/>
        <w:rPr>
          <w:rFonts w:ascii="Arial" w:cs="Arial" w:eastAsia="Arial" w:hAnsi="Arial"/>
          <w:sz w:val="34"/>
          <w:szCs w:val="34"/>
          <w:color w:val="auto"/>
          <w:vertAlign w:val="subscript"/>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or exchangeable for other securities and, if applicable, the conversion price, or how it will be calculated, and the conversion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liability as to further calls or to assessment by the Company,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spacing w:after="0" w:line="279" w:lineRule="auto"/>
        <w:rPr>
          <w:sz w:val="20"/>
          <w:szCs w:val="20"/>
          <w:color w:val="auto"/>
        </w:rPr>
      </w:pPr>
      <w:r>
        <w:rPr>
          <w:rFonts w:ascii="Arial" w:cs="Arial" w:eastAsia="Arial" w:hAnsi="Arial"/>
          <w:sz w:val="17"/>
          <w:szCs w:val="17"/>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provides otherwise, the number of authorized shares of the class or the powers, preferences or special rights of the class or series so as to adversely affect the class or series, as the case may be. This right is in addition to any voting rights that may be provided in the applicable certificate of designation.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or other securities. Preferred stock could be issued quickly with terms designed to delay or prevent a change in control of our company or make removal of management more difficult. Additionally, the issuance of preferred stock may have the effect of decreasing the market price of our common stock.</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Anti-Takeover Considerations and Special Provisions of Our Certificate of Incorporation, Our Bylaws and the Delaware General Corporation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provisions of our certificate of incorporation and bylaws concern matters of corporate governance and the rights of our stockholders. Provisions that grant our board of directors the ability to issue shares of preferred stock and to set the voting rights, preferences and other terms thereof may discourage takeover attempts that are not first approved by our board of directors, including takeovers that may be considered by some stockholders to be in their best interests, such as those attempts that might result in a premium over the market price for the shares held by stockholders. Certain provisions could delay or impede the removal of incumbent directors even if such removal would be beneficial to our stockholders, such as the classification of our board of directors and the lack of cumulative voting.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board of directors has the power to retain and discharge our officers, these provisions could also make it more difficult for existing stockholders or another party to effect a change in management.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provisions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also could discourage or make more difficult a merger, tender offer or proxy contest, even if they could be favorable to the interests of stockholders, and could potentially depress the market price of our common stock. Our board of directors believes that these provisions are appropriate to protect our interests and the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Board; No Cumulative Voting.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and bylaws provide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representing a majority of the shares of common stock outstanding will be able to elect all of our directors due to be elected at each annual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Meetings of and Actions by Stockholders.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provide that annual meetings of our stockholders may take place at the time and place designated by our board of directors. A special meeting of our stockholders may be called at any time by our board of directors, the chairman of our board of directors or the president. Our bylaws provide that (i) our board of directors can fix separate record dates for determining stockholders entitled to receive notice of a stockholder meeting and for determining stockholders entitled to vote at the meeting; (ii) we may hold a stockholder meeting by means of remote communications; (iii) any stockholder seeking to have the stockholders authorize or take corporate action by written consent shall, by written notice to the secretary of the Company, request that the board fix a record date and the board shall adopt a resolution fixing the record date in all events within ten calendar days after a request is received; and (iv) a written consent of stockholders shall not be effective unless a written consent signed by a sufficient number of stockholders to take such action is received by us within 60 calendar days of the earliest dated written consent received.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by, the secretary of the Company at our principal executive offices not later than the close of business on the 90th calendar day, nor earlier than the close of business on the 120th calendar day in advance of the date specified in the Company’s proxy statement released to stockholders in connection with the previous year’s annual meeting of stockholders. If the date of the annual meeting is more than 30 calendar days before or after such anniversary date, notice by the stockholder to be timely must be so not earlier than the close of business on the 120th calendar day in advance of such date of annual meeting and not later than the close of business on the later of the 90th calendar day in advance of such date of annual meeting or the tenth calendar day following the date on which public announcement of the date of the meeting is made. In no event shall the public announcement of an adjournment or postponement of an annual meeting commence a new time period (or extend any time period) for the giving of an advance notice by any stockholder. Any stockholder that proposes director nominations or other business must be a stockholder of record at the time the advance notice is delivered by such stockholder to us and entitled to vote at the meeting. Our bylaws also specify requirements as to the form and content of a stockholder’s notice. These provisions may preclude stockholders from bringing matters before an annual meeting of stockholders or from making nominations for the election of directors at an annual meeting of stockholders. Unless otherwise required by law, any director nomination or other business shall not be made or transacted if the stockholder (or a qualified representative of the stockholder) does not appear at the meeting to present the director nominee or other proposed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Filling of Board Vacancies.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certificate of incorporation and bylaws provide that the authorized size of our board of directors shall be determined by the board by board resolution from time to time and that our board of directors has the exclusive power to fill any vacancies and newly created directorships resulting from any increase in the authorized number of directors and the stockholders do not have the power to fill such vacancies. Vacancies in our board of directors and newly created directorships resulting from any increase in the authorized number of directors on our board of directors may be filled by a majority of the directors remaining in office, even though that number may be less than a quorum of our board of directors, or by a sole remaining director. A director so elected to fill a vacancy shall serve for the remaining term of the predecessor he or she replaced and until his or her successor is elected and has qualified, or until his or her earlier resignation, removal or death.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Certificate of Incorporation.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may be amended, altered, changed or repealed at a meeting of our stockholders entitled to vote thereon by the affirmative vote of a majority of the outstanding stock entitled to vote thereon and a majority of the outstanding stock of each class entitled to vote thereon as a class, in the manner prescribed by the DGCL.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Bylaws.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may be amended or repealed, or new bylaws may be adopted, by either our board of directors or the affirmative vote of at least 66 2/3 percent of the voting power of our outstanding shares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6"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percent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pursuant to employee stock plans in which employee participants do not have the right to determine confidentially whether shares held subject to the plan will be tendered in a tender or exchange offer; and</w:t>
      </w:r>
    </w:p>
    <w:p>
      <w:pPr>
        <w:spacing w:after="0" w:line="17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percent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lease, transfer, pledge or other disposition of ten percent or more of the assets of the corporation to or with the interested stockholder;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percent or more of the outstanding voting stock of the 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Celsion Corporation</w:t>
            </w:r>
          </w:p>
        </w:tc>
        <w:tc>
          <w:tcPr>
            <w:tcW w:w="550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CLSN Laboratories,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REGISTERED INDEPENDENT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of Celsion Corporation on Form S-1 (333-221543, 333-219414, 333-217156, 333-214353 and 333-234603), Form S-3 (Nos. 333-174960, 333-183286, 333-198786, 333-193936, 333-205608, 333-206789 and 333-227236) and on Form S-8 (Nos. 333-139784, 333-145680, 333-183288, 333-207864) of our report dated March 25, 2020, relating to the consolidated financial statements,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of Celsion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of Celsion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Celsion Corporation (the “Company”) for the year ended December 31, 2019, as filed with the Securities and Exchange Commission on or about March 25, 2020 (the “Report”), I, Michael H. Tardugno, President and Chief Executive Officer of the Company, certify, pursuant to 18 U.S.C. § 1350, as adopted pursuant to §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of Celsion Corporation (the “Company”) for the year ended December 31, 2019, as filed with the Securities and Exchange Commission on or about March 25, 2020 (the “Report”), I, Jeffrey W. Church, Executive Vice President and Chief Financial Officer of the Company, certify, pursuant to 18 U.S.C. § 1350, as adopted pursuant to §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March 25, 2020</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upperLetter"/>
      <w:start w:val="35"/>
    </w:lvl>
  </w:abstractNum>
  <w:abstractNum w:abstractNumId="25">
    <w:nsid w:val="51EAD36B"/>
    <w:multiLevelType w:val="hybridMultilevel"/>
    <w:lvl w:ilvl="0">
      <w:lvlJc w:val="left"/>
      <w:lvlText w:val="●"/>
      <w:numFmt w:val="bullet"/>
      <w:start w:val="1"/>
    </w:lvl>
    <w:lvl w:ilvl="1">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Letter"/>
      <w:start w:val="3"/>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lvl w:ilvl="1">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lvl w:ilvl="1">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Roman"/>
      <w:start w:val="3"/>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2020-03-25T15:54:37Z</dcterms:created>
  <dcterms:modified xsi:type="dcterms:W3CDTF">2020-03-25T15:54:37Z</dcterms:modified>
</cp:coreProperties>
</file>