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15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 to _______</w:t>
      </w:r>
    </w:p>
    <w:p>
      <w:pPr>
        <w:spacing w:after="0" w:line="1" w:lineRule="exact"/>
        <w:rPr>
          <w:rFonts w:ascii="Arial" w:cs="Arial" w:eastAsia="Arial" w:hAnsi="Arial"/>
          <w:sz w:val="18"/>
          <w:szCs w:val="18"/>
          <w:b w:val="1"/>
          <w:bCs w:val="1"/>
          <w:color w:val="auto"/>
        </w:rPr>
      </w:pPr>
    </w:p>
    <w:p>
      <w:pPr>
        <w:ind w:left="430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001-15911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tcPr>
          <w:p>
            <w:pPr>
              <w:jc w:val="right"/>
              <w:ind w:right="150"/>
              <w:spacing w:after="0"/>
              <w:rPr>
                <w:sz w:val="20"/>
                <w:szCs w:val="20"/>
                <w:color w:val="auto"/>
              </w:rPr>
            </w:pPr>
            <w:r>
              <w:rPr>
                <w:rFonts w:ascii="Arial" w:cs="Arial" w:eastAsia="Arial" w:hAnsi="Arial"/>
                <w:sz w:val="18"/>
                <w:szCs w:val="18"/>
                <w:b w:val="1"/>
                <w:bCs w:val="1"/>
                <w:color w:val="auto"/>
              </w:rPr>
              <w:t>52-1256615</w:t>
            </w:r>
          </w:p>
        </w:tc>
      </w:tr>
      <w:tr>
        <w:trPr>
          <w:trHeight w:val="216"/>
        </w:trPr>
        <w:tc>
          <w:tcPr>
            <w:tcW w:w="4720" w:type="dxa"/>
            <w:vAlign w:val="bottom"/>
          </w:tcPr>
          <w:p>
            <w:pPr>
              <w:jc w:val="center"/>
              <w:ind w:right="17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670"/>
              <w:spacing w:after="0"/>
              <w:rPr>
                <w:sz w:val="20"/>
                <w:szCs w:val="20"/>
                <w:color w:val="auto"/>
              </w:rPr>
            </w:pPr>
            <w:r>
              <w:rPr>
                <w:rFonts w:ascii="Arial" w:cs="Arial" w:eastAsia="Arial" w:hAnsi="Arial"/>
                <w:sz w:val="18"/>
                <w:szCs w:val="18"/>
                <w:color w:val="auto"/>
                <w:w w:val="92"/>
              </w:rPr>
              <w:t>(I.R.S. Employer</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7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8"/>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rPr>
              <w:t>LAWRENCEVILLE, NJ</w:t>
            </w:r>
          </w:p>
        </w:tc>
        <w:tc>
          <w:tcPr>
            <w:tcW w:w="3140" w:type="dxa"/>
            <w:vAlign w:val="bottom"/>
          </w:tcPr>
          <w:p>
            <w:pPr>
              <w:jc w:val="right"/>
              <w:ind w:right="350"/>
              <w:spacing w:after="0"/>
              <w:rPr>
                <w:sz w:val="20"/>
                <w:szCs w:val="20"/>
                <w:color w:val="auto"/>
              </w:rPr>
            </w:pPr>
            <w:r>
              <w:rPr>
                <w:rFonts w:ascii="Arial" w:cs="Arial" w:eastAsia="Arial" w:hAnsi="Arial"/>
                <w:sz w:val="18"/>
                <w:szCs w:val="18"/>
                <w:b w:val="1"/>
                <w:bCs w:val="1"/>
                <w:color w:val="auto"/>
              </w:rPr>
              <w:t>08648</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896-9100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CLSN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b w:val="1"/>
          <w:bCs w:val="1"/>
          <w:color w:val="auto"/>
        </w:rPr>
        <w:t>X</w:t>
      </w:r>
      <w:r>
        <w:rPr>
          <w:rFonts w:ascii="Arial" w:cs="Arial" w:eastAsia="Arial" w:hAnsi="Arial"/>
          <w:sz w:val="18"/>
          <w:szCs w:val="18"/>
          <w:color w:val="auto"/>
        </w:rPr>
        <w:t>]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458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1300" w:type="dxa"/>
            <w:vAlign w:val="bottom"/>
          </w:tcPr>
          <w:p>
            <w:pPr>
              <w:ind w:left="1040"/>
              <w:spacing w:after="0"/>
              <w:rPr>
                <w:sz w:val="20"/>
                <w:szCs w:val="20"/>
                <w:color w:val="auto"/>
              </w:rPr>
            </w:pPr>
            <w:r>
              <w:rPr>
                <w:rFonts w:ascii="Arial" w:cs="Arial" w:eastAsia="Arial" w:hAnsi="Arial"/>
                <w:sz w:val="18"/>
                <w:szCs w:val="18"/>
                <w:color w:val="auto"/>
              </w:rPr>
              <w:t>[ ]</w:t>
            </w:r>
          </w:p>
        </w:tc>
      </w:tr>
      <w:tr>
        <w:trPr>
          <w:trHeight w:val="220"/>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4580" w:type="dxa"/>
            <w:vAlign w:val="bottom"/>
          </w:tcPr>
          <w:p>
            <w:pPr>
              <w:ind w:left="1480"/>
              <w:spacing w:after="0"/>
              <w:rPr>
                <w:sz w:val="20"/>
                <w:szCs w:val="20"/>
                <w:color w:val="auto"/>
              </w:rPr>
            </w:pPr>
            <w:r>
              <w:rPr>
                <w:rFonts w:ascii="Arial" w:cs="Arial" w:eastAsia="Arial" w:hAnsi="Arial"/>
                <w:sz w:val="18"/>
                <w:szCs w:val="18"/>
                <w:color w:val="auto"/>
              </w:rPr>
              <w:t>Smaller Reporting Company</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p>
        </w:tc>
      </w:tr>
      <w:tr>
        <w:trPr>
          <w:trHeight w:val="230"/>
        </w:trPr>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580" w:type="dxa"/>
            <w:vAlign w:val="bottom"/>
          </w:tcPr>
          <w:p>
            <w:pPr>
              <w:ind w:left="1480"/>
              <w:spacing w:after="0"/>
              <w:rPr>
                <w:sz w:val="20"/>
                <w:szCs w:val="20"/>
                <w:color w:val="auto"/>
              </w:rPr>
            </w:pPr>
            <w:r>
              <w:rPr>
                <w:rFonts w:ascii="Arial" w:cs="Arial" w:eastAsia="Arial" w:hAnsi="Arial"/>
                <w:sz w:val="18"/>
                <w:szCs w:val="18"/>
                <w:color w:val="auto"/>
              </w:rPr>
              <w:t>Emerging Growth Company</w:t>
            </w:r>
          </w:p>
        </w:tc>
        <w:tc>
          <w:tcPr>
            <w:tcW w:w="1300" w:type="dxa"/>
            <w:vAlign w:val="bottom"/>
          </w:tcPr>
          <w:p>
            <w:pPr>
              <w:ind w:left="1040"/>
              <w:spacing w:after="0"/>
              <w:rPr>
                <w:sz w:val="20"/>
                <w:szCs w:val="20"/>
                <w:color w:val="auto"/>
              </w:rPr>
            </w:pPr>
            <w:r>
              <w:rPr>
                <w:rFonts w:ascii="Arial" w:cs="Arial" w:eastAsia="Arial" w:hAnsi="Arial"/>
                <w:sz w:val="18"/>
                <w:szCs w:val="18"/>
                <w:color w:val="auto"/>
              </w:rPr>
              <w:t>[ ]</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ectPr>
          <w:pgSz w:w="11900" w:h="16838" w:orient="portrait"/>
          <w:cols w:equalWidth="0" w:num="1">
            <w:col w:w="11240"/>
          </w:cols>
          <w:pgMar w:left="320" w:top="746" w:right="339" w:bottom="0" w:gutter="0" w:footer="0" w:header="0"/>
        </w:sectPr>
      </w:pPr>
    </w:p>
    <w:bookmarkStart w:id="1" w:name="page2"/>
    <w:bookmarkEnd w:id="1"/>
    <w:p>
      <w:pPr>
        <w:ind w:right="1640"/>
        <w:spacing w:after="0" w:line="277" w:lineRule="auto"/>
        <w:rPr>
          <w:sz w:val="20"/>
          <w:szCs w:val="20"/>
          <w:color w:val="auto"/>
        </w:rPr>
      </w:pPr>
      <w:r>
        <w:rPr>
          <w:rFonts w:ascii="Arial" w:cs="Arial" w:eastAsia="Arial" w:hAnsi="Arial"/>
          <w:sz w:val="18"/>
          <w:szCs w:val="18"/>
          <w:color w:val="auto"/>
        </w:rPr>
        <w:t>Indicate by check mark whether the Registrant is a shell company (as defined in Rule 12b-2 of the Securities Exchange Act of 1934). Yes [ ] No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aggregate market value of the common stock held by non-affiliates of the Registrant was approximately $121.8 million as of June 30, 2020 (the last business day of the Registrant’s most recently completed second fiscal quarter) based on the closing sale price of $3.72 for the Registrant’s common stock on that date as reported by The Nasdaq Capital Market (“NASDAQ”). For purposes of this calculation, shares of common stock held by directors, officers and stockholders who own greater than 10% of the Registrant’s outstanding stock at June 30, 2020 were excluded. This determination of executive officers and directors as affiliates is not necessarily a conclusive determination for any other purpose.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March 18, 2021, 75,011,774 shares of the Registrant’s common stock were issued and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20" w:type="dxa"/>
            <w:vAlign w:val="bottom"/>
            <w:gridSpan w:val="6"/>
          </w:tcPr>
          <w:p>
            <w:pPr>
              <w:jc w:val="center"/>
              <w:ind w:right="1600"/>
              <w:spacing w:after="0"/>
              <w:rPr>
                <w:sz w:val="20"/>
                <w:szCs w:val="20"/>
                <w:color w:val="auto"/>
              </w:rPr>
            </w:pPr>
            <w:r>
              <w:rPr>
                <w:rFonts w:ascii="Arial" w:cs="Arial" w:eastAsia="Arial" w:hAnsi="Arial"/>
                <w:sz w:val="18"/>
                <w:szCs w:val="18"/>
                <w:b w:val="1"/>
                <w:bCs w:val="1"/>
                <w:color w:val="auto"/>
                <w:w w:val="99"/>
              </w:rPr>
              <w:t>CELSION CORPORATION</w:t>
            </w:r>
          </w:p>
        </w:tc>
        <w:tc>
          <w:tcPr>
            <w:tcW w:w="24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rPr>
              <w:t>FORM 10-K</w:t>
            </w:r>
          </w:p>
        </w:tc>
        <w:tc>
          <w:tcPr>
            <w:tcW w:w="246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2460" w:type="dxa"/>
            <w:vAlign w:val="bottom"/>
          </w:tcPr>
          <w:p>
            <w:pPr>
              <w:spacing w:after="0"/>
              <w:rPr>
                <w:sz w:val="20"/>
                <w:szCs w:val="20"/>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780" w:type="dxa"/>
            <w:vAlign w:val="bottom"/>
            <w:gridSpan w:val="2"/>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76"/>
        </w:trPr>
        <w:tc>
          <w:tcPr>
            <w:tcW w:w="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000" w:type="dxa"/>
            <w:vAlign w:val="bottom"/>
            <w:gridSpan w:val="3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OVERVIEW</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IMMUNO-ONCOLOGY PROGRAM</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THERAPLAS Technology Platform</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Ovarian Cancer Overview</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GEN-1 Immunotherapy</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OVATION I Study</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OVATION 2 Study</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PLACCINE DNA VACCINE TECHNOLOGY PLATFORM</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COVID-19 Vaccine Overview</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Our Next Generation Vaccine Initiative</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THERMODOX® DIRECTED CHEMOTHERAPY</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THERMODOX® for the Treatment of Primary Liver Cancer</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Primary Liver Cancer Overview</w:t>
              </w:r>
            </w:hyperlink>
          </w:p>
        </w:tc>
        <w:tc>
          <w:tcPr>
            <w:tcW w:w="2460" w:type="dxa"/>
            <w:vAlign w:val="bottom"/>
            <w:shd w:val="clear" w:color="auto" w:fill="CCEEFF"/>
          </w:tcPr>
          <w:p>
            <w:pPr>
              <w:jc w:val="center"/>
              <w:ind w:left="1730"/>
              <w:spacing w:after="0" w:line="176" w:lineRule="exact"/>
              <w:rPr>
                <w:sz w:val="20"/>
                <w:szCs w:val="20"/>
                <w:color w:val="auto"/>
              </w:rPr>
            </w:pPr>
            <w:r>
              <w:rPr>
                <w:rFonts w:ascii="Arial" w:cs="Arial" w:eastAsia="Arial" w:hAnsi="Arial"/>
                <w:sz w:val="18"/>
                <w:szCs w:val="18"/>
                <w:color w:val="auto"/>
                <w:w w:val="79"/>
              </w:rPr>
              <w:t>9</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Celsion’s Approach</w:t>
              </w:r>
            </w:hyperlink>
          </w:p>
        </w:tc>
        <w:tc>
          <w:tcPr>
            <w:tcW w:w="2460" w:type="dxa"/>
            <w:vAlign w:val="bottom"/>
          </w:tcPr>
          <w:p>
            <w:pPr>
              <w:jc w:val="center"/>
              <w:ind w:left="173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OPTIMA Study</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10</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Investigator-Sponsored Studies with ThermoDox®</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BUSINESS STRATEGY AND DEVELOPMENT PLAN</w:t>
              </w:r>
            </w:hyperlink>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13</w:t>
            </w: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RESEARCH AND DEVELOPMENT EXPENDITURES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GOVERNMENT REGULATION</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14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MANUFACTURING AND SUPPLY</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SALES AND MARKETING</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PRODUCT LIABILITY AND INSURANCE</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COMPETITION</w:t>
              </w:r>
            </w:hyperlink>
          </w:p>
        </w:tc>
        <w:tc>
          <w:tcPr>
            <w:tcW w:w="6780" w:type="dxa"/>
            <w:vAlign w:val="bottom"/>
            <w:tcBorders>
              <w:bottom w:val="single" w:sz="8" w:color="CCEEFF"/>
            </w:tcBorders>
            <w:gridSpan w:val="29"/>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27</w:t>
            </w: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GEN-1</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ThermoDox ®</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INTELLECTUAL PROPERTY</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Patents and Proprietary Rights</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EMPLOYEES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0" w:type="dxa"/>
            <w:vAlign w:val="bottom"/>
            <w:gridSpan w:val="3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COMPANY INFORMATION</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3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AVAILABLE INFORMATION</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29</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RECENT EVENTS</w:t>
              </w:r>
            </w:hyperlink>
          </w:p>
        </w:tc>
        <w:tc>
          <w:tcPr>
            <w:tcW w:w="6560" w:type="dxa"/>
            <w:vAlign w:val="bottom"/>
            <w:tcBorders>
              <w:bottom w:val="single" w:sz="8" w:color="CCEEFF"/>
            </w:tcBorders>
            <w:gridSpan w:val="26"/>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29</w:t>
            </w:r>
          </w:p>
        </w:tc>
      </w:tr>
      <w:tr>
        <w:trPr>
          <w:trHeight w:val="175"/>
        </w:trPr>
        <w:tc>
          <w:tcPr>
            <w:tcW w:w="8780" w:type="dxa"/>
            <w:vAlign w:val="bottom"/>
            <w:gridSpan w:val="38"/>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33">
              <w:r>
                <w:rPr>
                  <w:rFonts w:ascii="Arial" w:cs="Arial" w:eastAsia="Arial" w:hAnsi="Arial"/>
                  <w:sz w:val="18"/>
                  <w:szCs w:val="18"/>
                  <w:color w:val="0000EE"/>
                </w:rPr>
                <w:t>RISK FACTORS</w:t>
              </w:r>
            </w:hyperlink>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29</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780" w:type="dxa"/>
            <w:vAlign w:val="bottom"/>
            <w:gridSpan w:val="38"/>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1B. </w:t>
            </w:r>
            <w:hyperlink w:anchor="page58">
              <w:r>
                <w:rPr>
                  <w:rFonts w:ascii="Arial" w:cs="Arial" w:eastAsia="Arial" w:hAnsi="Arial"/>
                  <w:sz w:val="18"/>
                  <w:szCs w:val="18"/>
                  <w:color w:val="0000EE"/>
                </w:rPr>
                <w:t>UNRESOLVED STAFF COMMENTS</w:t>
              </w:r>
            </w:hyperlink>
          </w:p>
        </w:tc>
        <w:tc>
          <w:tcPr>
            <w:tcW w:w="2460" w:type="dxa"/>
            <w:vAlign w:val="bottom"/>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54</w:t>
            </w:r>
          </w:p>
        </w:tc>
      </w:tr>
      <w:tr>
        <w:trPr>
          <w:trHeight w:val="175"/>
        </w:trPr>
        <w:tc>
          <w:tcPr>
            <w:tcW w:w="7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2.</w:t>
            </w:r>
          </w:p>
        </w:tc>
        <w:tc>
          <w:tcPr>
            <w:tcW w:w="282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PROPERTIES</w:t>
              </w:r>
            </w:hyperlink>
          </w:p>
        </w:tc>
        <w:tc>
          <w:tcPr>
            <w:tcW w:w="5180" w:type="dxa"/>
            <w:vAlign w:val="bottom"/>
            <w:tcBorders>
              <w:top w:val="single" w:sz="8" w:color="CCEEFF"/>
            </w:tcBorders>
            <w:gridSpan w:val="9"/>
          </w:tcPr>
          <w:p>
            <w:pPr>
              <w:spacing w:after="0"/>
              <w:rPr>
                <w:sz w:val="15"/>
                <w:szCs w:val="15"/>
                <w:color w:val="auto"/>
              </w:rPr>
            </w:pPr>
          </w:p>
        </w:tc>
        <w:tc>
          <w:tcPr>
            <w:tcW w:w="2460" w:type="dxa"/>
            <w:vAlign w:val="bottom"/>
            <w:tcBorders>
              <w:top w:val="single" w:sz="8" w:color="CCEEFF"/>
            </w:tcBorders>
          </w:tcPr>
          <w:p>
            <w:pPr>
              <w:jc w:val="center"/>
              <w:ind w:left="1710"/>
              <w:spacing w:after="0" w:line="176" w:lineRule="exact"/>
              <w:rPr>
                <w:sz w:val="20"/>
                <w:szCs w:val="20"/>
                <w:color w:val="auto"/>
              </w:rPr>
            </w:pPr>
            <w:r>
              <w:rPr>
                <w:rFonts w:ascii="Arial" w:cs="Arial" w:eastAsia="Arial" w:hAnsi="Arial"/>
                <w:sz w:val="18"/>
                <w:szCs w:val="18"/>
                <w:color w:val="auto"/>
                <w:w w:val="89"/>
              </w:rPr>
              <w:t>54</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LEGAL PROCEEDINGS</w:t>
              </w:r>
            </w:hyperlink>
          </w:p>
        </w:tc>
        <w:tc>
          <w:tcPr>
            <w:tcW w:w="6120" w:type="dxa"/>
            <w:vAlign w:val="bottom"/>
            <w:tcBorders>
              <w:bottom w:val="single" w:sz="8" w:color="CCEEFF"/>
            </w:tcBorders>
            <w:gridSpan w:val="2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Arial" w:cs="Arial" w:eastAsia="Arial" w:hAnsi="Arial"/>
                <w:sz w:val="18"/>
                <w:szCs w:val="18"/>
                <w:color w:val="auto"/>
                <w:w w:val="89"/>
              </w:rPr>
              <w:t>55</w:t>
            </w:r>
          </w:p>
        </w:tc>
      </w:tr>
      <w:tr>
        <w:trPr>
          <w:trHeight w:val="175"/>
        </w:trPr>
        <w:tc>
          <w:tcPr>
            <w:tcW w:w="78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EE"/>
            </w:tcBorders>
            <w:gridSpan w:val="23"/>
          </w:tcPr>
          <w:p>
            <w:pPr>
              <w:spacing w:after="0" w:line="17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MINE SAFETY DISCLOSURES</w:t>
              </w:r>
            </w:hyperlink>
          </w:p>
        </w:tc>
        <w:tc>
          <w:tcPr>
            <w:tcW w:w="5560" w:type="dxa"/>
            <w:vAlign w:val="bottom"/>
            <w:gridSpan w:val="13"/>
          </w:tcPr>
          <w:p>
            <w:pPr>
              <w:spacing w:after="0"/>
              <w:rPr>
                <w:sz w:val="15"/>
                <w:szCs w:val="15"/>
                <w:color w:val="auto"/>
              </w:rPr>
            </w:pPr>
          </w:p>
        </w:tc>
        <w:tc>
          <w:tcPr>
            <w:tcW w:w="2460" w:type="dxa"/>
            <w:vAlign w:val="bottom"/>
          </w:tcPr>
          <w:p>
            <w:pPr>
              <w:jc w:val="center"/>
              <w:ind w:left="1710"/>
              <w:spacing w:after="0" w:line="176" w:lineRule="exact"/>
              <w:rPr>
                <w:sz w:val="20"/>
                <w:szCs w:val="20"/>
                <w:color w:val="auto"/>
              </w:rPr>
            </w:pPr>
            <w:r>
              <w:rPr>
                <w:rFonts w:ascii="Arial" w:cs="Arial" w:eastAsia="Arial" w:hAnsi="Arial"/>
                <w:sz w:val="18"/>
                <w:szCs w:val="18"/>
                <w:color w:val="auto"/>
                <w:w w:val="89"/>
              </w:rPr>
              <w:t>55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gridSpan w:val="11"/>
          </w:tcPr>
          <w:p>
            <w:pPr>
              <w:jc w:val="center"/>
              <w:ind w:right="3320"/>
              <w:spacing w:after="0"/>
              <w:rPr>
                <w:sz w:val="20"/>
                <w:szCs w:val="20"/>
                <w:color w:val="auto"/>
              </w:rPr>
            </w:pPr>
            <w:r>
              <w:rPr>
                <w:rFonts w:ascii="Arial" w:cs="Arial" w:eastAsia="Arial" w:hAnsi="Arial"/>
                <w:sz w:val="18"/>
                <w:szCs w:val="18"/>
                <w:b w:val="1"/>
                <w:bCs w:val="1"/>
                <w:color w:val="auto"/>
                <w:w w:val="99"/>
              </w:rPr>
              <w:t>CELSION CORPORATION</w:t>
            </w: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60" w:type="dxa"/>
            <w:vAlign w:val="bottom"/>
            <w:gridSpan w:val="9"/>
          </w:tcPr>
          <w:p>
            <w:pPr>
              <w:jc w:val="center"/>
              <w:ind w:right="4000"/>
              <w:spacing w:after="0"/>
              <w:rPr>
                <w:sz w:val="20"/>
                <w:szCs w:val="20"/>
                <w:color w:val="auto"/>
              </w:rPr>
            </w:pPr>
            <w:r>
              <w:rPr>
                <w:rFonts w:ascii="Arial" w:cs="Arial" w:eastAsia="Arial" w:hAnsi="Arial"/>
                <w:sz w:val="18"/>
                <w:szCs w:val="18"/>
                <w:b w:val="1"/>
                <w:bCs w:val="1"/>
                <w:color w:val="auto"/>
              </w:rPr>
              <w:t>FORM 10-K</w:t>
            </w:r>
          </w:p>
        </w:tc>
        <w:tc>
          <w:tcPr>
            <w:tcW w:w="7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60" w:type="dxa"/>
            <w:vAlign w:val="bottom"/>
            <w:gridSpan w:val="11"/>
          </w:tcPr>
          <w:p>
            <w:pPr>
              <w:jc w:val="center"/>
              <w:ind w:right="3320"/>
              <w:spacing w:after="0"/>
              <w:rPr>
                <w:sz w:val="20"/>
                <w:szCs w:val="20"/>
                <w:color w:val="auto"/>
              </w:rPr>
            </w:pPr>
            <w:r>
              <w:rPr>
                <w:rFonts w:ascii="Arial" w:cs="Arial" w:eastAsia="Arial" w:hAnsi="Arial"/>
                <w:sz w:val="18"/>
                <w:szCs w:val="18"/>
                <w:b w:val="1"/>
                <w:bCs w:val="1"/>
                <w:color w:val="auto"/>
                <w:w w:val="95"/>
              </w:rPr>
              <w:t>TABLE OF CONTENTS (continued)</w:t>
            </w:r>
          </w:p>
        </w:tc>
        <w:tc>
          <w:tcPr>
            <w:tcW w:w="7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78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w:t>
              </w:r>
            </w:hyperlink>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78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8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MARKET FOR REGISTRANT’S COMMON EQUITY, RELATED STOCKHOLDER MATTERS AND ISSUER PURCHASES OF</w:t>
              </w:r>
            </w:hyperlink>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EQUITY SECURITIES</w:t>
              </w:r>
            </w:hyperlink>
          </w:p>
        </w:tc>
        <w:tc>
          <w:tcPr>
            <w:tcW w:w="7940" w:type="dxa"/>
            <w:vAlign w:val="bottom"/>
            <w:tcBorders>
              <w:bottom w:val="single" w:sz="8" w:color="CCEEFF"/>
            </w:tcBorders>
            <w:gridSpan w:val="21"/>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89"/>
              </w:rPr>
              <w:t>56</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Market for Our Common Stock</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Record Holders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Dividend Policy</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Securities Authorized for Issuance Under Equity Compensation Plans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Unregistered Shares of Equity Securities</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Issuer Purchases of Equity Securities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6.</w:t>
            </w:r>
          </w:p>
        </w:tc>
        <w:tc>
          <w:tcPr>
            <w:tcW w:w="9680" w:type="dxa"/>
            <w:vAlign w:val="bottom"/>
            <w:gridSpan w:val="31"/>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56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680" w:type="dxa"/>
            <w:vAlign w:val="bottom"/>
            <w:gridSpan w:val="31"/>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57</w:t>
            </w:r>
          </w:p>
        </w:tc>
      </w:tr>
      <w:tr>
        <w:trPr>
          <w:trHeight w:val="176"/>
        </w:trPr>
        <w:tc>
          <w:tcPr>
            <w:tcW w:w="6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900" w:type="dxa"/>
            <w:vAlign w:val="bottom"/>
            <w:tcBorders>
              <w:top w:val="single" w:sz="8" w:color="0000EE"/>
            </w:tcBorders>
            <w:gridSpan w:val="29"/>
          </w:tcPr>
          <w:p>
            <w:pPr>
              <w:ind w:left="1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Overview</w:t>
              </w:r>
            </w:hyperlink>
          </w:p>
        </w:tc>
        <w:tc>
          <w:tcPr>
            <w:tcW w:w="78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89"/>
              </w:rPr>
              <w:t>57</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Business Plan</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68</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Financing Overview</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Critical Accounting Policies and Estimates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73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Results of Operations</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74</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Financial Condition, Liquidity and Capital Resources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76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ind w:left="18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Off-Balance Sheet Arrangements</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77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5"/>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7A. </w:t>
            </w:r>
            <w:hyperlink w:anchor="page81">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77</w:t>
            </w:r>
          </w:p>
        </w:tc>
      </w:tr>
      <w:tr>
        <w:trPr>
          <w:trHeight w:val="175"/>
        </w:trPr>
        <w:tc>
          <w:tcPr>
            <w:tcW w:w="78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8.</w:t>
            </w:r>
          </w:p>
        </w:tc>
        <w:tc>
          <w:tcPr>
            <w:tcW w:w="6140" w:type="dxa"/>
            <w:vAlign w:val="bottom"/>
            <w:tcBorders>
              <w:top w:val="single" w:sz="8" w:color="0000EE"/>
            </w:tcBorders>
            <w:gridSpan w:val="27"/>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FINANCIAL STATEMENTS AND SUPPLEMENTARY DATA</w:t>
              </w:r>
            </w:hyperlink>
          </w:p>
        </w:tc>
        <w:tc>
          <w:tcPr>
            <w:tcW w:w="3540" w:type="dxa"/>
            <w:vAlign w:val="bottom"/>
            <w:tcBorders>
              <w:top w:val="single" w:sz="8" w:color="CCEEFF"/>
            </w:tcBorders>
            <w:gridSpan w:val="4"/>
          </w:tcPr>
          <w:p>
            <w:pPr>
              <w:spacing w:after="0"/>
              <w:rPr>
                <w:sz w:val="15"/>
                <w:szCs w:val="15"/>
                <w:color w:val="auto"/>
              </w:rPr>
            </w:pPr>
          </w:p>
        </w:tc>
        <w:tc>
          <w:tcPr>
            <w:tcW w:w="78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89"/>
              </w:rPr>
              <w:t>78</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680" w:type="dxa"/>
            <w:vAlign w:val="bottom"/>
            <w:gridSpan w:val="31"/>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78</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60" w:type="dxa"/>
            <w:vAlign w:val="bottom"/>
            <w:gridSpan w:val="35"/>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82">
              <w:r>
                <w:rPr>
                  <w:rFonts w:ascii="Arial" w:cs="Arial" w:eastAsia="Arial" w:hAnsi="Arial"/>
                  <w:sz w:val="18"/>
                  <w:szCs w:val="18"/>
                  <w:color w:val="0000EE"/>
                </w:rPr>
                <w:t>CONTROLS AND PROCEDURES</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78</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5"/>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9B. </w:t>
            </w:r>
            <w:hyperlink w:anchor="page82">
              <w:r>
                <w:rPr>
                  <w:rFonts w:ascii="Arial" w:cs="Arial" w:eastAsia="Arial" w:hAnsi="Arial"/>
                  <w:sz w:val="18"/>
                  <w:szCs w:val="18"/>
                  <w:color w:val="0000EE"/>
                </w:rPr>
                <w:t>OTHER INFORMATION</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78</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8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DIRECTORS, EXECUTIVE OFFICERS AND CORPORATE GOVERNANCE</w:t>
              </w:r>
            </w:hyperlink>
          </w:p>
        </w:tc>
        <w:tc>
          <w:tcPr>
            <w:tcW w:w="388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9"/>
              </w:rPr>
              <w:t>79</w:t>
            </w: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11.</w:t>
            </w:r>
          </w:p>
        </w:tc>
        <w:tc>
          <w:tcPr>
            <w:tcW w:w="9680" w:type="dxa"/>
            <w:vAlign w:val="bottom"/>
            <w:gridSpan w:val="31"/>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7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9"/>
              </w:rPr>
              <w:t>85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8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68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SECURITY OWNERSHIP OF CERTAIN BENEFICIAL OWNERS AND MANAGEMENT AND RELATED STOCKHOLDER</w:t>
              </w:r>
            </w:hyperlink>
          </w:p>
        </w:tc>
        <w:tc>
          <w:tcPr>
            <w:tcW w:w="780" w:type="dxa"/>
            <w:vAlign w:val="bottom"/>
            <w:tcBorders>
              <w:bottom w:val="single" w:sz="8" w:color="CCEEFF"/>
            </w:tcBorders>
            <w:shd w:val="clear" w:color="auto" w:fill="CCEEFF"/>
          </w:tcPr>
          <w:p>
            <w:pPr>
              <w:spacing w:after="0"/>
              <w:rPr>
                <w:sz w:val="15"/>
                <w:szCs w:val="15"/>
                <w:color w:val="auto"/>
              </w:rPr>
            </w:pPr>
          </w:p>
        </w:tc>
      </w:tr>
      <w:tr>
        <w:trPr>
          <w:trHeight w:val="216"/>
        </w:trPr>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MATTERS</w:t>
              </w:r>
            </w:hyperlink>
          </w:p>
        </w:tc>
        <w:tc>
          <w:tcPr>
            <w:tcW w:w="8860" w:type="dxa"/>
            <w:vAlign w:val="bottom"/>
            <w:tcBorders>
              <w:bottom w:val="single" w:sz="8" w:color="CCEEFF"/>
            </w:tcBorders>
            <w:gridSpan w:val="28"/>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3"/>
              </w:rPr>
              <w:t>102</w:t>
            </w: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13.</w:t>
            </w:r>
          </w:p>
        </w:tc>
        <w:tc>
          <w:tcPr>
            <w:tcW w:w="9680" w:type="dxa"/>
            <w:vAlign w:val="bottom"/>
            <w:gridSpan w:val="31"/>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7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3"/>
              </w:rPr>
              <w:t>105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680" w:type="dxa"/>
            <w:vAlign w:val="bottom"/>
            <w:gridSpan w:val="31"/>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PRINCIPAL ACCOUNTANT FEES AND SERVICES</w:t>
              </w:r>
            </w:hyperlink>
          </w:p>
        </w:tc>
        <w:tc>
          <w:tcPr>
            <w:tcW w:w="7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3"/>
              </w:rPr>
              <w:t>105</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IV</w:t>
              </w:r>
            </w:hyperlink>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8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44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EXHIBITS AND FINANCIAL STATEMENT SCHEDULES</w:t>
              </w:r>
            </w:hyperlink>
          </w:p>
        </w:tc>
        <w:tc>
          <w:tcPr>
            <w:tcW w:w="524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3"/>
              </w:rPr>
              <w:t>107</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1. FINANCIAL STATEMENTS</w:t>
              </w:r>
            </w:hyperlink>
          </w:p>
        </w:tc>
        <w:tc>
          <w:tcPr>
            <w:tcW w:w="7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3"/>
              </w:rPr>
              <w:t>107</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6"/>
              </w:rPr>
            </w:pPr>
            <w:hyperlink w:anchor="page111">
              <w:r>
                <w:rPr>
                  <w:rFonts w:ascii="Arial" w:cs="Arial" w:eastAsia="Arial" w:hAnsi="Arial"/>
                  <w:sz w:val="18"/>
                  <w:szCs w:val="18"/>
                  <w:color w:val="0000EE"/>
                  <w:w w:val="96"/>
                </w:rPr>
                <w:t>2. FINANCIAL STATEMENT SCHEDULES</w:t>
              </w:r>
            </w:hyperlink>
          </w:p>
        </w:tc>
        <w:tc>
          <w:tcPr>
            <w:tcW w:w="6360" w:type="dxa"/>
            <w:vAlign w:val="bottom"/>
            <w:tcBorders>
              <w:bottom w:val="single" w:sz="8" w:color="CCEEFF"/>
            </w:tcBorders>
            <w:gridSpan w:val="1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3"/>
              </w:rPr>
              <w:t>107</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gridSpan w:val="31"/>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3. EXHIBITS</w:t>
              </w:r>
            </w:hyperlink>
          </w:p>
        </w:tc>
        <w:tc>
          <w:tcPr>
            <w:tcW w:w="7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3"/>
              </w:rPr>
              <w:t>107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680" w:type="dxa"/>
            <w:vAlign w:val="bottom"/>
            <w:gridSpan w:val="31"/>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FORM 10-K SUMMARY</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6"/>
              </w:rPr>
              <w:t>112</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35"/>
            <w:shd w:val="clear" w:color="auto" w:fill="CCEEFF"/>
          </w:tcPr>
          <w:p>
            <w:pPr>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SIGNATURES</w:t>
              </w:r>
            </w:hyperlink>
          </w:p>
        </w:tc>
        <w:tc>
          <w:tcPr>
            <w:tcW w:w="7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6"/>
              </w:rPr>
              <w:t>112</w:t>
            </w:r>
          </w:p>
        </w:tc>
      </w:tr>
      <w:tr>
        <w:trPr>
          <w:trHeight w:val="439"/>
        </w:trPr>
        <w:tc>
          <w:tcPr>
            <w:tcW w:w="6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020" w:type="dxa"/>
            <w:vAlign w:val="bottom"/>
            <w:tcBorders>
              <w:top w:val="single" w:sz="8" w:color="CCEEFF"/>
              <w:bottom w:val="single" w:sz="8" w:color="auto"/>
            </w:tcBorders>
            <w:gridSpan w:val="7"/>
          </w:tcPr>
          <w:p>
            <w:pPr>
              <w:jc w:val="center"/>
              <w:ind w:right="4640"/>
              <w:spacing w:after="0"/>
              <w:rPr>
                <w:sz w:val="20"/>
                <w:szCs w:val="20"/>
                <w:color w:val="auto"/>
              </w:rPr>
            </w:pPr>
            <w:r>
              <w:rPr>
                <w:rFonts w:ascii="Arial" w:cs="Arial" w:eastAsia="Arial" w:hAnsi="Arial"/>
                <w:sz w:val="18"/>
                <w:szCs w:val="18"/>
                <w:color w:val="auto"/>
              </w:rPr>
              <w:t>ii</w:t>
            </w:r>
          </w:p>
        </w:tc>
        <w:tc>
          <w:tcPr>
            <w:tcW w:w="7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Certain of the statements contained in this Annual Report on Form 10-K (this “Annual Report”) are forward-looking and constitute forward-looking statements within the meaning of Section 27A of the Securities Act of 1933, as amended (the “Securities Act”) and Section 21E of the Securities Exchange Act of 1934, as amended (the “Exchange Act”).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“Celsion”, “the Company”, “we”, “us”, or “our” are to Celsion Corporation, a Delaware corporation and its wholly owned subsidiary, CLSN Laboratories, Inc., also a Delaware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Celsion brand and product names, including but not limited to Celsion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ThermoDox</w:t>
      </w:r>
      <w:r>
        <w:rPr>
          <w:rFonts w:ascii="Arial" w:cs="Arial" w:eastAsia="Arial" w:hAnsi="Arial"/>
          <w:sz w:val="28"/>
          <w:szCs w:val="28"/>
          <w:color w:val="auto"/>
          <w:vertAlign w:val="superscript"/>
        </w:rPr>
        <w:t>®</w:t>
      </w:r>
      <w:r>
        <w:rPr>
          <w:rFonts w:ascii="Arial" w:cs="Arial" w:eastAsia="Arial" w:hAnsi="Arial"/>
          <w:sz w:val="17"/>
          <w:szCs w:val="17"/>
          <w:color w:val="auto"/>
        </w:rPr>
        <w:t>, contained in this document are trademarks, registered trademarks or service marks of Celsion Corporation or its subsidiary in the United States (the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OVATION I Study. </w:t>
      </w:r>
      <w:r>
        <w:rPr>
          <w:rFonts w:ascii="Arial" w:cs="Arial" w:eastAsia="Arial" w:hAnsi="Arial"/>
          <w:sz w:val="17"/>
          <w:szCs w:val="17"/>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GEN-1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On March 2, 2019, the Company announced final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tbl>
      <w:tblPr>
        <w:tblLayout w:type="fixed"/>
        <w:tblInd w:w="86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 of</w:t>
            </w:r>
          </w:p>
        </w:tc>
      </w:tr>
      <w:tr>
        <w:trPr>
          <w:trHeight w:val="216"/>
        </w:trPr>
        <w:tc>
          <w:tcPr>
            <w:tcW w:w="5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Patients</w:t>
            </w:r>
          </w:p>
        </w:tc>
      </w:tr>
      <w:tr>
        <w:trPr>
          <w:trHeight w:val="216"/>
        </w:trPr>
        <w:tc>
          <w:tcPr>
            <w:tcW w:w="5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with R0</w:t>
            </w:r>
          </w:p>
        </w:tc>
      </w:tr>
      <w:tr>
        <w:trPr>
          <w:trHeight w:val="237"/>
        </w:trPr>
        <w:tc>
          <w:tcPr>
            <w:tcW w:w="522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Resections</w:t>
            </w:r>
          </w:p>
        </w:tc>
        <w:tc>
          <w:tcPr>
            <w:tcW w:w="160" w:type="dxa"/>
            <w:vAlign w:val="bottom"/>
            <w:tcBorders>
              <w:bottom w:val="single" w:sz="8" w:color="CCEEFF"/>
            </w:tcBorders>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0, 36, 47 mg/m² of GEN-1 plus NACT</w:t>
            </w:r>
          </w:p>
        </w:tc>
        <w:tc>
          <w:tcPr>
            <w:tcW w:w="294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n=12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940" w:type="dxa"/>
            <w:vAlign w:val="bottom"/>
          </w:tcPr>
          <w:p>
            <w:pPr>
              <w:ind w:left="2280"/>
              <w:spacing w:after="0"/>
              <w:rPr>
                <w:sz w:val="20"/>
                <w:szCs w:val="20"/>
                <w:color w:val="auto"/>
              </w:rPr>
            </w:pPr>
            <w:r>
              <w:rPr>
                <w:rFonts w:ascii="Arial" w:cs="Arial" w:eastAsia="Arial" w:hAnsi="Arial"/>
                <w:sz w:val="18"/>
                <w:szCs w:val="18"/>
                <w:color w:val="auto"/>
              </w:rPr>
              <w:t>n=17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OVATION 2 Study with GEN-1 in advanced ovarian cancer. The Company anticipates completing enrollment of up to 110 patients in the second half of 2021.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the Company announced that it has received Fast Track designation from the FDA for GEN-1, its DNA-mediated IL-12 immunotherapy currently in Phase II development for the treatment of advanced ovarian cancer.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25, 2021, the Company provided an update on the OVATION 2 Study. The Company reported that approximately one-third, or 34 patients, of the anticipated 110 patients had been enrolled into the OVATION 2 Study, of which 20 are in the treatment arm and 14 are in the control. Currently, 27 patients have had their interval debulking surgery with the following results:</w:t>
      </w:r>
    </w:p>
    <w:p>
      <w:pPr>
        <w:spacing w:after="0" w:line="184"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of 15, or 80%, of patients treated with GEN-1 had a R0 resection, which indicates a microscopically margin-negative complete resection in which no gross or microscopic tumor remains in the tumor bed.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 of 12 patients, or 58%, of patients in the control arm had an R0 resection.</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The Company further reported that 22 clinical sites in the U.S. and Canada have been initiated, with three more sites expected to be added by the end of the first quarter. Clinical investigators met in early February 2021 in a virtual meeting and expressed excitement about the potential for GEN-1 to treat advanced ovarian cancer and, despite the challenges and earlier delays posed by the COVID-19 pandemic, they remain committed to completing enrollment in the study during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TECHNOLOGY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Celsion’s PLACCINE DNA vaccine technology platform is characterized by a single multi-cistronic DNA plasmid vector expressing multiple pathogen antigens along with a potent immune modifier and delivered with a synthetic delivery system. It is easily adaptable to creating vaccines for a multitude of pathogens, including emerging pathogens leading to pandemics as well as infectious diseases that have yet to be effectively addressed with current vaccine technologies. This flexible vaccine platform is well supported by an already established supply chain to produce any plasmid vector and its assembly into a respective vaccine formulation.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nanoparticles are stable at storage temperatures of 4</w:t>
      </w:r>
      <w:r>
        <w:rPr>
          <w:rFonts w:ascii="Arial" w:cs="Arial" w:eastAsia="Arial" w:hAnsi="Arial"/>
          <w:sz w:val="29"/>
          <w:szCs w:val="29"/>
          <w:color w:val="auto"/>
          <w:vertAlign w:val="superscript"/>
        </w:rPr>
        <w:t>o</w:t>
      </w:r>
      <w:r>
        <w:rPr>
          <w:rFonts w:ascii="Arial" w:cs="Arial" w:eastAsia="Arial" w:hAnsi="Arial"/>
          <w:sz w:val="18"/>
          <w:szCs w:val="18"/>
          <w:color w:val="auto"/>
        </w:rPr>
        <w:t>C to 25</w:t>
      </w:r>
      <w:r>
        <w:rPr>
          <w:rFonts w:ascii="Arial" w:cs="Arial" w:eastAsia="Arial" w:hAnsi="Arial"/>
          <w:sz w:val="29"/>
          <w:szCs w:val="29"/>
          <w:color w:val="auto"/>
          <w:vertAlign w:val="superscript"/>
        </w:rPr>
        <w:t>o</w:t>
      </w:r>
      <w:r>
        <w:rPr>
          <w:rFonts w:ascii="Arial" w:cs="Arial" w:eastAsia="Arial" w:hAnsi="Arial"/>
          <w:sz w:val="18"/>
          <w:szCs w:val="18"/>
          <w:color w:val="auto"/>
        </w:rPr>
        <w:t>C, making vaccines developed on this platform easily suitable for broad world-wide distribution.</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Celsion’s next generation vaccine initiative stands at the confluence of immunotherapy and immunogenicity and envisions delivery, on a single plasmid, multiple SARS-CoV-2 antigens in conjunction with a potent immune modifier, interleukin-12 (IL-12), which directs a TH-1 immune response, stimulates T-cell immunity, and also promises the promotion of humoral immunity (antibody response). While most COVID-19 vaccines in late-stage clinical development are monovalent (S protein antigen only), Celsion has taken this multivalent approach in an effort to generate an even more robust immune response that not only results in a strong neutralizing antibody response, but also a more robust and durable T-cell response.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Celsion’s vaccine candidate approach comprises a single plasmid vector containing the DNA sequence encoding the cytokine IL-12 and multiple SARS-CoV-2 antigens, including S antigen in combination with the membrane (M) or nucleocapsid (N) antigen.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w:t>
      </w:r>
    </w:p>
    <w:p>
      <w:pPr>
        <w:spacing w:after="0" w:line="157" w:lineRule="exact"/>
        <w:rPr>
          <w:sz w:val="20"/>
          <w:szCs w:val="20"/>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While the antibodies against S antigen would prevent virus entry into cells, the M and N antibodies could help virus clearance through antibody-mediated opsonization and phagocytosis. The presentation of multiple antigens on the cell surface of vaccine-injected tissue produces a broad variety of killer T-cells which could potentially produce more efficient viral clearance than a single antigen vaccine.</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IL-12 is an essential regulator of the differentiation, proliferation, and maintenance of T helper 1 (TH-1) cells that generate killer T-cells and memory T-cells against virally infected cells, its simultaneous expression could boost the viral clearance by the vaccine and improve the immune system’s memory against any future exposure of the same virus.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Finally,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along with a potent immune modifier. It is delivered via a synthetic delivery system and has the potential to be easily modified to create vaccines against a multitude of infectious diseases, addressing:</w:t>
      </w:r>
    </w:p>
    <w:p>
      <w:pPr>
        <w:spacing w:after="0" w:line="172" w:lineRule="exact"/>
        <w:rPr>
          <w:sz w:val="20"/>
          <w:szCs w:val="20"/>
          <w:color w:val="auto"/>
        </w:rPr>
      </w:pPr>
    </w:p>
    <w:p>
      <w:pPr>
        <w:ind w:left="6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Enhanced Efficacy</w:t>
      </w:r>
      <w:r>
        <w:rPr>
          <w:rFonts w:ascii="Arial" w:cs="Arial" w:eastAsia="Arial" w:hAnsi="Arial"/>
          <w:sz w:val="18"/>
          <w:szCs w:val="18"/>
          <w:color w:val="auto"/>
        </w:rPr>
        <w:t>: The potent immune modifier IL-12 may improve humoral and cellular responses to viral antigens and can be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plasmid.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can result in durable antigen exposure and a robust vaccine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Primary Liver Cancer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Liver Cancer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Hepatocellular carcinoma (“HCC”) is one of the most common and deadliest forms of cancer worldwide. It ranks as the third most common solid tumor cancer. It is estimated that up to 90% of liver cancer patients will die within five years of diagnosis. The incidence of primary liver cancer is approximately 35,000 cases per year in the U.S., approximately 65,000 cases per year in Europe and is increasing at approximately 2-3% per year worldwide. Global incidence (per 2017 GLOBALCAN statistics) is reported at 755,000 cases. The World Health Organization (the “WHO”) has projected that HCC will be the most prevalent form of cancer by 2030. HCC is commonly diagnosed in patients with longstanding hepatic disease and cirrhosis (primarily due to hepatitis C in the U.S., Japan and Europe and hepatitis B in Asia).</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OPTIMA Study represents an evaluation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jc w:val="both"/>
        <w:spacing w:after="0" w:line="227" w:lineRule="auto"/>
        <w:rPr>
          <w:sz w:val="20"/>
          <w:szCs w:val="20"/>
          <w:color w:val="auto"/>
        </w:rPr>
      </w:pPr>
      <w:r>
        <w:rPr>
          <w:rFonts w:ascii="Arial" w:cs="Arial" w:eastAsia="Arial" w:hAnsi="Arial"/>
          <w:sz w:val="18"/>
          <w:szCs w:val="18"/>
          <w:color w:val="auto"/>
        </w:rPr>
        <w:t>(EU), China and other countries in the Asia-Pacific region and will evaluate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2014, we announced that the FDA provided clearance for the OPTIMA Study, which is a pivotal, double-blind, placebo-controlled Phase</w:t>
      </w:r>
    </w:p>
    <w:p>
      <w:pPr>
        <w:spacing w:after="0" w:line="46" w:lineRule="exact"/>
        <w:rPr>
          <w:sz w:val="20"/>
          <w:szCs w:val="20"/>
          <w:color w:val="auto"/>
        </w:rPr>
      </w:pPr>
    </w:p>
    <w:p>
      <w:pPr>
        <w:jc w:val="both"/>
        <w:ind w:firstLine="8"/>
        <w:spacing w:after="0" w:line="221"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trial of ThermoDox</w:t>
      </w:r>
      <w:r>
        <w:rPr>
          <w:rFonts w:ascii="Arial" w:cs="Arial" w:eastAsia="Arial" w:hAnsi="Arial"/>
          <w:sz w:val="29"/>
          <w:szCs w:val="29"/>
          <w:color w:val="auto"/>
          <w:vertAlign w:val="superscript"/>
        </w:rPr>
        <w:t>®</w:t>
      </w:r>
      <w:r>
        <w:rPr>
          <w:rFonts w:ascii="Arial" w:cs="Arial" w:eastAsia="Arial" w:hAnsi="Arial"/>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Post-hoc data analysis from our earlier Phase III HEAT Study suggests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patients with a single lesion (n=285, 41% of the HEAT Study patients), treatment with a combination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optimized RFA provided an average 54% risk improvement in OS compared to optimized RFA alone. The HR at this analysis is 0.65 (95% CI 0.45 - 0.94) with a p-value of 0.02. Median OS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has been reached which translates into a two-year survival benefit over the optimized RFA group (projected to be</w:t>
      </w:r>
    </w:p>
    <w:p>
      <w:pPr>
        <w:spacing w:after="0" w:line="206" w:lineRule="auto"/>
        <w:rPr>
          <w:sz w:val="20"/>
          <w:szCs w:val="20"/>
          <w:color w:val="auto"/>
        </w:rPr>
      </w:pPr>
      <w:r>
        <w:rPr>
          <w:rFonts w:ascii="Arial" w:cs="Arial" w:eastAsia="Arial" w:hAnsi="Arial"/>
          <w:sz w:val="16"/>
          <w:szCs w:val="16"/>
          <w:color w:val="auto"/>
        </w:rPr>
        <w:t>greater than 80 months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plus optimized RFA group compared to less than 60 months projection for the optimized RFA only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should be viewed with caution since it is based on a retrospective analysis of a subgroup.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conducted additional analyses that further strengthen the evidence for the HEAT Study subgroup.</w:t>
      </w:r>
    </w:p>
    <w:p>
      <w:pPr>
        <w:spacing w:after="0" w:line="225" w:lineRule="exact"/>
        <w:rPr>
          <w:sz w:val="20"/>
          <w:szCs w:val="20"/>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commissioned an independent computational model at the University of South Carolina Medical School. The results unequivocally indicate that longer RFA heating times correlate with significant increases in doxorubicin concentration around the RFA treated tissue.</w:t>
      </w:r>
    </w:p>
    <w:p>
      <w:pPr>
        <w:spacing w:after="0" w:line="146" w:lineRule="exact"/>
        <w:rPr>
          <w:rFonts w:ascii="Arial" w:cs="Arial" w:eastAsia="Arial" w:hAnsi="Arial"/>
          <w:sz w:val="17"/>
          <w:szCs w:val="17"/>
          <w:color w:val="auto"/>
        </w:rPr>
      </w:pPr>
    </w:p>
    <w:p>
      <w:pPr>
        <w:ind w:left="660" w:hanging="328"/>
        <w:spacing w:after="0" w:line="28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we conducted a prospective preclinical study in 22 pigs using two different manufacturers of RFA and human equivalent doses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that clearly support the relationship between increased heating duration and doxorubicin concentrations.</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with the full data set from the Company’s HEAT Study. The analysis evaluated the full data set to determine if there was a correlation between baseline tumor volume and RFA heating time</w:t>
      </w:r>
    </w:p>
    <w:p>
      <w:pPr>
        <w:jc w:val="both"/>
        <w:spacing w:after="0" w:line="219" w:lineRule="auto"/>
        <w:rPr>
          <w:sz w:val="20"/>
          <w:szCs w:val="20"/>
          <w:color w:val="auto"/>
        </w:rPr>
      </w:pPr>
      <w:r>
        <w:rPr>
          <w:rFonts w:ascii="Arial" w:cs="Arial" w:eastAsia="Arial" w:hAnsi="Arial"/>
          <w:sz w:val="17"/>
          <w:szCs w:val="17"/>
          <w:color w:val="auto"/>
        </w:rPr>
        <w:t>(minutes/tumor volume in milliliters), with or without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OS in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RFA alone.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was consistent with the Company’s own results, which defined the optimized RFA procedure as a 45-minute treatment for tumors with a diameter of 3 centimeters. Thus, the NIH analysis lent support to the hypothesis underpinning the OPTIMA Study.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70" w:lineRule="auto"/>
        <w:rPr>
          <w:sz w:val="20"/>
          <w:szCs w:val="20"/>
          <w:color w:val="auto"/>
        </w:rPr>
      </w:pPr>
      <w:r>
        <w:rPr>
          <w:rFonts w:ascii="Arial" w:cs="Arial" w:eastAsia="Arial" w:hAnsi="Arial"/>
          <w:sz w:val="16"/>
          <w:szCs w:val="16"/>
          <w:color w:val="auto"/>
        </w:rPr>
        <w:t>issue. On October 12, 2020, the Company provided an update on the ongoing data analysis from its Phase III OPTIMA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well as growing interest among clinical investigators in conducting studies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monotherapy or in combination with other therapies.</w:t>
      </w:r>
    </w:p>
    <w:p>
      <w:pPr>
        <w:spacing w:after="0" w:line="42" w:lineRule="exact"/>
        <w:rPr>
          <w:sz w:val="20"/>
          <w:szCs w:val="20"/>
          <w:color w:val="auto"/>
        </w:rPr>
      </w:pPr>
    </w:p>
    <w:p>
      <w:pPr>
        <w:jc w:val="both"/>
        <w:ind w:left="66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parallel, the Company submitted all OPTIMA Study clinical trial data to the National Institutes of Health (NIH) and with the expectation of receiving a report on the following:</w:t>
      </w:r>
    </w:p>
    <w:p>
      <w:pPr>
        <w:spacing w:after="0" w:line="170" w:lineRule="exact"/>
        <w:rPr>
          <w:rFonts w:ascii="Arial" w:cs="Arial" w:eastAsia="Arial" w:hAnsi="Arial"/>
          <w:sz w:val="18"/>
          <w:szCs w:val="18"/>
          <w:color w:val="auto"/>
        </w:rPr>
      </w:pPr>
    </w:p>
    <w:p>
      <w:pPr>
        <w:jc w:val="both"/>
        <w:ind w:left="1300" w:hanging="320"/>
        <w:spacing w:after="0" w:line="23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Arial" w:cs="Arial" w:eastAsia="Arial" w:hAnsi="Arial"/>
          <w:sz w:val="18"/>
          <w:szCs w:val="18"/>
          <w:i w:val="1"/>
          <w:iCs w:val="1"/>
          <w:color w:val="auto"/>
        </w:rPr>
        <w:t>Journal of Vascular and Interventional Radiology</w:t>
      </w:r>
      <w:r>
        <w:rPr>
          <w:rFonts w:ascii="Arial" w:cs="Arial" w:eastAsia="Arial" w:hAnsi="Arial"/>
          <w:sz w:val="18"/>
          <w:szCs w:val="18"/>
          <w:color w:val="auto"/>
        </w:rPr>
        <w:t>, in which the key finding was that increased RFA heating time per tumor volume significantly improved OS in patients with single lesion HCC who were treated with RFA plus ThermoDox</w:t>
      </w:r>
      <w:r>
        <w:rPr>
          <w:rFonts w:ascii="Arial" w:cs="Arial" w:eastAsia="Arial" w:hAnsi="Arial"/>
          <w:sz w:val="29"/>
          <w:szCs w:val="29"/>
          <w:color w:val="auto"/>
          <w:vertAlign w:val="superscript"/>
        </w:rPr>
        <w:t>®</w:t>
      </w:r>
      <w:r>
        <w:rPr>
          <w:rFonts w:ascii="Arial" w:cs="Arial" w:eastAsia="Arial" w:hAnsi="Arial"/>
          <w:sz w:val="18"/>
          <w:szCs w:val="18"/>
          <w:color w:val="auto"/>
        </w:rPr>
        <w:t>, compared with patients treated with RFA alone.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site-by-site evaluation for RFA heating time-based anomalies that may have contributed to the treatment arm performance.</w:t>
      </w:r>
    </w:p>
    <w:p>
      <w:pPr>
        <w:spacing w:after="0" w:line="7"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image-based evaluation comparing results from the OPTIMA Study to the data from the HEAT Study that led to the RFA heating time hypothesis.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will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Studies with ThermoDox</w:t>
      </w:r>
      <w:r>
        <w:rPr>
          <w:rFonts w:ascii="Arial" w:cs="Arial" w:eastAsia="Arial" w:hAnsi="Arial"/>
          <w:sz w:val="29"/>
          <w:szCs w:val="29"/>
          <w:b w:val="1"/>
          <w:bCs w:val="1"/>
          <w:color w:val="auto"/>
          <w:vertAlign w:val="superscript"/>
        </w:rPr>
        <w:t>®</w:t>
      </w:r>
    </w:p>
    <w:p>
      <w:pPr>
        <w:spacing w:after="0" w:line="12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Celsion continues working closely and supporting investigations by others throughout the world in breast cancer, pancreatic cancer and in solid tumors in children. Following inquiries from the NIH, we intend to renew our Cooperative Research and Development Agreement (CRADA) with the Institute at a</w:t>
      </w:r>
    </w:p>
    <w:p>
      <w:pPr>
        <w:jc w:val="both"/>
        <w:spacing w:after="0" w:line="221" w:lineRule="auto"/>
        <w:rPr>
          <w:sz w:val="20"/>
          <w:szCs w:val="20"/>
          <w:color w:val="auto"/>
        </w:rPr>
      </w:pPr>
      <w:r>
        <w:rPr>
          <w:rFonts w:ascii="Arial" w:cs="Arial" w:eastAsia="Arial" w:hAnsi="Arial"/>
          <w:sz w:val="18"/>
          <w:szCs w:val="18"/>
          <w:color w:val="auto"/>
        </w:rPr>
        <w:t>nominal cost, one goal of which is to pursue their interest in 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summaries of several investigator-sponsored studies using ThermoDox®:</w:t>
      </w:r>
    </w:p>
    <w:p>
      <w:pPr>
        <w:spacing w:after="0" w:line="229" w:lineRule="exact"/>
        <w:rPr>
          <w:sz w:val="20"/>
          <w:szCs w:val="20"/>
          <w:color w:val="auto"/>
        </w:rPr>
      </w:pPr>
    </w:p>
    <w:p>
      <w:pPr>
        <w:jc w:val="both"/>
        <w:ind w:left="660" w:hanging="328"/>
        <w:spacing w:after="0" w:line="246" w:lineRule="auto"/>
        <w:tabs>
          <w:tab w:leader="none" w:pos="660" w:val="left"/>
        </w:tabs>
        <w:numPr>
          <w:ilvl w:val="0"/>
          <w:numId w:val="15"/>
        </w:numPr>
        <w:rPr>
          <w:rFonts w:ascii="Arial" w:cs="Arial" w:eastAsia="Arial" w:hAnsi="Arial"/>
          <w:sz w:val="32"/>
          <w:szCs w:val="32"/>
          <w:color w:val="auto"/>
          <w:vertAlign w:val="superscript"/>
        </w:rPr>
      </w:pPr>
      <w:r>
        <w:rPr>
          <w:rFonts w:ascii="Arial" w:cs="Arial" w:eastAsia="Arial" w:hAnsi="Arial"/>
          <w:sz w:val="16"/>
          <w:szCs w:val="16"/>
          <w:color w:val="auto"/>
        </w:rPr>
        <w:t>Oxford University plans to begin enrolling patients in a Phase I pancreatic cancer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High Intensity Focused Ultrasound (HIFU) in the first half of 2021. The primary objective of this trial, the </w:t>
      </w:r>
      <w:r>
        <w:rPr>
          <w:rFonts w:ascii="Arial" w:cs="Arial" w:eastAsia="Arial" w:hAnsi="Arial"/>
          <w:sz w:val="16"/>
          <w:szCs w:val="16"/>
          <w:i w:val="1"/>
          <w:iCs w:val="1"/>
          <w:color w:val="auto"/>
        </w:rPr>
        <w:t>PanDox Study: Targeted Doxorubicin in Pancreatic</w:t>
      </w:r>
      <w:r>
        <w:rPr>
          <w:rFonts w:ascii="Arial" w:cs="Arial" w:eastAsia="Arial" w:hAnsi="Arial"/>
          <w:sz w:val="16"/>
          <w:szCs w:val="16"/>
          <w:color w:val="auto"/>
        </w:rPr>
        <w:t xml:space="preserve"> </w:t>
      </w:r>
      <w:r>
        <w:rPr>
          <w:rFonts w:ascii="Arial" w:cs="Arial" w:eastAsia="Arial" w:hAnsi="Arial"/>
          <w:sz w:val="16"/>
          <w:szCs w:val="16"/>
          <w:i w:val="1"/>
          <w:iCs w:val="1"/>
          <w:color w:val="auto"/>
        </w:rPr>
        <w:t>Tumors</w:t>
      </w:r>
      <w:r>
        <w:rPr>
          <w:rFonts w:ascii="Arial" w:cs="Arial" w:eastAsia="Arial" w:hAnsi="Arial"/>
          <w:sz w:val="16"/>
          <w:szCs w:val="16"/>
          <w:color w:val="auto"/>
        </w:rPr>
        <w:t>, is to quantify the enhancement in intratumoral doxorubicin concentration when delivered with ThermoDox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HIFU, versus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doxorubicin monotherapy. This study is being undertaken pursuant to promising data in a mouse model of pancreatic cancer, which was published in the </w:t>
      </w:r>
      <w:r>
        <w:rPr>
          <w:rFonts w:ascii="Arial" w:cs="Arial" w:eastAsia="Arial" w:hAnsi="Arial"/>
          <w:sz w:val="16"/>
          <w:szCs w:val="16"/>
          <w:i w:val="1"/>
          <w:iCs w:val="1"/>
          <w:color w:val="auto"/>
        </w:rPr>
        <w:t>International Journal of Hyperthermia</w:t>
      </w:r>
      <w:r>
        <w:rPr>
          <w:rFonts w:ascii="Arial" w:cs="Arial" w:eastAsia="Arial" w:hAnsi="Arial"/>
          <w:sz w:val="16"/>
          <w:szCs w:val="16"/>
          <w:color w:val="auto"/>
        </w:rPr>
        <w:t xml:space="preserve"> in 2018. That preclinical study showed a 23x increase in intratumoral doxorubicin concentration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HIFU, compared with a 2x increase in intratumoral doxorubicin concentration with free doxorubicin plus HIFU.</w:t>
      </w:r>
    </w:p>
    <w:p>
      <w:pPr>
        <w:spacing w:after="0" w:line="73" w:lineRule="exact"/>
        <w:rPr>
          <w:rFonts w:ascii="Arial" w:cs="Arial" w:eastAsia="Arial" w:hAnsi="Arial"/>
          <w:sz w:val="32"/>
          <w:szCs w:val="32"/>
          <w:color w:val="auto"/>
          <w:vertAlign w:val="superscript"/>
        </w:rPr>
      </w:pPr>
    </w:p>
    <w:p>
      <w:pPr>
        <w:jc w:val="both"/>
        <w:ind w:left="660" w:hanging="328"/>
        <w:spacing w:after="0" w:line="24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Utrecht University in the Netherlands continues to enroll patients in a Phase I breast cancer study to determine the safety, tolerability and feasibility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clinical product for the trial.</w:t>
      </w:r>
    </w:p>
    <w:p>
      <w:pPr>
        <w:spacing w:after="0" w:line="83"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5"/>
        </w:numPr>
        <w:rPr>
          <w:rFonts w:ascii="Arial" w:cs="Arial" w:eastAsia="Arial" w:hAnsi="Arial"/>
          <w:sz w:val="34"/>
          <w:szCs w:val="34"/>
          <w:color w:val="auto"/>
          <w:vertAlign w:val="superscript"/>
        </w:rPr>
      </w:pPr>
      <w:r>
        <w:rPr>
          <w:rFonts w:ascii="Arial" w:cs="Arial" w:eastAsia="Arial" w:hAnsi="Arial"/>
          <w:sz w:val="17"/>
          <w:szCs w:val="17"/>
          <w:color w:val="auto"/>
        </w:rPr>
        <w:t>As evidence of the ongoing support Celsion enjoys from the NIH, they have organized a clinical project to evaluate ThermoDox</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plus the chemotherapy drug mitomycin in bladder cancer. Depending on the NIH timelines, this study may commence as early as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BUSINESS STRATEGY AND DEVELOPMENT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OPTIMA Study in February 2021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and OPTIMA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$19.0 million in cash, investments, interest receivable and deferred income tax asset as of December 31, 2020. During the first quarter of 2021, we raised $6.9 million in capital under the Capital on Demand Agreement with JonesTrading, received $1.5 million in gross proceeds from warrant exercises and $35 million from the January 2021 Registered Direct Offering (as defined below). Given our current development plans, we anticipate our current cash resources will be sufficient to fund our operations and financial commitments through 2023.</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Arial" w:cs="Arial" w:eastAsia="Arial" w:hAnsi="Arial"/>
          <w:sz w:val="17"/>
          <w:szCs w:val="17"/>
          <w:b w:val="1"/>
          <w:bCs w:val="1"/>
          <w:i w:val="1"/>
          <w:iCs w:val="1"/>
          <w:color w:val="auto"/>
        </w:rPr>
        <w:t>Item 7 - Management’s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Discussion and Analysis of Financial Condition and Results of Operations </w:t>
      </w:r>
      <w:r>
        <w:rPr>
          <w:rFonts w:ascii="Arial" w:cs="Arial" w:eastAsia="Arial" w:hAnsi="Arial"/>
          <w:sz w:val="17"/>
          <w:szCs w:val="17"/>
          <w:color w:val="auto"/>
        </w:rPr>
        <w:t>for additional information regarding the Company’s financial condition,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engaged in a limited amount of research and development in our own facilities and have sponsored research programs in partnership with various research institutions, including the NIH, the National Cancer Institute and Duke University. We are currently, with minimal cash expenditures, sponsoring clinical and pre-clinical research at the University of Oxford, University of Utrecht, and the Children’s Hospital Research Institute. The majority of the spending in research and development is for the funding of ThermoDox® and GEN-1 clinical trials. Research and development expenses were approximately $11.3 million and $13.1 million for the years ended December 31, 2020 and 2019, respectively. See </w:t>
      </w:r>
      <w:r>
        <w:rPr>
          <w:rFonts w:ascii="Arial" w:cs="Arial" w:eastAsia="Arial" w:hAnsi="Arial"/>
          <w:sz w:val="18"/>
          <w:szCs w:val="18"/>
          <w:b w:val="1"/>
          <w:bCs w:val="1"/>
          <w:color w:val="auto"/>
        </w:rPr>
        <w:t>Part II, Item 7 - Management’s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Discussion and Analysis of Financial Condition and Results of Operations </w:t>
      </w:r>
      <w:r>
        <w:rPr>
          <w:rFonts w:ascii="Arial" w:cs="Arial" w:eastAsia="Arial" w:hAnsi="Arial"/>
          <w:sz w:val="18"/>
          <w:szCs w:val="18"/>
          <w:color w:val="auto"/>
        </w:rPr>
        <w:t>for additional information regarding expenditures related to our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programs.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the U.S.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U.S., the FDA regulates drugs and biological products under the Federal Food, Drug, and Cosmetic Act (the “FDCA”), the Public Health Service Act (the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vehicle by which FDA approves a new pharmaceutical product for sale and marketing in the U.S. is a New Drug Application (“NDA”) or a Biologics License Application (BLA). A new drug or biological product cannot be marketed in the U.S. without FDA’s approval of an NDA/BLA.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the cGMP and to assure adequate identity, strength, quality, purity, and potency; and (e) FDA review and approval of the NDA/BLA.</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NDA/BLA or that a product candidate otherwise will come to market.</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t>In certain circumstances, a therapeutic product candidate being studied in clinical trials may be made available for treatment of individual patients. Pursuant to the 21st Century Cures Act (Cures Act),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any of our clinical trials will be completed successfully within any specified time period or at all. Either the FDA or we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product candidate is being manufactured in accordance with cGMP. The testing, submission, and approval process requires substantial time, effort, and financial resources, including substantial application user fees and annual product and establishment user fees. There can be no assurance that any approval will be granted for any product at any time, according to any schedule, or at all. The FDA may refuse to accept or approve an application if it determines that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most standard reviews applications are completed within ten months of filing; most priority review applications are reviewed within six months of filing. Priority review are applied to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such, under Section 505(b)(2), the FDA may rely, for approval of an NDA, on data not developed by the applicant. The FDA may also require companies to perform additional studies or measurements, including clinical trials, to support the change from the approved branded reference drug. The FDA may then approve the new product candidate for the new indication sought by the 505(b)(2) applicant.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FDA Regulations Specific to Gene-Based Products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regulates gene-based products as biological products. Biological products intended for therapeutic use may be regulated by either the Center for Biologics Evaluation &amp; Research (CBER) or the Center for Drug Evaluation &amp; Research (CDER). Gene-based products are subject to extensive regulation under the FDCA, the PHSA, and their implementing regulations. Each clinical trial of investigational gene therapies must be reviewed and approved by the Institutional Biosafety Committee (IBC) for each clinical site if they receive any funding whatsoever from the National Institutes of Health (NIH). IBCs were established under NIH Guidelines for Research Involving Recombinant or Synthetic Nucleic Acid Molecules to provide local review and oversight of nearly all forms of research utilizing recombinant or synthetic nucleic acid molecules. The IBC assesses biosafety issues, specifically, safety practices and containment procedures, related to the investigational product and clinical study. Compliance with the NIH Guidelines is mandatory for investigators at institutions receiving NIH funds for research involving recombinant DNA, however many companies and other institutions not otherwise subject to the NIH Guidelines voluntarily follow them. Such trials remain subject to FDA and other clinical trial regulations, and only after FDA, IBC, and other relevant approvals are in place can these protocols proceed.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Controls for Biological Products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has various programs, including Fast Track, priority review, accelerated approval and breakthrough therapy, which are intended to expedite or simplify the process for reviewing product candidates, or provide for the approval of a product candidate on the basis of a surrogate endpoint. In January 2021, the FDA granted Fast Track designation for GEN-1 for the treatment of ovarian cancer.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product candidates to treat serious or life-threatening diseases or conditions and fill unmet medical needs.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Although Fast Track and priority review do not affect the standards for approval, the FDA will attempt to facilitate early and frequent meetings with a sponsor of a Fast-Track designated product candidate and expedite review of the application for a product candidate designated for priority review. Accelerated approval provides for an earlier approval for a new product candidate that meets the following criteria: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or physical sign used as an indirect or substitute measurement representing a clinically meaningful outcome. As a condition of approval, the FDA may require that a sponsor of a product candidate receiving accelerated approval perform post-marketing clinical trials to verify and describe the predicted effect on irreversible morbidity or mortality or other clinical endpoint, and the product may be subject to accelerated withdrawal procedures.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sponsor may seek FDA designation of a product candidate as a “breakthrough therapy” if the product candidate is intended, alone or in combination with one or more other therapeutics,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 of Phase 2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2005, the FDA granted orphan drug designation for GEN-1 for the treatment of ovarian cancer. In 2010, the FDA granted orphan drug designation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Exclusivity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FDCA provides a five-year period of non-patent data exclusivity within the U.S.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Biologics Price Competition and Innovation Act of 2009 (the “BPCIA”) created an abbreviated approval pathway for biological product candidates shown to be highly similar to or interchangeable with an FDA licensed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 clinical trial or trials, unless the Secretary of Health and Human Services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biological product and the reference product may be switched after one has been previously administered without increasing safety risks or risks of diminished efficacy relative to exclusive use of the reference product.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A reference product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biological products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product in favor of the first interchangeable biosimilar applicant, or (iv) 42 months after the first interchangeable biosimilar’s application has been approved if a patent lawsuit is ongoing within the 42-month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product candidate and the manufacturer must develop methods for testing the quality, purity and potency of the product candidate. Additionally, appropriate packaging must be selected and tested, and stability studies must be conducted to demonstrate that the product candidate does not undergo unacceptable deterioration over its proposed shelf-life.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Clinical Studies to Support an IND, NDA, or BLA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will accept as support for an IND, NDA, or BLA a well-designed, well-conducted, non-IND foreign clinical trial if it was conducted in accordance with good clinical practice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 This information includes the investigator’s qualifications; a description of the research facilities; a detailed summary of the protocol and trial results and, if requested, case records or additional background data; a description of the drug substance and drug product, including the components, formulation, specifications, and, if available, the bioavailability of the product candidate; information showing that the trial is adequate and well controlled; the name and address of the independent ethics committee that reviewed the trial and a statement that the independent ethics committee meets the required definition; a summary of the independent ethics committee’s decision to approve or modify and approve the trial, or to provide a favorable opinion; a description of how informed consent was obtained; a description of what incentives, if any, were provided to subjects to participate; a description of how the sponsor monitored the trial and ensured that the trial was consistent with the protocol; a description of how investigators were trained to comply with GCP and to conduct the trial in accordance with the trial protocol; and a statement on whether written commitments by investigators to comply with GCP and the protocol were obtained.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Legislation and Regulations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 Further, with the COVID-19 pandemic, it is possible that Congress and FDA may implement new laws, regulations, or policies that may impact our ability to continue development programs as planned.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matters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U.S., these laws include, without limitation, state and federal anti-kickback, false claims, physician transparency, and patient data privacy and security laws and regulations, including but not limited to those described below.</w:t>
      </w:r>
    </w:p>
    <w:p>
      <w:pPr>
        <w:spacing w:after="0" w:line="192" w:lineRule="exact"/>
        <w:rPr>
          <w:sz w:val="20"/>
          <w:szCs w:val="20"/>
          <w:color w:val="auto"/>
        </w:rPr>
      </w:pPr>
    </w:p>
    <w:p>
      <w:pPr>
        <w:jc w:val="both"/>
        <w:ind w:left="340" w:hanging="332"/>
        <w:spacing w:after="0" w:line="29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left="340" w:hanging="332"/>
        <w:spacing w:after="0" w:line="289"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or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166"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87"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77" w:lineRule="exact"/>
        <w:rPr>
          <w:rFonts w:ascii="Arial" w:cs="Arial" w:eastAsia="Arial" w:hAnsi="Arial"/>
          <w:sz w:val="17"/>
          <w:szCs w:val="17"/>
          <w:color w:val="auto"/>
        </w:rPr>
      </w:pPr>
    </w:p>
    <w:p>
      <w:pPr>
        <w:jc w:val="both"/>
        <w:ind w:left="340" w:hanging="332"/>
        <w:spacing w:after="0" w:line="25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Physician Payments Sunshine Act, enacted as part of the Patient Protection and Affordable Care Act (“ACA”),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are often not pre-empted, and may have a more prohibitive effect than the Sunshine Act, thus further complicating compliance efforts. Effective January 1, 2022, these reporting obligations will extend to include transfers of value made in the previous year to certain non-physician providers such as physician assistants and nurse practitioners.</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broadly regulate marketplace activities and activities that potentially harm consumers.</w:t>
      </w:r>
    </w:p>
    <w:p>
      <w:pPr>
        <w:spacing w:after="0" w:line="236" w:lineRule="exact"/>
        <w:rPr>
          <w:rFonts w:ascii="Arial" w:cs="Arial" w:eastAsia="Arial" w:hAnsi="Arial"/>
          <w:sz w:val="17"/>
          <w:szCs w:val="17"/>
          <w:color w:val="auto"/>
        </w:rPr>
      </w:pPr>
    </w:p>
    <w:p>
      <w:pPr>
        <w:jc w:val="both"/>
        <w:ind w:left="340" w:hanging="332"/>
        <w:spacing w:after="0" w:line="29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and can divert a company’s attention from its business.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CCPA could mark the beginning of a trend toward more stringent state privacy legislation in the U.S., which could increase our potential liability and adversely affect our business.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Insurance Coverage and Reimbursement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Patient Protection and ACA, as amended by the Health Care and Education Reconciliation Act of 2010, or collectively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Outside the U.S.,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future healthcare reform legislation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March 2010, the U.S. Congress enacted the ACA, which, among other things, includes changes to the coverage and payment for products under government health care programs. The ACA includes provisions of importance to our potential product candidates that:</w:t>
      </w:r>
    </w:p>
    <w:p>
      <w:pPr>
        <w:spacing w:after="0" w:line="170"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provisions of the ACA.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has allotted one hour for oral arguments. The Unites States Supreme Court is expected to rule on the legal challenge to the constitutionality of the ACA in early 2021. We will continue to evaluate the effect that the ACA and its possible repeal and replacement has on our business. Other legislative changes have been proposed and adopted in the U.S. since the ACA was enacted.</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the Trump administration previously released a “Blueprint” to lower drug prices and reduce out of pocket costs of drugs that contained additional proposals to increase drug manufacturer competition, increase the negotiating power of certain federal healthcare programs, incentivize manufacturers to lower the list price of their products, and reduce the out-of-pocket costs of drug products paid by consumers. HHS has solicited feedback on some of these measures and has implemented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20, 2020, CMS issued an Interim Final Rule implementing the Most Favored Nation, or MFN, Model under which Medicare Part B reimbursement rates will be calculated for certain drugs and biological products based on the lowest price drug manufacturers receive in other similar countries.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HHS Office of the Inspector General finalized a regulation with the goal of lowering prescription drug prices and out-of-pocket spending for prescription drugs. Specifically, the final rule clarifies and amends the discount safe harbor under the federal Anti-kickback statute (AKS) with the effect that rebates paid from drug manufacturers to Medicare Part D prescription drug plan sponsors or their pharmacy benefit managers (PBMs) are excluded from liability protection under the discount safe harbor. The rule also adds a new safe harbor for point-of-sale reductions in price and another that protects certain fixed-fee service arrangements between PBMs and drug manufacturers.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Coronavirus Aid, Relief, and Economic Security Act, also known as the CARES Act, and the 2020 Omnibus Bill, the reductions required by the Budget Control Act of 2011 are suspended from May 1, 2020 through March 31, 2021 due to the COVID-19 pandemic. As the legislation currently stands, the reductions will go back into effect April 2021 and will remain in effect through 2030 unless additional Congressional action is taken. Further, it is possible that the government will take additional steps to address the COVID-19 pandemic. For example, on April 18, 2020, CMS announced that qualified health plan issuers under the ACA may suspend activities related to the collection and reporting of quality data that would have otherwise been reported between May and June 2020 because of the challenges healthcare providers are facing responding to the COVID-19 virus.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a number of these and other measures may require additional authorization to become effective, and it is unclear whether President Joseph Biden will work to reverse these measures or pursue similar policy initiatives, Congress has indicated that it will continue to seek new legislative and/or administrative measures to control drug costs. Any reduction in reimbursement from Medicare and other government programs may result in a similar reduction in payments from private payers. Moreover,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Regulation Outside of the U.S.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regulations in the U.S., we will be subject to a variety of regulations of other countries governing, among other things, any clinical trials and commercial sales and distribution of our product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EU, before starting a clinical trial, a valid request for authorization must be submitted by the sponsor to the competent authority of the EU Member State(s) in which the sponsor plans to conduct the clinical trial, as well as to an independent national Ethics Committee. A clinical trial may commence only once the relevant Ethics Committee(s) has (have) issued a favorable opinion and the competent authority of the EU Member State(s) concerned has (have) not informed the sponsor of any grounds for non-acceptance. Failure to comply with the EU requirements may subject a company to the rejection of the request and the prohibition to start a clinical trial. Clinical trials conducted in the EU (or used for marketing authorization application in the EU) must be conducted in accordance with applicable GCP and Good Manufacturing Practice (“GMP”) rules, ICH guidelines and be consistent with ethical principles. EU Member State inspections are regularly conducted to verify the sponsor’s compliance with applicable rules. The sponsor is required to record and report to the relevant national competent authorities (and to the Ethics Committee) information about serious unexpected suspected adverse reactions (“S.U.S.A.Rs”). The way clinical trials are conducted in the EU will undergo a major change when the new EU Clinical Trial Regulation (Regulation 536/2014) comes into application at the earliest at the beginning of December 2021.</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in the U.S., no medicinal product may be placed on the EU market unless a marketing authorization has been issued. In the EU, medicinal products may be authorized either via the mutual recognition and decentralized procedure, the national procedure or the 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 Member States. Marketing authorizations granted via the centralized procedure are valid for all EU Member States. Products submitted for approval via the centralized procedure are assessed by the Committee for Medicinal Products for Human Use (the “CHMP”), a committee within the European Medicine Agency (“EMA”). The CHMP assesses, inter alia, whether a medicine meets the necessary quality, safety and efficacy requirements and whether it has a positive risk-benefit balance. The requirements for an application dossier for a biological product contain different aspects than that of a chemical medicinal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In the EU, the requirements for pricing, coverage and reimbursement of any product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orphan designations for our product candidates. In the EU, as we understand it, a medicinal product may be designated as an orphan medicinal product if the sponsor can establish that it is intended for the diagnosis, prevention or treatment of a life-threatening or chronically debilitating condition affecting not more than five in 10 thousand persons, or that, for the same purposes, it is unlikely that the marketing of the medicinal product would generate sufficient return; and that there exists no satisfactory method of diagnosis, prevention or treatment of the condition in question that has been authorized in the EU or, if such method exists, that the medicinal product will be of significant benefit to those affected by that condition. Sponsors who obtain orphan designation benefit from a type of scientific advice specific for designated orphan medicinal products and protocol assistance from the EMA. Fee reductions are also available depending on the status of the sponsor and the type of service required. Marketing authorization applications for designated orphan medicinal products must be submitted through the centralized procedure.</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EU Data Protection Directive and Member State implementing legislation may also apply to health-related and other personal information obtained outside of the U.S. The Directive will be replaced by GDPR in May 2018. The Regulation will increase our responsibility and liability in relation to personal data that we process, and we may be required to put in place additional mechanisms to ensure compliance with the new EU data protection rules.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cGMP conditions. cGMP is a regulatory standard for the production of pharmaceuticals that will be used in humans which is recognized by FDA and many foreign regulatory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Studied indications for GEN-1 currently include stage III/IV ovarian cancer. In evaluating the competitive landscape for this indication, early-stage indications are treated with chemotherapy (docetaxel, doxil and cisplatinum for ovarian cancer), while later stage ovarian cancer is treated with Bevacizumab - Avastin®, an anti-angiogenesis inhibitor. Avastin® is currently also being evaluated for early-stage disease.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product positioning for the ovarian cancer indications, there currently is no direct immunotherapy competitor for GEN-1, which will be studied as an adjuvant to both chemotherapy standard of care regimens, as well as anti-angiogenesis compounds. To support these cases, we have conducted clinical</w:t>
      </w:r>
    </w:p>
    <w:p>
      <w:pPr>
        <w:ind w:right="100"/>
        <w:spacing w:after="0" w:line="413" w:lineRule="auto"/>
        <w:rPr>
          <w:sz w:val="20"/>
          <w:szCs w:val="20"/>
          <w:color w:val="auto"/>
        </w:rPr>
      </w:pPr>
      <w:r>
        <w:rPr>
          <w:rFonts w:ascii="Arial" w:cs="Arial" w:eastAsia="Arial" w:hAnsi="Arial"/>
          <w:sz w:val="18"/>
          <w:szCs w:val="18"/>
          <w:color w:val="auto"/>
        </w:rPr>
        <w:t>studies in combination with chemotherapy for ovarian cancer, and preclinical studies in combination with both temozolomide and Bevacizumab-Avastin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ThermoDox</w:t>
      </w:r>
      <w:r>
        <w:rPr>
          <w:rFonts w:ascii="Arial" w:cs="Arial" w:eastAsia="Arial" w:hAnsi="Arial"/>
          <w:sz w:val="29"/>
          <w:szCs w:val="29"/>
          <w:i w:val="1"/>
          <w:iCs w:val="1"/>
          <w:color w:val="auto"/>
          <w:vertAlign w:val="superscript"/>
        </w:rPr>
        <w:t>®</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ThermoDox® technology, we either exclusively license with Duke University for its temperature-sensitive liposome technology that covers the ThermoDox® formulation or own U.S. and international patents with claims and methods and compositions of matters that cover various aspects of lysolipid thermally sensitive liposomes technology, with expiration dates ranging from 2018 to 2026. Celsion also has issued patents which pertain specifically to methods of storing stabilized, temperature-sensitive liposomal formulations and will assist in the protection of global rights. These patents will extend the overall term of the ThermoDox® patent portfolio to 2026. The patents in this family, include a pending application in the U.S., and issued patents in Europe and additional key commercial geographies in Asia. This extended patent runway to 2026 allows for the evaluation of future development activities for ThermoDox® and Celsion’s heat-sensitive liposome technology platform.</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TheraPlas technology, we own three U.S. and international patents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93" w:lineRule="auto"/>
        <w:rPr>
          <w:sz w:val="20"/>
          <w:szCs w:val="20"/>
          <w:color w:val="auto"/>
        </w:rPr>
      </w:pPr>
      <w:r>
        <w:rPr>
          <w:rFonts w:ascii="Arial" w:cs="Arial" w:eastAsia="Arial" w:hAnsi="Arial"/>
          <w:sz w:val="16"/>
          <w:szCs w:val="16"/>
          <w:color w:val="auto"/>
        </w:rPr>
        <w:t>As mentioned above, the FDA granted orphan drug designation to ThermoDox® for the treatment of HCC and to GEN-1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Arial" w:cs="Arial" w:eastAsia="Arial" w:hAnsi="Arial"/>
          <w:sz w:val="17"/>
          <w:szCs w:val="17"/>
          <w:b w:val="1"/>
          <w:bCs w:val="1"/>
          <w:color w:val="auto"/>
        </w:rPr>
        <w:t>“Part 1, Item 1A, Risk Factors,”</w:t>
      </w:r>
      <w:r>
        <w:rPr>
          <w:rFonts w:ascii="Arial" w:cs="Arial" w:eastAsia="Arial" w:hAnsi="Arial"/>
          <w:sz w:val="17"/>
          <w:szCs w:val="17"/>
          <w:color w:val="auto"/>
        </w:rPr>
        <w:t xml:space="preserve">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Arial" w:cs="Arial" w:eastAsia="Arial" w:hAnsi="Arial"/>
          <w:sz w:val="17"/>
          <w:szCs w:val="17"/>
          <w:b w:val="1"/>
          <w:bCs w:val="1"/>
          <w:color w:val="auto"/>
        </w:rPr>
        <w:t>“Part 1, Item 1A, Risk Factors,”</w:t>
      </w:r>
      <w:r>
        <w:rPr>
          <w:rFonts w:ascii="Arial" w:cs="Arial" w:eastAsia="Arial" w:hAnsi="Arial"/>
          <w:sz w:val="17"/>
          <w:szCs w:val="17"/>
          <w:color w:val="auto"/>
        </w:rPr>
        <w:t xml:space="preserve"> including, but not limited to, “Our business depends on license agreements with third parties to permit us to use patented technologies. The loss of any of our rights under these agreements could impair our ability to develop and market our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18, 2021, we employed 27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Celsion was founded in 1982 and is a Delaware corporation. Our principal executive offices are located at 997 Lenox Drive, Suite 100, Lawrenceville, NJ 08648. Our telephone number is (609) 896-9100. The Company’s website is www.celsion.com. The information contained in, or that can be accessed through, our website is not part of, and is not incorporated in, this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make available free of charge through our website, www.celsion.com,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and should not be relied upon.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26, 2021, the Company issued and sold 25,925,925 shares of common stock to several institutional in a registered direct offering for gross proceeds of approximately $35 million before the deduction of placement agent fees and offering expenses (the “January 2021 Offering”). In connection with the January 2021 Offering, the Company paid the placement agents a cash fee equal to 7% of the aggregate gross proceeds raised from the sale of the securities sold in the January 2021 Offering and reimbursed them for certain expenses.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We are providing the following cautionary discussion of risk factors and uncertainties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Securities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is a summary of some of the Company’s most important risks and uncertainties that could materially adversely affect our business, financial condition, and results of operations. You should read this summary together with the more detailed description of each risk factor. Additional discussion of the risks summarized in this Risk Factors Summary, and other risks that we face, can be found below under the heading “Risk Factors” and should be carefully considered, together with other information in this Form 10-K and our other filings with the SEC, before making an investment in our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Risk Related to Our Business and Operations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history of significant losses from operations and expect to continue to incur significant losses for the foreseeable future.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Drug development is an inherently uncertain process with a high risk of failure at every stage of development. Our lead drug candidate failed to meet its primary endpoint in our earlier Phase III clinical trial.</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outbreak duration and severity of the novel coronavirus disease, COVID-19, pandemic could adversely impact our business, including our preclinical studies and clinical trials.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products may be harmed if the government, private health insurers and other third-party payers do not provide sufficient coverage or reimbursement.</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Technologies for the treatment of cancer are subject to rapid change, and the development of treatment strategies that are more effective than our technologies could render our technologies obsolete.</w:t>
      </w: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success will depend in part on our ability to grow and diversify, which in turn will require that we manage and control our growth effectively.</w:t>
      </w:r>
    </w:p>
    <w:p>
      <w:pPr>
        <w:spacing w:after="0" w:line="4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face intense competition and the failure to compete effectively could adversely affect our ability to develop and market our products.</w:t>
      </w:r>
    </w:p>
    <w:p>
      <w:pPr>
        <w:spacing w:after="0" w:line="4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the third parties upon whom we depend on may be adversely affected by earthquakes, global pandemics or other natural disasters and our business continuity and disaster recovery plans may not adequately protect us from a serious disaster, including earthquakes, outbreak of disease or other natural disasters.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Pandemics such as the COVID-19 coronavirus could have an adverse impact on our developmental programs and our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225"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of our pending patent applications do not issue, or are deemed invalid following issuance, we may lose valuable intellectual property protection.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Securities</w:t>
      </w:r>
    </w:p>
    <w:p>
      <w:pPr>
        <w:spacing w:after="0" w:line="225"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fluctuate significantly, which could result in substantial losses for investors and subject us to securities class action litigation.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capital and credit market conditions could affect our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never paid cash dividends on our common stock and do not anticipate paying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history of significant losses from operations and expect to continue to incur significant losses for the foreseeable future.</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$312 million at December 31, 2020. For the years ended December 31, 2020 and 2019, we incurred net losses of $21.5 million and $16.9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GEN-1 and other new product candidates and these product candidates have been clinically tested, approved by the U.S.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product candidates, including GEN-1, are still in various stages of development and trials and cannot be marketed until we have completed clinical testing and obtained necessary governmental approval. Following our announcement on February 11,</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2021 that the Company’s Phase III OPTIMA Study failed to meet its primary endpoint of OS, we do not expect to generate revenue from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foreseeable future. GEN-1 is currently in a Phase II trial for the treatment of ovarian cancer.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20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failed to meet its primary endpoint in two Phase III clinical trials.</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RFA failed to meet the primary endpoint of the Phase III clinical trial for primary liver cancer, known as the HEAT study. On July 13, 2020, the Company announced that it has received a recommendation from the independent</w:t>
      </w:r>
    </w:p>
    <w:p>
      <w:pPr>
        <w:jc w:val="both"/>
        <w:spacing w:after="0" w:line="234" w:lineRule="auto"/>
        <w:rPr>
          <w:sz w:val="20"/>
          <w:szCs w:val="20"/>
          <w:color w:val="auto"/>
        </w:rPr>
      </w:pPr>
      <w:r>
        <w:rPr>
          <w:rFonts w:ascii="Arial" w:cs="Arial" w:eastAsia="Arial" w:hAnsi="Arial"/>
          <w:sz w:val="18"/>
          <w:szCs w:val="18"/>
          <w:color w:val="auto"/>
        </w:rPr>
        <w:t>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the Company was notifying all clinical sites to discontinue following patients in the OPTIMA Study.</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Preclinical testing and clinical trials are long, expensive, and highly uncertain processes and failure can unexpectedly occur at any stage of clinical development, as evidenced by the failure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 meet its primary endpoint in the HEAT Study and the OPTIMA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generated significant revenue and have incurred significant net losses in each year since our inception. For the year ended December 31, 2020, we incurred a net loss of $21.5 million. We have incurred approximately $312 million of cumulative net losses. As of December 31, 2020, we had cash and cash equivalents of $17.2 million.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U.S., given that we may be subject to additional or different regulatory burdens in other markets. This could limit our ability to realize their full market potential.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factors related to the COVID-19 pandemic, including regulators or institutional review boards, or IRBs, or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The outbreak, duration and severity of the novel coronavirus disease, COVID-19, pandemic could adversely impact our business, including our preclinical studies and clinical trials.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2020, the WHO declared COVID-19 a global pandemic, and the U.S. Department of Health and Human Services declared a public health emergency to aid the U.S. healthcare community in responding to COVID-19. Governments and businesses around the world have taken unprecedented actions to mitigate the spread of COVID-19, including, but not limited to, shelter-in-place orders, quarantines, and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year ended December 31,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disruptions caused by COVID-19 may also disrupt preclinical studies,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this report.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as of the date of this report, we have not experienced any material disruptions to the execution of the clinical trials and the research and development activities that we currently have underway, as a result of the pandemic we may experience disruptions that could severely impact research and development timelines and outcomes, including, but not limited to:</w:t>
      </w:r>
    </w:p>
    <w:p>
      <w:pPr>
        <w:spacing w:after="0" w:line="18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3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state or foreign governments, employers and others or interruption of clinical trial subject visits and study procedures (such as procedures that are deemed non-essential under law, regulation or institutional policies), which may impact the integrity of subject data and clinical study endpoints;</w:t>
      </w:r>
    </w:p>
    <w:p>
      <w:pPr>
        <w:spacing w:after="0" w:line="162"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23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contracted research facilities;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we may incur as a result of the impact of the COVID-19 pandemic, including the costs of mitigation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investment-related risks, including difficulties in liquidating investments due to current market conditions and adverse investment performance;</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research and development activities, including because of sickness of employees or their families or the desire of employees to avoid contact with large groups of people; or</w:t>
      </w:r>
    </w:p>
    <w:p>
      <w:pPr>
        <w:spacing w:after="0" w:line="170" w:lineRule="exact"/>
        <w:rPr>
          <w:rFonts w:ascii="Arial" w:cs="Arial" w:eastAsia="Arial" w:hAnsi="Arial"/>
          <w:sz w:val="18"/>
          <w:szCs w:val="18"/>
          <w:color w:val="auto"/>
        </w:rPr>
      </w:pPr>
    </w:p>
    <w:p>
      <w:pPr>
        <w:jc w:val="both"/>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interruptions or limitations of the types described affecting our service providers and collaboration partners, including contract research organizations running clinical trials and collaboration partners sponsoring clinical trials in which we are supplying our product candidates or otherwise participating.</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trading prices for common stock of other biopharmaceutical companies have been highly volatile as a result of the COVID-19 pandemic. 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U.S. and other countries, business closures or business disruptions and the effectiveness of actions taken in the U.S. and other countries to diagnose, contain and treat the disease. If we or any of the third parties with whom we engage were to experience shutdowns or other business disruptions, our ability to conduct our business and development activities in the manner and on the timelines presently planned could be materially and negatively impacted. There can be no assurance that any such disruptions or delays will not materially adversely impact our business, results of operations, access to financial resources and our financial condition.</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encounter difficulties enrolling patients in our clinical trials, our clinical development activities could be delayed or otherwise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our research programs resulting from factors related to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or availability of patients to participate in our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which may lead some patients to drop out of trials to avoid these follow-up procedures.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timely enrollment in clinical trials is reliant on clinical trial sites which may be adversely affected by global health matters, including, among other things, pandemics. For example, our clinical trial sites may be located in regions currently being affected by the COVID-19 coronavirus. Some factors from the COVID-19 coronavirus pandemic or any future pandemics that we believe may adversely affect enrollment in our trials include:</w:t>
      </w:r>
    </w:p>
    <w:p>
      <w:pPr>
        <w:spacing w:after="0" w:line="165" w:lineRule="exact"/>
        <w:rPr>
          <w:sz w:val="20"/>
          <w:szCs w:val="20"/>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patients who would otherwise be candidates for enrollment in our clinical trials, may become infected with the COVID-19 coronavirus, which may kill some patients and render others too ill to participate, limiting the available pool of participants for our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employee furlough days that delay necessary interactions with local regulators, ethics committees and other important agencies and contractors.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factors arising from the COVID-19 coronavirus could worsen in countries that are already afflicted with the virus or could continue to spread to additional countries, each of which may further adversely impact our clinical trials. The global pandemic of the COVID-19 coronavirus continues to evolve and the conduct of our trials may continue to be adversely affected, despite efforts to mitigate this impact.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ind w:right="20"/>
        <w:spacing w:after="0" w:line="312"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Strategic transactions, such as acquisitions, partnerships, and collaborations, including the EGEN asset acquisition, involve numerous risks, including:</w:t>
      </w:r>
    </w:p>
    <w:p>
      <w:pPr>
        <w:spacing w:after="0" w:line="248"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cGMP.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spacing w:after="0" w:line="311" w:lineRule="auto"/>
        <w:rPr>
          <w:sz w:val="20"/>
          <w:szCs w:val="20"/>
          <w:color w:val="auto"/>
        </w:rPr>
      </w:pPr>
      <w:r>
        <w:rPr>
          <w:rFonts w:ascii="Arial" w:cs="Arial" w:eastAsia="Arial" w:hAnsi="Arial"/>
          <w:sz w:val="16"/>
          <w:szCs w:val="16"/>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obtained Orphan Drug Designation for GEN-1 ThermoDox® and may seek Orphan Drug Designation for other product candidates, but we may be unsuccessful or may be unable to maintain the benefits associated with Orphan Drug Designation, including the potential for market exclusivity.</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GEN-1 has been granted orphan drug designation for ovarian cancer in both the U.S. and Europe.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has been granted orphan drug designation for primary liver cancer in both the U.S. and Europe.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Even though we have obtained Orphan Drug Designation for GEN-1 and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GEN-1 and ThermoDox® have received U.S. FDA Fast Track Designation in 2021 and 2010, respectively. However, we may not experience a faster development process, review, or approval compared to conventional FDA procedures. The FDA may withdraw our Fast-Track designation if the FDA believes that the designation is no longer supported by data from our clinical or pivotal development program. Our Fast-Track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providers, physicians and third-party payors in the U.S.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85" w:lineRule="exact"/>
        <w:rPr>
          <w:sz w:val="20"/>
          <w:szCs w:val="20"/>
          <w:color w:val="auto"/>
        </w:rPr>
      </w:pPr>
    </w:p>
    <w:p>
      <w:pPr>
        <w:jc w:val="both"/>
        <w:ind w:left="660" w:hanging="328"/>
        <w:spacing w:after="0" w:line="25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94"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FCA, and civil monetary penalty laws which prohibit, among other things, individuals or entities from knowingly presenting, or causing to be presented, false, fictious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left="660" w:hanging="328"/>
        <w:spacing w:after="0" w:line="272"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7"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U.S.,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certain point-of-sale discounts off negotiated prices of applicable brand drugs to eligible beneficiaries during their coverage gap period, as a condition for the manufacturer’s outpatient drugs to be covered under Medicare Part D.</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its enactment, some of the provisions of the ACA have yet to be fully implemented, while certain provisions have been subject to judicial, congressional, and executive challenges.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has allotted one hour for oral arguments. The United States Supreme Court is expected to rule on the legal challenge to the constitutionality of the ACA in early 2021. We cannot predict what affect further changes to the ACA would have on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Other legislative changes have been proposed and adopted in the U.S. since the ACA was enacted, affecting among other matters, Medicare payments to providers.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Several states have adopted price transparency requirements and those as well as any future federal price transparency requirements that may be implemented in the future could have a negative effect on our business.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U.S. to increase pressure on drug pricing. Such reforms could have an adverse effect on anticipated revenues any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we continue to conduct clinical trials in the EEA, we must also ensure that we maintain adequate safeguards to enable the transfer of personal data outside of the EEA, in particular to the U.S.,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The reimbursement status of newly approved medical products is subject to significant uncertainty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Government authorities and other third-party payors decide which drugs and treatments they will cover and the amount of reimbursement. In the U.S.,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Coverage and reimbursement by a third-party payor may depend upon a number of factors, including the third-party payor’s determination that use of a product is:</w:t>
      </w:r>
    </w:p>
    <w:p>
      <w:pPr>
        <w:spacing w:after="0" w:line="178"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Government, private health insurers and other third-party payors are increasingly attempting to contain healthcare costs by limiting both coverage and the level of reimbursement for new therapeutic products approved for marketing by the FDA. For example, Congress passed the ACA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price disclosures,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U.S., and the FDA may not accept data from trials conducted in foreign locations.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of our current clinical trials are being conducted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U.S. must be representative of the population for whom we intend to label the product in the U.S.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U.S. If the FDA does not accept the data from such clinical trials, it would likely result in the need for additional trials, which would be costly and time-consuming and delay or permanently halt our development of our product candidates.</w:t>
      </w:r>
    </w:p>
    <w:p>
      <w:pPr>
        <w:spacing w:after="0" w:line="17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or the third parties upon whom we depend on may be adversely affected by earthquakes, global pandemics or other natural disasters and our business continuity and disaster recovery plans may not adequately protect us from a serious disaster, including earthquakes or other natural disasters.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current operations are located in our facilities in Lawrenceville, New Jersey. Any unplanned event, such as flood, fire, explosion, earthquake, extreme weather condition,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Please see the risk factor titled “</w:t>
      </w:r>
      <w:r>
        <w:rPr>
          <w:rFonts w:ascii="Arial" w:cs="Arial" w:eastAsia="Arial" w:hAnsi="Arial"/>
          <w:sz w:val="16"/>
          <w:szCs w:val="16"/>
          <w:i w:val="1"/>
          <w:iCs w:val="1"/>
          <w:color w:val="auto"/>
        </w:rPr>
        <w:t>The outbreak, severity and duration of the novel coronavirus disease, COVID-19, pandemic could adversely impact our business,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our preclinical studies and clinical trials</w:t>
      </w:r>
      <w:r>
        <w:rPr>
          <w:rFonts w:ascii="Arial" w:cs="Arial" w:eastAsia="Arial" w:hAnsi="Arial"/>
          <w:sz w:val="16"/>
          <w:szCs w:val="16"/>
          <w:color w:val="auto"/>
        </w:rPr>
        <w:t>” for information regarding the COVID-19 pandemic.</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disaster recovery and business continuity plan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Pandemics such as the COVID-19 coronavirus could have an adverse impact on our developmental programs and our financial condition.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the COVID-19 coronavirus was first identified in Wuhan, Hubei Province, China. Any outbreak of contagious diseases, or other adverse public health developments, could have a material and adverse effect on our business operations. These could include disruptions or restrictions on our ability to travel, pursue partnerships and other business transactions, conduct clinical trials, make shipments of biologic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The extent to which the COVID-19 coronavirus impacts our business will depend on future developments, which are highly uncertain and cannot be predicted, including new information which may emerge concerning the severity of the COVID-19 coronavirus and the actions to contain the COVID-19 coronavirus or treat its impact,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29" w:gutter="0" w:footer="0" w:header="0"/>
        </w:sectPr>
      </w:pPr>
    </w:p>
    <w:bookmarkStart w:id="54" w:name="page55"/>
    <w:bookmarkEnd w:id="54"/>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closing price of our common stock as reported on NASDAQ had a high price of $2.47 and a low price of $1.08 in the 52-week period ended December 31, 2019, a high price of $5.26 and a low price of $0.47 in the 52-week period ended December 31, 2020, and a high price of $2.81 and a low price of $0.79 from January 1, 2021 through March 18,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Among the factors that may cause the market price of our common stock to fluctuate are the risks described in this “Risk Factors” section and other factors, including:</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currently listed on The Nasdaq Capital Market. To maintain the listing of our common stock on The Nasdaq Capital Market, we are required to meet certain listing requirements, including, among others, a minimum closing bid price of $1.00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spacing w:after="0" w:line="273" w:lineRule="auto"/>
        <w:rPr>
          <w:sz w:val="20"/>
          <w:szCs w:val="20"/>
          <w:color w:val="auto"/>
        </w:rPr>
      </w:pPr>
      <w:r>
        <w:rPr>
          <w:rFonts w:ascii="Arial" w:cs="Arial" w:eastAsia="Arial" w:hAnsi="Arial"/>
          <w:sz w:val="17"/>
          <w:szCs w:val="17"/>
          <w:color w:val="auto"/>
        </w:rPr>
        <w:t>On October 13, 2020, we received notice from The Nasdaq Stock Market (“Nasdaq”) that the closing bid price for our common stock had been below $1.00 per share for the previous 30 consecutive business days, and that we are therefore not in compliance with the minimum bid price requirement for continued inclusion on The Nasdaq Capital Market under Nasdaq Listing Rule 5550(a)(2) (the “Rule”). Nasdaq’s notice had no immediate effect on the listing or trading of our common stock on The Nasdaq Capital Market. The notice indicated that we would have 180 calendar days, until April 12, 2021, to regain compliance with this requirement. To regain compliance with the $1.00 minimum bid listing requirement, the closing bid price of our common stock must be at least $1.00 per share for a minimum of ten (10) consecutive business days during the 180-day compliance period.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On February 3, 2021, the Company received written notice from the Listing Qualifications Staff of Nasdaq notifying the Company that, for the previous ten</w:t>
      </w:r>
    </w:p>
    <w:p>
      <w:pPr>
        <w:spacing w:after="0" w:line="46" w:lineRule="exact"/>
        <w:rPr>
          <w:sz w:val="20"/>
          <w:szCs w:val="20"/>
          <w:color w:val="auto"/>
        </w:rPr>
      </w:pPr>
    </w:p>
    <w:p>
      <w:pPr>
        <w:jc w:val="both"/>
        <w:ind w:firstLine="8"/>
        <w:spacing w:after="0" w:line="273" w:lineRule="auto"/>
        <w:tabs>
          <w:tab w:leader="none" w:pos="3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consecutive business days, from January 20, 2021 to February 2, 2021, the closing bid price for the Company’s common stock was $1.00 per share or greater. Accordingly, the written notice stated that the Company has regained compliance with the minimum bid price listing requirement set forth under the Rule. If in the future we are unable to comply with one or more of the Nasdaq listing standards, we could receive a notice of non-compliance and, if we are not able to regain compliance within the requisite time period, Nasdaq could take action to delist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18, 2021, we had 75,011,774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18, 2021, we have the following number of securities convertible into, or allowing the purchase of, our common stock, including 2,636,899 shares of common stock issuable upon exercise of warrants outstanding, 6,586,435 options to purchase shares of our common stock and restricted stock awards outstanding, and 59,493 shares of common stock reserved for future issuance under our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 could adversely affect our financial condition and results of operations.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on March 27, 2020, former President Trump signed into law the “Coronavirus Aid, Relief, and Economic Security Act” or the CARES Act, which included certain changes in tax law intended to stimulate the U.S. economy in light of the COVID-19 coronavirus pandemic, including temporary beneficial changes to the treatment of net operating losses, interest deductibility limitations and payroll tax matters.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22, 2017, the then President of the U.S.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2020, 2019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2018 and 2020. As a result, the utilization of our federal tax net operating loss carry-forwards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 Future changes in tax laws could also impair our corporate tax rate and/or our ability to utilize our NOLs.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staggered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Under the terms of the current lease, which was amended effective May 1, 2017, we reduced the size of the premises to 7,565 square feet and are paying a monthly rent that ranges from approximately $18,900 in the first year to approximately $20,500 in the final year of the amendment.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In connection with the Asset Purchase Agreement with EGEN in June 2014, we assumed the existing lease with another landlord for an 11,500 square foot premises located in Huntsville, Alabama. In January 2018, we entered into a new 60-month lease agreement for 9,049 square feet with rent payments of approximately $18,100 per month.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Following is a table of future payments and maturity of our operating lease liabilities as of December 31, 2020:</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9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9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year ending</w:t>
            </w:r>
          </w:p>
        </w:tc>
      </w:tr>
      <w:tr>
        <w:trPr>
          <w:trHeight w:val="241"/>
        </w:trPr>
        <w:tc>
          <w:tcPr>
            <w:tcW w:w="9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9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530,734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535,579</w:t>
            </w:r>
          </w:p>
        </w:tc>
        <w:tc>
          <w:tcPr>
            <w:tcW w:w="140" w:type="dxa"/>
            <w:vAlign w:val="bottom"/>
          </w:tcPr>
          <w:p>
            <w:pPr>
              <w:spacing w:after="0"/>
              <w:rPr>
                <w:sz w:val="18"/>
                <w:szCs w:val="18"/>
                <w:color w:val="auto"/>
              </w:rPr>
            </w:pPr>
          </w:p>
        </w:tc>
      </w:tr>
      <w:tr>
        <w:trPr>
          <w:trHeight w:val="249"/>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233,117</w:t>
            </w:r>
          </w:p>
        </w:tc>
        <w:tc>
          <w:tcPr>
            <w:tcW w:w="140" w:type="dxa"/>
            <w:vAlign w:val="bottom"/>
            <w:shd w:val="clear" w:color="auto" w:fill="CCEEFF"/>
          </w:tcPr>
          <w:p>
            <w:pPr>
              <w:spacing w:after="0"/>
              <w:rPr>
                <w:sz w:val="21"/>
                <w:szCs w:val="21"/>
                <w:color w:val="auto"/>
              </w:rPr>
            </w:pPr>
          </w:p>
        </w:tc>
      </w:tr>
      <w:tr>
        <w:trPr>
          <w:trHeight w:val="203"/>
        </w:trPr>
        <w:tc>
          <w:tcPr>
            <w:tcW w:w="9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1,299,430</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49"/>
        </w:trPr>
        <w:tc>
          <w:tcPr>
            <w:tcW w:w="9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(155,712)</w:t>
            </w:r>
          </w:p>
        </w:tc>
      </w:tr>
      <w:tr>
        <w:trPr>
          <w:trHeight w:val="210"/>
        </w:trPr>
        <w:tc>
          <w:tcPr>
            <w:tcW w:w="94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1,143,718</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9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940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200" w:type="dxa"/>
            <w:vAlign w:val="bottom"/>
          </w:tcPr>
          <w:p>
            <w:pPr>
              <w:spacing w:after="0"/>
              <w:rPr>
                <w:sz w:val="20"/>
                <w:szCs w:val="20"/>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2.46 years</w:t>
            </w:r>
          </w:p>
        </w:tc>
      </w:tr>
      <w:tr>
        <w:trPr>
          <w:trHeight w:val="216"/>
        </w:trPr>
        <w:tc>
          <w:tcPr>
            <w:tcW w:w="9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1"/>
                <w:szCs w:val="21"/>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9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operating lease expense was $522,380 and cash paid for operating leases included in operating cash flows was $525,809. For 2019, operating lease expense was $522,380 and cash paid for operating leases included in operating cash flows was $485,848.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7"/>
          <w:szCs w:val="17"/>
          <w:i w:val="1"/>
          <w:iCs w:val="1"/>
          <w:color w:val="auto"/>
        </w:rPr>
        <w:t>Fidler v. Michael H. Tardugno et al.</w:t>
      </w:r>
      <w:r>
        <w:rPr>
          <w:rFonts w:ascii="Arial" w:cs="Arial" w:eastAsia="Arial" w:hAnsi="Arial"/>
          <w:sz w:val="17"/>
          <w:szCs w:val="17"/>
          <w:color w:val="auto"/>
        </w:rPr>
        <w:t>, Case No. 3:21-cv-02662. The plaintiff alleges breach of fiduciary duty and other claims arising out of alleged statements made by certain of the Company’s directors and/or officers regarding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w:t>
      </w:r>
    </w:p>
    <w:p>
      <w:pPr>
        <w:spacing w:after="0" w:line="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Capital Market under the symbol “CLSN”.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18, 2021, there were approximately 55,000 stockholders of record of our common stock. The actual number of stockholders may be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Part III, Item 12. Security Ownership of Certain Beneficial Owners and Management and Related Stockholder Matter-Equity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Plan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following discussions should be read in conjunction with our financial statements and related notes thereto included in this Annual Report. The following discussion contains forward-looking statements made pursuant to the safe harbor provisions of Section 27A of the Securities Act and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Arial" w:cs="Arial" w:eastAsia="Arial" w:hAnsi="Arial"/>
          <w:sz w:val="18"/>
          <w:szCs w:val="18"/>
          <w:b w:val="1"/>
          <w:bCs w:val="1"/>
          <w:color w:val="auto"/>
        </w:rPr>
        <w:t>“Part I, Item 1A - Risk Factors”</w:t>
      </w:r>
      <w:r>
        <w:rPr>
          <w:rFonts w:ascii="Arial" w:cs="Arial" w:eastAsia="Arial" w:hAnsi="Arial"/>
          <w:sz w:val="18"/>
          <w:szCs w:val="18"/>
          <w:color w:val="auto"/>
        </w:rPr>
        <w:t xml:space="preserve"> appearing in this Annual Report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 ThermoDox®,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OVATION I Study. </w:t>
      </w:r>
      <w:r>
        <w:rPr>
          <w:rFonts w:ascii="Arial" w:cs="Arial" w:eastAsia="Arial" w:hAnsi="Arial"/>
          <w:sz w:val="17"/>
          <w:szCs w:val="17"/>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GEN-1 by recruiting and maximizing an immune response;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31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9640" w:hanging="192"/>
        <w:spacing w:after="0"/>
        <w:tabs>
          <w:tab w:leader="none" w:pos="9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w:t>
      </w:r>
    </w:p>
    <w:p>
      <w:pPr>
        <w:spacing w:after="0" w:line="23" w:lineRule="exact"/>
        <w:rPr>
          <w:sz w:val="20"/>
          <w:szCs w:val="20"/>
          <w:color w:val="auto"/>
        </w:rPr>
      </w:pPr>
    </w:p>
    <w:p>
      <w:pPr>
        <w:jc w:val="center"/>
        <w:ind w:left="7980"/>
        <w:spacing w:after="0"/>
        <w:rPr>
          <w:sz w:val="20"/>
          <w:szCs w:val="20"/>
          <w:color w:val="auto"/>
        </w:rPr>
      </w:pPr>
      <w:r>
        <w:rPr>
          <w:rFonts w:ascii="Arial" w:cs="Arial" w:eastAsia="Arial" w:hAnsi="Arial"/>
          <w:sz w:val="18"/>
          <w:szCs w:val="18"/>
          <w:color w:val="auto"/>
        </w:rPr>
        <w:t>Patients</w:t>
      </w:r>
    </w:p>
    <w:p>
      <w:pPr>
        <w:spacing w:after="0" w:line="9" w:lineRule="exact"/>
        <w:rPr>
          <w:sz w:val="20"/>
          <w:szCs w:val="20"/>
          <w:color w:val="auto"/>
        </w:rPr>
      </w:pPr>
    </w:p>
    <w:p>
      <w:pPr>
        <w:jc w:val="center"/>
        <w:ind w:left="7980"/>
        <w:spacing w:after="0"/>
        <w:rPr>
          <w:sz w:val="20"/>
          <w:szCs w:val="20"/>
          <w:color w:val="auto"/>
        </w:rPr>
      </w:pPr>
      <w:r>
        <w:rPr>
          <w:rFonts w:ascii="Arial" w:cs="Arial" w:eastAsia="Arial" w:hAnsi="Arial"/>
          <w:sz w:val="18"/>
          <w:szCs w:val="18"/>
          <w:color w:val="auto"/>
        </w:rPr>
        <w:t>with R0</w:t>
      </w:r>
    </w:p>
    <w:p>
      <w:pPr>
        <w:spacing w:after="0" w:line="9" w:lineRule="exact"/>
        <w:rPr>
          <w:sz w:val="20"/>
          <w:szCs w:val="20"/>
          <w:color w:val="auto"/>
        </w:rPr>
      </w:pPr>
    </w:p>
    <w:p>
      <w:pPr>
        <w:jc w:val="center"/>
        <w:ind w:left="7980"/>
        <w:spacing w:after="0"/>
        <w:rPr>
          <w:sz w:val="20"/>
          <w:szCs w:val="20"/>
          <w:color w:val="auto"/>
        </w:rPr>
      </w:pPr>
      <w:r>
        <w:rPr>
          <w:rFonts w:ascii="Arial" w:cs="Arial" w:eastAsia="Arial" w:hAnsi="Arial"/>
          <w:sz w:val="18"/>
          <w:szCs w:val="18"/>
          <w:color w:val="auto"/>
        </w:rPr>
        <w:t>Resections</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508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0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GEN-1 plus NACT</w:t>
            </w:r>
          </w:p>
        </w:tc>
        <w:tc>
          <w:tcPr>
            <w:tcW w:w="3080" w:type="dxa"/>
            <w:vAlign w:val="bottom"/>
            <w:shd w:val="clear" w:color="auto" w:fill="CCEEFF"/>
          </w:tcPr>
          <w:p>
            <w:pPr>
              <w:ind w:left="2120"/>
              <w:spacing w:after="0" w:line="203" w:lineRule="exact"/>
              <w:rPr>
                <w:sz w:val="20"/>
                <w:szCs w:val="20"/>
                <w:color w:val="auto"/>
              </w:rPr>
            </w:pPr>
            <w:r>
              <w:rPr>
                <w:rFonts w:ascii="Arial" w:cs="Arial" w:eastAsia="Arial" w:hAnsi="Arial"/>
                <w:sz w:val="18"/>
                <w:szCs w:val="18"/>
                <w:color w:val="auto"/>
              </w:rPr>
              <w:t>n=12</w:t>
            </w:r>
          </w:p>
        </w:tc>
        <w:tc>
          <w:tcPr>
            <w:tcW w:w="13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3080" w:type="dxa"/>
            <w:vAlign w:val="bottom"/>
          </w:tcPr>
          <w:p>
            <w:pPr>
              <w:ind w:left="2120"/>
              <w:spacing w:after="0"/>
              <w:rPr>
                <w:sz w:val="20"/>
                <w:szCs w:val="20"/>
                <w:color w:val="auto"/>
              </w:rPr>
            </w:pPr>
            <w:r>
              <w:rPr>
                <w:rFonts w:ascii="Arial" w:cs="Arial" w:eastAsia="Arial" w:hAnsi="Arial"/>
                <w:sz w:val="18"/>
                <w:szCs w:val="18"/>
                <w:color w:val="auto"/>
              </w:rPr>
              <w:t>n=17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ind w:left="66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OVATION 2 Study with GEN-1 in advanced ovarian cancer. The Company anticipates completing enrollment of up to 110 patients in the second half of 2021.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On February 22, 2021, the Company announced that it has received Fast Track designation from the FDA for GEN-1, its DNA-mediated IL-12 immunotherapy currently in Phase II development for the treatment of advanced ovarian cancer.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25, 2021, the Company provided an update on the OVATION 2 Study. The Company reported that approximately one-third, or 34 patients, of the anticipated 110 patients had been enrolled into the OVATION 2 Study, of which 20 are in the treatment arm and 14 are in the control. Currently, 27 patients have had their interval debulking surgery with the following results:</w:t>
      </w:r>
    </w:p>
    <w:p>
      <w:pPr>
        <w:spacing w:after="0" w:line="184" w:lineRule="exact"/>
        <w:rPr>
          <w:sz w:val="20"/>
          <w:szCs w:val="20"/>
          <w:color w:val="auto"/>
        </w:rPr>
      </w:pPr>
    </w:p>
    <w:p>
      <w:pPr>
        <w:ind w:left="66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 of 15, or 80%, of patients treated with GEN-1 had a R0 resection, which indicates a microscopically margin-negative complete resection in which no gross or microscopic tumor remains in the tumor bed.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 of 12 patients, or 58%, of patients in the control arm had an R0 resection.</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further reported that 22 clinical sites in the U.S. and Canada have been initiated, with three more sites expected to be added by the end of the first quarter. Clinical investigators met in early February 2021 in a virtual meeting and expressed excitement about the potential for GEN-1 to treat advanced ovarian cancer and, despite the challenges and earlier delays posed by the COVID-19 pandemic, they remain committed to completing enrollment in the study during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TECHNOLOGY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Celsion’s PLACCINE DNA vaccine technology platform is characterized by a single multi-cistronic DNA plasmid vector expressing multiple pathogen antigens along with a potent immune modifier and delivered with a synthetic delivery system. It is easily adaptable to creating vaccines for a multitude of pathogens, including emerging pathogens leading to pandemics as well as infectious diseases that have yet to be effectively addressed with current vaccine technologies. This flexible vaccine platform is well supported by an already established supply chain to produce any plasmid vector and its assembly into a respective vaccine formulation.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nanoparticles are stable at storage temperatures of 4</w:t>
      </w:r>
      <w:r>
        <w:rPr>
          <w:rFonts w:ascii="Arial" w:cs="Arial" w:eastAsia="Arial" w:hAnsi="Arial"/>
          <w:sz w:val="29"/>
          <w:szCs w:val="29"/>
          <w:color w:val="auto"/>
          <w:vertAlign w:val="superscript"/>
        </w:rPr>
        <w:t>o</w:t>
      </w:r>
      <w:r>
        <w:rPr>
          <w:rFonts w:ascii="Arial" w:cs="Arial" w:eastAsia="Arial" w:hAnsi="Arial"/>
          <w:sz w:val="18"/>
          <w:szCs w:val="18"/>
          <w:color w:val="auto"/>
        </w:rPr>
        <w:t>C to 25</w:t>
      </w:r>
      <w:r>
        <w:rPr>
          <w:rFonts w:ascii="Arial" w:cs="Arial" w:eastAsia="Arial" w:hAnsi="Arial"/>
          <w:sz w:val="29"/>
          <w:szCs w:val="29"/>
          <w:color w:val="auto"/>
          <w:vertAlign w:val="superscript"/>
        </w:rPr>
        <w:t>o</w:t>
      </w:r>
      <w:r>
        <w:rPr>
          <w:rFonts w:ascii="Arial" w:cs="Arial" w:eastAsia="Arial" w:hAnsi="Arial"/>
          <w:sz w:val="18"/>
          <w:szCs w:val="18"/>
          <w:color w:val="auto"/>
        </w:rPr>
        <w:t>C, making vaccines developed on this platform easily suitable for broad world-wide distribution.</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Celsion’s next generation vaccine initiative stands at the confluence of immunotherapy and immunogenicity and envisions delivery, on a single plasmid, multiple SARS-CoV-2 antigens in conjunction with a potent immune modifier, interleukin-12 (IL-12), which directs a TH-1 immune response, stimulates T-cell immunity, and also promises the promotion of humoral immunity (antibody response). While most COVID-19 vaccines in late-stage clinical development are monovalent (S protein antigen only), Celsion has taken this multivalent approach in an effort to generate an even more robust immune response that not only results in a strong neutralizing antibody response, but also a more robust and durable T-cell response.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Celsion’s vaccine candidate approach comprises a single plasmid vector containing the DNA sequence encoding the cytokine IL-12 and multiple SARS-CoV-2 antigens, including S antigen in combination with the membrane (M) or nucleocapsid (N) antigen.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w:t>
      </w:r>
    </w:p>
    <w:p>
      <w:pPr>
        <w:spacing w:after="0" w:line="157" w:lineRule="exact"/>
        <w:rPr>
          <w:sz w:val="20"/>
          <w:szCs w:val="20"/>
          <w:color w:val="auto"/>
        </w:rPr>
      </w:pPr>
    </w:p>
    <w:p>
      <w:pPr>
        <w:jc w:val="both"/>
        <w:ind w:left="660" w:hanging="328"/>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While the antibodies against S antigen would prevent virus entry into cells, the M and N antibodies could help virus clearance through antibody-mediated opsonization and phagocytosis. The presentation of multiple antigens on the cell surface of vaccine-injected tissue produces a broad variety of killer T-cells which could potentially produce more efficient viral clearance than a single antigen vaccine.</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IL-12 is an essential regulator of the differentiation, proliferation, and maintenance of T helper 1 (TH-1) cells that generate killer T-cells and memory T-cells against virally infected cells, its simultaneous expression could boost the viral clearance by the vaccine and improve the immune system’s memory against any future exposure of the same virus.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Finally,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along with a potent immune modifier. It is delivered via a synthetic delivery system and has the potential to be easily modified to create vaccines against a multitude of infectious diseases, addressing:</w:t>
      </w:r>
    </w:p>
    <w:p>
      <w:pPr>
        <w:spacing w:after="0" w:line="172" w:lineRule="exact"/>
        <w:rPr>
          <w:sz w:val="20"/>
          <w:szCs w:val="20"/>
          <w:color w:val="auto"/>
        </w:rPr>
      </w:pPr>
    </w:p>
    <w:p>
      <w:pPr>
        <w:ind w:left="660" w:hanging="328"/>
        <w:spacing w:after="0" w:line="28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ind w:left="660" w:hanging="328"/>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Enhanced Efficacy</w:t>
      </w:r>
      <w:r>
        <w:rPr>
          <w:rFonts w:ascii="Arial" w:cs="Arial" w:eastAsia="Arial" w:hAnsi="Arial"/>
          <w:sz w:val="18"/>
          <w:szCs w:val="18"/>
          <w:color w:val="auto"/>
        </w:rPr>
        <w:t>: The potent immune modifier IL-12 may improve humoral and cellular responses to viral antigens and can be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plasmid.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can result in durable antigen exposure and a robust vaccine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Primary Liver Cancer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Liver Cancer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Hepatocellular carcinoma (“HCC”) is one of the most common and deadliest forms of cancer worldwide. It ranks as the third most common solid tumor cancer. It is estimated that up to 90% of liver cancer patients will die within five years of diagnosis. The incidence of primary liver cancer is approximately 35,000 cases per year in the U.S., approximately 65,000 cases per year in Europe and is increasing at approximately 2-3% per year worldwide. Global incidence (per 2017 GLOBALCAN statistics) is reported at 755,000 cases. The World Health Organization (the “WHO”) has projected that HCC will be the most prevalent form of cancer by 2030. HCC is commonly diagnosed in patients with longstanding hepatic disease and cirrhosis (primarily due to hepatitis C in the U.S., Japan and Europe and hepatitis B in Asia).</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OPTIMA Study represents an evaluation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jc w:val="both"/>
        <w:spacing w:after="0" w:line="227" w:lineRule="auto"/>
        <w:rPr>
          <w:sz w:val="20"/>
          <w:szCs w:val="20"/>
          <w:color w:val="auto"/>
        </w:rPr>
      </w:pPr>
      <w:r>
        <w:rPr>
          <w:rFonts w:ascii="Arial" w:cs="Arial" w:eastAsia="Arial" w:hAnsi="Arial"/>
          <w:sz w:val="18"/>
          <w:szCs w:val="18"/>
          <w:color w:val="auto"/>
        </w:rPr>
        <w:t>(EU), China and other countries in the Asia-Pacific region and will evaluate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2014, we announced that the FDA provided clearance for the OPTIMA Study, which is a pivotal, double-blind, placebo-controlled Phase</w:t>
      </w:r>
    </w:p>
    <w:p>
      <w:pPr>
        <w:spacing w:after="0" w:line="46" w:lineRule="exact"/>
        <w:rPr>
          <w:sz w:val="20"/>
          <w:szCs w:val="20"/>
          <w:color w:val="auto"/>
        </w:rPr>
      </w:pPr>
    </w:p>
    <w:p>
      <w:pPr>
        <w:jc w:val="both"/>
        <w:ind w:firstLine="8"/>
        <w:spacing w:after="0" w:line="221" w:lineRule="auto"/>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trial of ThermoDox</w:t>
      </w:r>
      <w:r>
        <w:rPr>
          <w:rFonts w:ascii="Arial" w:cs="Arial" w:eastAsia="Arial" w:hAnsi="Arial"/>
          <w:sz w:val="29"/>
          <w:szCs w:val="29"/>
          <w:color w:val="auto"/>
          <w:vertAlign w:val="superscript"/>
        </w:rPr>
        <w:t>®</w:t>
      </w:r>
      <w:r>
        <w:rPr>
          <w:rFonts w:ascii="Arial" w:cs="Arial" w:eastAsia="Arial" w:hAnsi="Arial"/>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Post-hoc data analysis from our earlier Phase III HEAT Study suggests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patients with a single lesion (n=285, 41% of the HEAT Study patients), treatment with a combination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optimized RFA provided an average 54% risk improvement in OS compared to optimized RFA alone. The HR at this analysis is 0.65 (95% CI 0.45 - 0.94) with a p-value of 0.02. Median OS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has been reached which translates into a two-year survival benefit over the optimized RFA group (projected to be</w:t>
      </w:r>
    </w:p>
    <w:p>
      <w:pPr>
        <w:spacing w:after="0" w:line="206" w:lineRule="auto"/>
        <w:rPr>
          <w:sz w:val="20"/>
          <w:szCs w:val="20"/>
          <w:color w:val="auto"/>
        </w:rPr>
      </w:pPr>
      <w:r>
        <w:rPr>
          <w:rFonts w:ascii="Arial" w:cs="Arial" w:eastAsia="Arial" w:hAnsi="Arial"/>
          <w:sz w:val="16"/>
          <w:szCs w:val="16"/>
          <w:color w:val="auto"/>
        </w:rPr>
        <w:t>greater than 80 months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plus optimized RFA group compared to less than 60 months projection for the optimized RFA only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should be viewed with caution since it is based on a retrospective analysis of a subgroup.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conducted additional analyses that further strengthen the evidence for the HEAT Study subgroup.</w:t>
      </w:r>
    </w:p>
    <w:p>
      <w:pPr>
        <w:spacing w:after="0" w:line="225" w:lineRule="exact"/>
        <w:rPr>
          <w:sz w:val="20"/>
          <w:szCs w:val="20"/>
          <w:color w:val="auto"/>
        </w:rPr>
      </w:pPr>
    </w:p>
    <w:p>
      <w:pPr>
        <w:ind w:left="6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commissioned an independent computational model at the University of South Carolina Medical School. The results unequivocally indicate that longer RFA heating times correlate with significant increases in doxorubicin concentration around the RFA treated tissue.</w:t>
      </w:r>
    </w:p>
    <w:p>
      <w:pPr>
        <w:spacing w:after="0" w:line="146" w:lineRule="exact"/>
        <w:rPr>
          <w:rFonts w:ascii="Arial" w:cs="Arial" w:eastAsia="Arial" w:hAnsi="Arial"/>
          <w:sz w:val="17"/>
          <w:szCs w:val="17"/>
          <w:color w:val="auto"/>
        </w:rPr>
      </w:pPr>
    </w:p>
    <w:p>
      <w:pPr>
        <w:ind w:left="660" w:hanging="328"/>
        <w:spacing w:after="0" w:line="28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addition, we conducted a prospective preclinical study in 22 pigs using two different manufacturers of RFA and human equivalent doses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that clearly support the relationship between increased heating duration and doxorubicin concentrations.</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with the full data set from the Company’s HEAT Study. The analysis evaluated the full data set to determine if there was a correlation between baseline tumor volume and RFA heating time</w:t>
      </w:r>
    </w:p>
    <w:p>
      <w:pPr>
        <w:jc w:val="both"/>
        <w:spacing w:after="0" w:line="219" w:lineRule="auto"/>
        <w:rPr>
          <w:sz w:val="20"/>
          <w:szCs w:val="20"/>
          <w:color w:val="auto"/>
        </w:rPr>
      </w:pPr>
      <w:r>
        <w:rPr>
          <w:rFonts w:ascii="Arial" w:cs="Arial" w:eastAsia="Arial" w:hAnsi="Arial"/>
          <w:sz w:val="17"/>
          <w:szCs w:val="17"/>
          <w:color w:val="auto"/>
        </w:rPr>
        <w:t>(minutes/tumor volume in milliliters), with or without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OS in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RFA alone.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was consistent with the Company’s own results, which defined the optimized RFA procedure as a 45-minute treatment for tumors with a diameter of 3 centimeters. Thus, the NIH analysis lent support to the hypothesis underpinning the OPTIMA Study.</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has left the final decision of whether or not to stop the OPTIMA Study to Celsion. There were no safety concerns noted during the interim analysis. The Company followed the advice of the DMC and considered its options either to stop the study or continue to follow patients after a thorough review of the data, and an evaluation of our probability of success. Timing for this decision is made less urgent by the fact that the OPTIMA Study has been fully enrolled since August 2018 and that the vast majority of the trial expenses have already been incurred.</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70" w:lineRule="auto"/>
        <w:rPr>
          <w:sz w:val="20"/>
          <w:szCs w:val="20"/>
          <w:color w:val="auto"/>
        </w:rPr>
      </w:pPr>
      <w:r>
        <w:rPr>
          <w:rFonts w:ascii="Arial" w:cs="Arial" w:eastAsia="Arial" w:hAnsi="Arial"/>
          <w:sz w:val="16"/>
          <w:szCs w:val="16"/>
          <w:color w:val="auto"/>
        </w:rPr>
        <w:t>issue. On October 12, 2020, the Company provided an update on the ongoing data analysis from its Phase III OPTIMA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well as growing interest among clinical investigators in conducting studies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monotherapy or in combination with other therapies.</w:t>
      </w:r>
    </w:p>
    <w:p>
      <w:pPr>
        <w:spacing w:after="0" w:line="42" w:lineRule="exact"/>
        <w:rPr>
          <w:sz w:val="20"/>
          <w:szCs w:val="20"/>
          <w:color w:val="auto"/>
        </w:rPr>
      </w:pPr>
    </w:p>
    <w:p>
      <w:pPr>
        <w:jc w:val="both"/>
        <w:ind w:left="660" w:hanging="328"/>
        <w:spacing w:after="0" w:line="279"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parallel, the Company submitted all OPTIMA Study clinical trial data to the National Institutes of Health (NIH) with the expectation of receivings a report on the following:</w:t>
      </w:r>
    </w:p>
    <w:p>
      <w:pPr>
        <w:spacing w:after="0" w:line="170" w:lineRule="exact"/>
        <w:rPr>
          <w:rFonts w:ascii="Arial" w:cs="Arial" w:eastAsia="Arial" w:hAnsi="Arial"/>
          <w:sz w:val="18"/>
          <w:szCs w:val="18"/>
          <w:color w:val="auto"/>
        </w:rPr>
      </w:pPr>
    </w:p>
    <w:p>
      <w:pPr>
        <w:jc w:val="both"/>
        <w:ind w:left="980" w:hanging="324"/>
        <w:spacing w:after="0" w:line="231"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Arial" w:cs="Arial" w:eastAsia="Arial" w:hAnsi="Arial"/>
          <w:sz w:val="18"/>
          <w:szCs w:val="18"/>
          <w:i w:val="1"/>
          <w:iCs w:val="1"/>
          <w:color w:val="auto"/>
        </w:rPr>
        <w:t>Journal of Vascular and Interventional Radiology</w:t>
      </w:r>
      <w:r>
        <w:rPr>
          <w:rFonts w:ascii="Arial" w:cs="Arial" w:eastAsia="Arial" w:hAnsi="Arial"/>
          <w:sz w:val="18"/>
          <w:szCs w:val="18"/>
          <w:color w:val="auto"/>
        </w:rPr>
        <w:t>, in which the key finding was that increased RFA heating time per tumor volume significantly improved OS in patients with single lesion HCC who were treated with RFA plus ThermoDox</w:t>
      </w:r>
      <w:r>
        <w:rPr>
          <w:rFonts w:ascii="Arial" w:cs="Arial" w:eastAsia="Arial" w:hAnsi="Arial"/>
          <w:sz w:val="29"/>
          <w:szCs w:val="29"/>
          <w:color w:val="auto"/>
          <w:vertAlign w:val="superscript"/>
        </w:rPr>
        <w:t>®</w:t>
      </w:r>
      <w:r>
        <w:rPr>
          <w:rFonts w:ascii="Arial" w:cs="Arial" w:eastAsia="Arial" w:hAnsi="Arial"/>
          <w:sz w:val="18"/>
          <w:szCs w:val="18"/>
          <w:color w:val="auto"/>
        </w:rPr>
        <w:t>, compared with patients treated with RFA alone.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site-by-site evaluation for RFA heating time-based anomalies that may have contributed to the treatment arm performance.</w:t>
      </w:r>
    </w:p>
    <w:p>
      <w:pPr>
        <w:spacing w:after="0" w:line="7" w:lineRule="exact"/>
        <w:rPr>
          <w:rFonts w:ascii="Arial" w:cs="Arial" w:eastAsia="Arial" w:hAnsi="Arial"/>
          <w:sz w:val="18"/>
          <w:szCs w:val="18"/>
          <w:color w:val="auto"/>
        </w:rPr>
      </w:pPr>
    </w:p>
    <w:p>
      <w:pPr>
        <w:ind w:left="980" w:hanging="324"/>
        <w:spacing w:after="0" w:line="260"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image-based evaluation comparing results from the OPTIMA Study to the data from the HEAT Study that led to the RFA heating time hypothesis.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will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Studies with ThermoDox</w:t>
      </w:r>
      <w:r>
        <w:rPr>
          <w:rFonts w:ascii="Arial" w:cs="Arial" w:eastAsia="Arial" w:hAnsi="Arial"/>
          <w:sz w:val="29"/>
          <w:szCs w:val="29"/>
          <w:b w:val="1"/>
          <w:bCs w:val="1"/>
          <w:color w:val="auto"/>
          <w:vertAlign w:val="superscript"/>
        </w:rPr>
        <w:t>®</w:t>
      </w:r>
    </w:p>
    <w:p>
      <w:pPr>
        <w:spacing w:after="0" w:line="12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Celsion continues working closely and supporting investigations by others throughout the world in breast cancer, pancreatic cancer and in solid tumors in children. Following inquiries from the NIH, we intend to renew our Cooperative Research and Development Agreement (CRADA) with the Institute at a</w:t>
      </w:r>
    </w:p>
    <w:p>
      <w:pPr>
        <w:jc w:val="both"/>
        <w:spacing w:after="0" w:line="221" w:lineRule="auto"/>
        <w:rPr>
          <w:sz w:val="20"/>
          <w:szCs w:val="20"/>
          <w:color w:val="auto"/>
        </w:rPr>
      </w:pPr>
      <w:r>
        <w:rPr>
          <w:rFonts w:ascii="Arial" w:cs="Arial" w:eastAsia="Arial" w:hAnsi="Arial"/>
          <w:sz w:val="18"/>
          <w:szCs w:val="18"/>
          <w:color w:val="auto"/>
        </w:rPr>
        <w:t>nominal cost, one goal of which is to pursue their interest in 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summaries of several investigator-sponsored studies using ThermoDox®:</w:t>
      </w:r>
    </w:p>
    <w:p>
      <w:pPr>
        <w:spacing w:after="0" w:line="229" w:lineRule="exact"/>
        <w:rPr>
          <w:sz w:val="20"/>
          <w:szCs w:val="20"/>
          <w:color w:val="auto"/>
        </w:rPr>
      </w:pPr>
    </w:p>
    <w:p>
      <w:pPr>
        <w:jc w:val="both"/>
        <w:ind w:left="660" w:hanging="328"/>
        <w:spacing w:after="0" w:line="246" w:lineRule="auto"/>
        <w:tabs>
          <w:tab w:leader="none" w:pos="660" w:val="left"/>
        </w:tabs>
        <w:numPr>
          <w:ilvl w:val="0"/>
          <w:numId w:val="52"/>
        </w:numPr>
        <w:rPr>
          <w:rFonts w:ascii="Arial" w:cs="Arial" w:eastAsia="Arial" w:hAnsi="Arial"/>
          <w:sz w:val="32"/>
          <w:szCs w:val="32"/>
          <w:color w:val="auto"/>
          <w:vertAlign w:val="superscript"/>
        </w:rPr>
      </w:pPr>
      <w:r>
        <w:rPr>
          <w:rFonts w:ascii="Arial" w:cs="Arial" w:eastAsia="Arial" w:hAnsi="Arial"/>
          <w:sz w:val="16"/>
          <w:szCs w:val="16"/>
          <w:color w:val="auto"/>
        </w:rPr>
        <w:t>Oxford University plans to begin enrolling patients in a Phase I pancreatic cancer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High Intensity Focused Ultrasound (HIFU) in the first half of 2021. The primary objective of this trial, the </w:t>
      </w:r>
      <w:r>
        <w:rPr>
          <w:rFonts w:ascii="Arial" w:cs="Arial" w:eastAsia="Arial" w:hAnsi="Arial"/>
          <w:sz w:val="16"/>
          <w:szCs w:val="16"/>
          <w:i w:val="1"/>
          <w:iCs w:val="1"/>
          <w:color w:val="auto"/>
        </w:rPr>
        <w:t>PanDox Study: Targeted Doxorubicin in Pancreatic</w:t>
      </w:r>
      <w:r>
        <w:rPr>
          <w:rFonts w:ascii="Arial" w:cs="Arial" w:eastAsia="Arial" w:hAnsi="Arial"/>
          <w:sz w:val="16"/>
          <w:szCs w:val="16"/>
          <w:color w:val="auto"/>
        </w:rPr>
        <w:t xml:space="preserve"> </w:t>
      </w:r>
      <w:r>
        <w:rPr>
          <w:rFonts w:ascii="Arial" w:cs="Arial" w:eastAsia="Arial" w:hAnsi="Arial"/>
          <w:sz w:val="16"/>
          <w:szCs w:val="16"/>
          <w:i w:val="1"/>
          <w:iCs w:val="1"/>
          <w:color w:val="auto"/>
        </w:rPr>
        <w:t>Tumors</w:t>
      </w:r>
      <w:r>
        <w:rPr>
          <w:rFonts w:ascii="Arial" w:cs="Arial" w:eastAsia="Arial" w:hAnsi="Arial"/>
          <w:sz w:val="16"/>
          <w:szCs w:val="16"/>
          <w:color w:val="auto"/>
        </w:rPr>
        <w:t>, is to quantify the enhancement in intratumoral doxorubicin concentration when delivered with ThermoDox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HIFU, versus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doxorubicin monotherapy. This study is being undertaken pursuant to promising data in a mouse model of pancreatic cancer, which was published in the </w:t>
      </w:r>
      <w:r>
        <w:rPr>
          <w:rFonts w:ascii="Arial" w:cs="Arial" w:eastAsia="Arial" w:hAnsi="Arial"/>
          <w:sz w:val="16"/>
          <w:szCs w:val="16"/>
          <w:i w:val="1"/>
          <w:iCs w:val="1"/>
          <w:color w:val="auto"/>
        </w:rPr>
        <w:t>International Journal of Hyperthermia</w:t>
      </w:r>
      <w:r>
        <w:rPr>
          <w:rFonts w:ascii="Arial" w:cs="Arial" w:eastAsia="Arial" w:hAnsi="Arial"/>
          <w:sz w:val="16"/>
          <w:szCs w:val="16"/>
          <w:color w:val="auto"/>
        </w:rPr>
        <w:t xml:space="preserve"> in 2018. That preclinical study showed a 23x increase in intratumoral doxorubicin concentration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HIFU, compared with a 2x increase in intratumoral doxorubicin concentration with free doxorubicin plus HIFU.</w:t>
      </w:r>
    </w:p>
    <w:p>
      <w:pPr>
        <w:spacing w:after="0" w:line="73" w:lineRule="exact"/>
        <w:rPr>
          <w:rFonts w:ascii="Arial" w:cs="Arial" w:eastAsia="Arial" w:hAnsi="Arial"/>
          <w:sz w:val="32"/>
          <w:szCs w:val="32"/>
          <w:color w:val="auto"/>
          <w:vertAlign w:val="superscript"/>
        </w:rPr>
      </w:pPr>
    </w:p>
    <w:p>
      <w:pPr>
        <w:jc w:val="both"/>
        <w:ind w:left="660" w:hanging="328"/>
        <w:spacing w:after="0" w:line="24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Utrecht University in the Netherlands continues to enroll patients in a Phase I breast cancer study to determine the safety, tolerability and feasibility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clinical product for the trial.</w:t>
      </w:r>
    </w:p>
    <w:p>
      <w:pPr>
        <w:spacing w:after="0" w:line="83"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52"/>
        </w:numPr>
        <w:rPr>
          <w:rFonts w:ascii="Arial" w:cs="Arial" w:eastAsia="Arial" w:hAnsi="Arial"/>
          <w:sz w:val="34"/>
          <w:szCs w:val="34"/>
          <w:color w:val="auto"/>
          <w:vertAlign w:val="superscript"/>
        </w:rPr>
      </w:pPr>
      <w:r>
        <w:rPr>
          <w:rFonts w:ascii="Arial" w:cs="Arial" w:eastAsia="Arial" w:hAnsi="Arial"/>
          <w:sz w:val="17"/>
          <w:szCs w:val="17"/>
          <w:color w:val="auto"/>
        </w:rPr>
        <w:t>As evidence of the ongoing support Celsion enjoys from the NIH, they have organized a clinical project to evaluate ThermoDox</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plus the chemotherapy drug mitomycin in bladder cancer. Depending on the NIH timelines, this study may commence as early as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7"/>
          <w:szCs w:val="17"/>
          <w:color w:val="auto"/>
        </w:rPr>
        <w:t>Because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Not to Compete (CNTC)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a clinical 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Arial" w:cs="Arial" w:eastAsia="Arial" w:hAnsi="Arial"/>
          <w:sz w:val="18"/>
          <w:szCs w:val="18"/>
          <w:b w:val="1"/>
          <w:bCs w:val="1"/>
          <w:color w:val="auto"/>
        </w:rPr>
        <w:t>“Part I, Item 1A. Risk Factors”</w:t>
      </w:r>
      <w:r>
        <w:rPr>
          <w:rFonts w:ascii="Arial" w:cs="Arial" w:eastAsia="Arial" w:hAnsi="Arial"/>
          <w:sz w:val="18"/>
          <w:szCs w:val="18"/>
          <w:color w:val="auto"/>
        </w:rPr>
        <w:t xml:space="preserve"> in this Annual Report on Form 10-K.</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FDA. The Company has not generated significant revenue and has incurred significant net losses in each year since our inception. As of December 31, 2020, the Company has incurred approximately $312 million of cumulative net losses and we had approximately $17.2 million in cash and cash equivalents.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more fully discussed below,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2021, the Company entered into an agreement to sell the net operating losses from the 2020 application and expects to receive net proceeds of approximately $1.85 million by the end of the first quarter of 2021.</w:t>
      </w:r>
    </w:p>
    <w:p>
      <w:pPr>
        <w:spacing w:after="0" w:line="18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 more fully discussed in Note 10 to our Consolidated Financial Statements contained in this Form 10-K, during 2021 through the date of the filing of this Annual Report on Form 10-K, the Company has raised $6.9 million in gross proceeds from the use of its JonesTrading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financing facility, $35 million in gross proceeds from a registered direct financing completed in January 2021 and approximately $1.5 million in net proceeds through warrant exercises.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$17.2 million in cash and cash equivalents, coupled with approximately $43 million of gross proceeds received from the sale of equity thus far in 2021 and up to $1.85 million in expected net proceeds from the sale of its State of New Jersey net operating losses it applied for in 2020, the Company believes it has sufficient capital resources to fund its operations through 2023.</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expects to receive net proceeds of approximately $1.85 million by the end of the first quarter of 2021. Beginning in 2021, the New Jersey State Legislature increased the maximum lifetime benefit per company from $15 million to $20 million, which will allow the Company to participate in this innovative funding program in future years.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through July 2020, followed by a 24-month amortization period of principal and interest starting on August 1, 2020 and ending through the scheduled maturity date. On August 28, 2020, in connection with an Amendment to the Horizon Credit Agreement, Celsion repaid $5 million of the $10 million loan and $0.2 million in related end of term charges, and the remaining $5 million in obligations were restructured as more fully discussed in Note 8 to our Consolidated Financial Statements contained in this Form 10-K.</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and 2020, we issued a total of 21.1 million shares of common stock as discussed below for an aggregate $32.8 million in gross proceeds. During the first quarter of 2021, the Company issued an additional 34.3 million shares of common stock for an aggregate of $43.4 million in gross proceeds as discussed in more detail below.</w:t>
      </w:r>
    </w:p>
    <w:p>
      <w:pPr>
        <w:spacing w:after="0" w:line="184" w:lineRule="exact"/>
        <w:rPr>
          <w:sz w:val="20"/>
          <w:szCs w:val="20"/>
          <w:color w:val="auto"/>
        </w:rPr>
      </w:pPr>
    </w:p>
    <w:p>
      <w:pPr>
        <w:jc w:val="both"/>
        <w:ind w:left="660" w:hanging="328"/>
        <w:spacing w:after="0" w:line="26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October 28, 2019, Company, entered into the 2019 Aspire Purchase Agreement with Aspire Capital. The terms and conditions pursuant to the 2019 Aspire Purchase Agreement are substantially similar to the 2018 Aspire Purchase Agreement. Pursuant to the new 2019 Aspire Purchase Agreement,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100,000 Commitment Shares. On November 8, 2019, the Company filed with the SEC a Registration Statement on Form S-1 registering all the shares of common stock that may be offered to Aspire Capital from time to time under the 2019 Aspire Purchase Agreement. During 2019, the Company sold 0.5 million shares of common stock under the 2019 Aspire Purchase Agreement, receiving approximately $0.7 million in gross proceeds. On March 5, 2020, the Company delivered notice to Aspire Capital terminating the 2019 Aspire Purchase Agreement effective as of March 6, 2020. During the first quarter of 2020, the Company sold 1.0 million shares of common stock under the 2019 Aspire Purchase Agreement and received $1.6 million in gross proceeds.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jc w:val="both"/>
        <w:ind w:left="328" w:hanging="328"/>
        <w:spacing w:after="0" w:line="270" w:lineRule="auto"/>
        <w:tabs>
          <w:tab w:leader="none" w:pos="328" w:val="left"/>
        </w:tabs>
        <w:numPr>
          <w:ilvl w:val="0"/>
          <w:numId w:val="56"/>
        </w:numPr>
        <w:rPr>
          <w:rFonts w:ascii="Arial" w:cs="Arial" w:eastAsia="Arial" w:hAnsi="Arial"/>
          <w:sz w:val="32"/>
          <w:szCs w:val="32"/>
          <w:color w:val="auto"/>
          <w:vertAlign w:val="superscript"/>
        </w:rPr>
      </w:pPr>
      <w:r>
        <w:rPr>
          <w:rFonts w:ascii="Arial" w:cs="Arial" w:eastAsia="Arial" w:hAnsi="Arial"/>
          <w:sz w:val="16"/>
          <w:szCs w:val="16"/>
          <w:color w:val="auto"/>
        </w:rPr>
        <w:t>On December 4, 2018, the Company entered into a new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The Company did not sell any shares under the Capital on Demand Agreement during 2018. During 2019, 2020 and thus far in 2021, the Company sold 0.5 million, 5.2 million and 7.2 million shares of common stock under the Capital on Demand Agreement, respectively, receiving gross proceeds of approximately $1.0 million, $6.2 million and $6.9 million, respectively.</w:t>
      </w:r>
    </w:p>
    <w:p>
      <w:pPr>
        <w:spacing w:after="0" w:line="190" w:lineRule="exact"/>
        <w:rPr>
          <w:rFonts w:ascii="Arial" w:cs="Arial" w:eastAsia="Arial" w:hAnsi="Arial"/>
          <w:sz w:val="32"/>
          <w:szCs w:val="32"/>
          <w:color w:val="auto"/>
          <w:vertAlign w:val="superscript"/>
        </w:rPr>
      </w:pPr>
    </w:p>
    <w:p>
      <w:pPr>
        <w:jc w:val="both"/>
        <w:ind w:left="328" w:hanging="328"/>
        <w:spacing w:after="0" w:line="285" w:lineRule="auto"/>
        <w:tabs>
          <w:tab w:leader="none" w:pos="328"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issuance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thus far, the Company has issued 1.2 million shares pursuant to investors exercising Exchange Warrants, receiving approximately $1.5 million in gross proceeds.</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9" w:right="339" w:bottom="1440" w:gutter="0" w:footer="0" w:header="0"/>
        </w:sectPr>
      </w:pPr>
    </w:p>
    <w:bookmarkStart w:id="75" w:name="page76"/>
    <w:bookmarkEnd w:id="75"/>
    <w:p>
      <w:pPr>
        <w:jc w:val="both"/>
        <w:ind w:left="328" w:hanging="328"/>
        <w:spacing w:after="0" w:line="283" w:lineRule="auto"/>
        <w:tabs>
          <w:tab w:leader="none" w:pos="328"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 LPC Offering”). Over the 36-month term of the LPC Purchase Agreement, we have the right, but not the obligation, from time to time, in our sole discretion and subject to certain conditions, including that the closing price of our Common Stock is not below $0.25 per share, to direct Lincoln Park to purchase up to an aggregate amount of $26.0 million (subject to certain limitations) of shares of Common Stock. Under the Purchase Agreement, on any business day selected by us, we may direct Lincoln Park to purchase up to 400,000 shares (the “Regular Purchase Share Limit”) of our Common Stock (each such purchase, a “Regular Purchase”). Lincoln Park’s maximum obligation under any single Regular Purchase will not exceed $1,500,000 unless we mutually agree to increase the maximum amount of such Regular Purchase. The purchase price for shares of Common Stock to be purchased by Lincoln Park under a Regular Purchase will be the equal to the lower of (in each case, subject to the adjustments described in the LPC Purchase Agreement): (i) the lowest sale price for our Common Stock on The Nasdaq Capital Market on the applicable purchase date, and (ii) the arithmetic average of the three lowest sale prices for our Common Stock on The Nasdaq Capital Market during the ten trading days prior to the purchase date. If we direct Lincoln Park to purchase the maximum number of shares of Common Stock we then may sell in a Regular Purchase, then in addition to such Regular Purchase, and subject to certain conditions and limitations in the LPC Purchase Agreement, we may direct Lincoln Park to make an “accelerated purchase” of an additional amount of Common Stock that may not exceed the lesser of (i) 300% of the number of shares purchased pursuant to the corresponding Regular Purchase and (ii) 30% of the total number of shares of our Common Stock traded on The Nasdaq Capital Market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 The Purchase Agreement prohibits us from issuing or selling to Lincoln Park under the Purchase Agreement: (i) in excess of 6,688,588 shares of our Common Stock (the “Exchange Cap”), unless we obtain stockholder approval to issue shares in excess of the Exchange Cap or the average price of all applicable sales of our Common Stock to Lincoln Park under the LPC Purchase Agreement equal or exceed the lower of (a) the Nasdaq Official Closing Price (as defined in the Purchase Agreement) immediately preceding the execution of the LPC Purchase Agreement or (b) the average of the five Nasdaq Official Closing Prices for the Common Stock immediately preceding the execution of the LPC Purchase Agreement, as adjusted in accordance with the rules of The Nasdaq Capital Market, and (ii) any shares of our Common Stock if those shares, when aggregated with all other shares of our Common Stock then beneficially owned by Lincoln Park and its affiliates would result in Lincoln Park and its affiliates having beneficial ownership of more than 9.99% of the then total outstanding shares of our Common Stock. The LPC Purchase Agreement does not limit our ability to raise capital from other sources at our sole discretion, except that we may not enter into any equity line or similar transaction for 36 months, other than an “at-the-market” offering. The LPC Purchase Agreement and the Registration Rights Agreement contain customary representations, warranties and agreements of us and Lincoln Park, indemnification rights and other obligations of the parties. We have the right to terminate the Purchase Agreement at any time on one business days’ notice to Lincoln Park, at no cost to us. As consideration for entering into the Purchase Agreement, we issued 437,828 shares of our Common Stock to Lincoln Park (the “LPC Commitment Shares”). We will not receive any cash proceeds from the issuance of the LPC Commitment Shares. Also pursuant to the Purchase Agreement, Lincoln Park agreed to an initial purchase of 1,000,000 shares of our Common Stock for an aggregate purchase price of $1,000,000 or $1.00 per share. Lincoln Park has covenanted not to cause or engage in any manner whatsoever, any direct or indirect short selling or hedging of our shares of Common Stock. The Offering is being made pursuant to our effective Registration Statement on Form S-3 (File No. 333-227236) (the “Registration Statement”), which was previously filed with the SEC on September 7, 2018, and declared effective by the SEC on October 12, 2018, and the prospectus supplement related to the Offering filed with the SEC on September 8, 2020. During 2020 the Company sold and issued an aggregate of 3.3 million shares, including the LPC Commitment Shares, under the LPC Purchase Agreement, receiving approximately $2.2 million in gross proceeds. During 2020, the Company sold and issued an aggregate of 3.3 million shares, including the LPC Commitment Shares, under the LPC Purchase Agreement, receiving approximately $2.2 million in gross proceeds. During the first quarter of 2021, the Company sent a letter to Lincoln Park terminating the LPC Offering effective January 21, 2021. The Company did not sell any shares under the LPC Purchase Agreement during 2021.</w:t>
      </w:r>
    </w:p>
    <w:p>
      <w:pPr>
        <w:spacing w:after="0" w:line="392" w:lineRule="exact"/>
        <w:rPr>
          <w:rFonts w:ascii="Arial" w:cs="Arial" w:eastAsia="Arial" w:hAnsi="Arial"/>
          <w:sz w:val="16"/>
          <w:szCs w:val="16"/>
          <w:color w:val="auto"/>
        </w:rPr>
      </w:pPr>
    </w:p>
    <w:p>
      <w:pPr>
        <w:jc w:val="both"/>
        <w:ind w:left="328" w:hanging="328"/>
        <w:spacing w:after="0" w:line="254"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Placement Agents fees and offering expenses. The shares were offered by the Company pursuant to a registration statement on Form S-3 (File No. 333-227236) (the “Registration Statement”) and a registration statement on Form S-3 (File No. 333-252320) filed pursuant to Rule 462 under the Securities Act of 1933, as amended (the “Securities Act”). The January 2021 Purchase Agreement contains customary representations, warranties and agreements by the Company and customary conditions to closing. The closing of the January 2021 Offering occurred on January 26, 2021.</w:t>
      </w:r>
    </w:p>
    <w:p>
      <w:pPr>
        <w:spacing w:after="0" w:line="191"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8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5" w:right="339" w:bottom="1440" w:gutter="0" w:footer="0" w:header="0"/>
        </w:sectPr>
      </w:pPr>
    </w:p>
    <w:bookmarkStart w:id="76" w:name="page77"/>
    <w:bookmarkEnd w:id="76"/>
    <w:p>
      <w:pPr>
        <w:jc w:val="both"/>
        <w:ind w:left="660"/>
        <w:spacing w:after="0" w:line="272" w:lineRule="auto"/>
        <w:rPr>
          <w:sz w:val="20"/>
          <w:szCs w:val="20"/>
          <w:color w:val="auto"/>
        </w:rPr>
      </w:pPr>
      <w:r>
        <w:rPr>
          <w:rFonts w:ascii="Arial" w:cs="Arial" w:eastAsia="Arial" w:hAnsi="Arial"/>
          <w:sz w:val="17"/>
          <w:szCs w:val="17"/>
          <w:color w:val="auto"/>
        </w:rPr>
        <w:t>The January 2021 Placement Agent Agreement contains customary representations, warranties and agreements by the Company, customary conditions to closing, indemnification obligations of the Company and the January 2021 Placement Agents, including for liabilities under the Securities Act, other obligations of the parties and termination provisions. Under the January 2021 Purchase Agreement and January 2021 Placement Agent Agreement, the Company and its subsidiary are prohibited, for a period of 90 days after the closing, from issuing, entering into any agreement to issue or announcing the issuance or proposed issuance of any shares of common stock or any other securities that are at any time convertible into, or exercisable or exchangeable for, or otherwise entitle the holder thereof to receive common stock, without the prior written consent of the placement agents or the investors participating in the offering, subject to specific exceptions.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b w:val="1"/>
          <w:bCs w:val="1"/>
          <w:color w:val="auto"/>
        </w:rPr>
        <w:t>Note 2 to our Consolidated Financial Statements contained in this Form 10-K</w:t>
      </w:r>
      <w:r>
        <w:rPr>
          <w:rFonts w:ascii="Arial" w:cs="Arial" w:eastAsia="Arial" w:hAnsi="Arial"/>
          <w:sz w:val="18"/>
          <w:szCs w:val="18"/>
          <w:color w:val="auto"/>
        </w:rPr>
        <w:t xml:space="preserve">. Also refer to </w:t>
      </w:r>
      <w:r>
        <w:rPr>
          <w:rFonts w:ascii="Arial" w:cs="Arial" w:eastAsia="Arial" w:hAnsi="Arial"/>
          <w:sz w:val="18"/>
          <w:szCs w:val="18"/>
          <w:b w:val="1"/>
          <w:bCs w:val="1"/>
          <w:color w:val="auto"/>
        </w:rPr>
        <w:t>Part II, 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 need to raise substantial additional capital to fund our planned future operations, and we may be unable to secure such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Our financial statements, which appear at </w:t>
      </w:r>
      <w:r>
        <w:rPr>
          <w:rFonts w:ascii="Arial" w:cs="Arial" w:eastAsia="Arial" w:hAnsi="Arial"/>
          <w:sz w:val="18"/>
          <w:szCs w:val="18"/>
          <w:b w:val="1"/>
          <w:bCs w:val="1"/>
          <w:color w:val="auto"/>
        </w:rPr>
        <w:t>Part II, Item 8. Financial Statements and Supplementary Data</w:t>
      </w:r>
      <w:r>
        <w:rPr>
          <w:rFonts w:ascii="Arial" w:cs="Arial" w:eastAsia="Arial" w:hAnsi="Arial"/>
          <w:sz w:val="18"/>
          <w:szCs w:val="18"/>
          <w:color w:val="auto"/>
        </w:rPr>
        <w:t xml:space="preserve"> have been prepared in accordance with accounting principles generally accepted in the U.S., which require that we make certain assumptions and estimates and, in connection therewith, adopt certain accounting policies. Our significant accounting policies are set forth in </w:t>
      </w:r>
      <w:r>
        <w:rPr>
          <w:rFonts w:ascii="Arial" w:cs="Arial" w:eastAsia="Arial" w:hAnsi="Arial"/>
          <w:sz w:val="18"/>
          <w:szCs w:val="18"/>
          <w:b w:val="1"/>
          <w:bCs w:val="1"/>
          <w:color w:val="auto"/>
        </w:rPr>
        <w:t>Note 1 to our Consolidated Financial Statements contained in this Form</w:t>
      </w:r>
      <w:r>
        <w:rPr>
          <w:rFonts w:ascii="Arial" w:cs="Arial" w:eastAsia="Arial" w:hAnsi="Arial"/>
          <w:sz w:val="18"/>
          <w:szCs w:val="18"/>
          <w:color w:val="auto"/>
        </w:rPr>
        <w:t xml:space="preserve"> </w:t>
      </w:r>
      <w:r>
        <w:rPr>
          <w:rFonts w:ascii="Arial" w:cs="Arial" w:eastAsia="Arial" w:hAnsi="Arial"/>
          <w:sz w:val="18"/>
          <w:szCs w:val="18"/>
          <w:b w:val="1"/>
          <w:bCs w:val="1"/>
          <w:color w:val="auto"/>
        </w:rPr>
        <w:t>10-K</w:t>
      </w:r>
      <w:r>
        <w:rPr>
          <w:rFonts w:ascii="Arial" w:cs="Arial" w:eastAsia="Arial" w:hAnsi="Arial"/>
          <w:sz w:val="18"/>
          <w:szCs w:val="18"/>
          <w:color w:val="auto"/>
        </w:rPr>
        <w:t>. Of those policies, we believe that the policies discussed below may involve a higher degree of judgment and may be more critical to an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reflection of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During 2014, the Company acquired certain assets of EGEN, Inc. As more fully described in </w:t>
      </w:r>
      <w:r>
        <w:rPr>
          <w:rFonts w:ascii="Arial" w:cs="Arial" w:eastAsia="Arial" w:hAnsi="Arial"/>
          <w:sz w:val="17"/>
          <w:szCs w:val="17"/>
          <w:b w:val="1"/>
          <w:bCs w:val="1"/>
          <w:color w:val="auto"/>
        </w:rPr>
        <w:t>Note 5 to our Consolidated Financial Statements</w:t>
      </w:r>
      <w:r>
        <w:rPr>
          <w:rFonts w:ascii="Arial" w:cs="Arial" w:eastAsia="Arial" w:hAnsi="Arial"/>
          <w:sz w:val="17"/>
          <w:szCs w:val="17"/>
          <w:color w:val="auto"/>
        </w:rPr>
        <w:t xml:space="preserve"> </w:t>
      </w:r>
      <w:r>
        <w:rPr>
          <w:rFonts w:ascii="Arial" w:cs="Arial" w:eastAsia="Arial" w:hAnsi="Arial"/>
          <w:sz w:val="17"/>
          <w:szCs w:val="17"/>
          <w:b w:val="1"/>
          <w:bCs w:val="1"/>
          <w:color w:val="auto"/>
        </w:rPr>
        <w:t>contained in this Form 10-K</w:t>
      </w:r>
      <w:r>
        <w:rPr>
          <w:rFonts w:ascii="Arial" w:cs="Arial" w:eastAsia="Arial" w:hAnsi="Arial"/>
          <w:sz w:val="17"/>
          <w:szCs w:val="17"/>
          <w:color w:val="auto"/>
        </w:rPr>
        <w:t>., the acquisition was accounted for under the acquisition method of accounting which required the Company to perform an</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issued Accounting Standards Update (“ASU”)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64" w:lineRule="exact"/>
        <w:rPr>
          <w:sz w:val="20"/>
          <w:szCs w:val="20"/>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No. 2016-02; and</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allows for a transition approach to initially apply ASU No.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8"/>
          <w:szCs w:val="18"/>
          <w:color w:val="auto"/>
        </w:rPr>
        <w:t xml:space="preserve">We adopted Accounting Standards Codification (“ASC”) Topic 842 effective January 1, 2019 and elected to apply the available practical expedients and implement internal controls to enable the preparation of financial information on adoption. We have identified all of our leases which consist of the New Jersey corporate office lease and the Alabama lab facility lease and we estimate the adoption of this standard will result in the recognition of right-of-use assets of approximately $1.4 million, related operating lease liabilities of $1.5 million and reduced other liabilities by approximately $0.1 million on the consolidated balance sheets as of January 1, 2019 of approximately $1.5 million related to our operating lease commitments, with no material impact to the opening balance of retained earnings. See </w:t>
      </w:r>
      <w:r>
        <w:rPr>
          <w:rFonts w:ascii="Arial" w:cs="Arial" w:eastAsia="Arial" w:hAnsi="Arial"/>
          <w:sz w:val="18"/>
          <w:szCs w:val="18"/>
          <w:b w:val="1"/>
          <w:bCs w:val="1"/>
          <w:color w:val="auto"/>
        </w:rPr>
        <w:t>Note 15 to our Consolidated Financial Statements</w:t>
      </w:r>
      <w:r>
        <w:rPr>
          <w:rFonts w:ascii="Arial" w:cs="Arial" w:eastAsia="Arial" w:hAnsi="Arial"/>
          <w:sz w:val="18"/>
          <w:szCs w:val="18"/>
          <w:color w:val="auto"/>
        </w:rPr>
        <w:t xml:space="preserve"> contained in this Form 10-K for further discussions regarding the adoption of ASC Topic 842.</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The adoption of this standard did not have an impact on the Company’s condensed consolidated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does not believe the adoption of this standard will have a material impact on its condensed consolidated financial statements.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2020 and Fiscal Year Ended December 31, 2019.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2020, our net loss was $21.5 million compared to a net loss of $16.9 million for the year ended December 31, 2019. The Company recognized $1.85 million and $1.82 million in tax benefits from the sale of its New Jersey net operating losses under the Technology Business Tax Certificate Program in each of the fourth quarters of 2020 and 2019, respectively. With $17.2 million in cash and cash equivalents, coupled with approximately $43 million of gross proceeds received from the sale of equity in the first quarter of 2021 and up to $1.85 million in expected proceeds from the sale of the State of New Jersey net operating losses it applied for in 2020, the Company believes it has sufficient capital resources to fund its operations through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Development and Licensing Revenue</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 The $5.0 million received as a non-refundable payment from Hisun in the first quarter 2013 has been recorded to deferred revenue and will be amortized over the ten-year term of the agreement; therefore, we recognized revenue of $500,000 in each of the years 2020 and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(“R&amp;D”) expenses decreased $1.8 million from $13.1 million in 2019 to $11.3 million in 2020. Costs associated with the Phase</w:t>
      </w:r>
    </w:p>
    <w:p>
      <w:pPr>
        <w:spacing w:after="0" w:line="46" w:lineRule="exact"/>
        <w:rPr>
          <w:sz w:val="20"/>
          <w:szCs w:val="20"/>
          <w:color w:val="auto"/>
        </w:rPr>
      </w:pPr>
    </w:p>
    <w:p>
      <w:pPr>
        <w:jc w:val="both"/>
        <w:ind w:firstLine="8"/>
        <w:spacing w:after="0" w:line="270" w:lineRule="auto"/>
        <w:tabs>
          <w:tab w:leader="none" w:pos="257" w:val="left"/>
        </w:tabs>
        <w:numPr>
          <w:ilvl w:val="0"/>
          <w:numId w:val="59"/>
        </w:numPr>
        <w:rPr>
          <w:rFonts w:ascii="Arial" w:cs="Arial" w:eastAsia="Arial" w:hAnsi="Arial"/>
          <w:sz w:val="17"/>
          <w:szCs w:val="17"/>
          <w:color w:val="auto"/>
        </w:rPr>
      </w:pPr>
      <w:r>
        <w:rPr>
          <w:rFonts w:ascii="Arial" w:cs="Arial" w:eastAsia="Arial" w:hAnsi="Arial"/>
          <w:sz w:val="17"/>
          <w:szCs w:val="17"/>
          <w:color w:val="auto"/>
        </w:rPr>
        <w:t>OPTIMA Study were $2.2 million in 2020 compared to $4.1 million in 2019. In July 2020, the Company unblinded the OPTIMA Study at the recommendation of the DMC to halt the study due to futility. Costs associated with the OVATION 2 Study were $1.3 million in 2020 compared to $0.6 million in 2019 as the Company initiated enrollment in the Phase 2 portion of the study during the third quarter of 2020. Regulatory costs were $0.6 million in 2020 compared to $1.1 million in 2019. Other clinical costs were $2.0 million in 2020 compared to $2.5 million in 2019. Costs associated with the production of ThermoDox® were $2.1 million during 2020 compared to $1.5 million in 2019. R&amp;D costs associated with the development of GEN-1 to support the OVATION program decreased by $0.2 million to $3.1 million in 2020 compared to $3.3 million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and administrative expenses decreased $0.4 million to $7.6 million in 2020 compared to $8.0 million in 2019. This decrease is primarily attributable to lower personnel costs of approximately $0.5 million which included a $0.3 million decrease in non-cash stock compensation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our Consolidated Financial Statements contained in this Form 10-K.</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On March 28, 2019, the Company and EGWU, Inc, entered into an amendment to the Asset Purchase Agreement discussed in </w:t>
      </w:r>
      <w:r>
        <w:rPr>
          <w:rFonts w:ascii="Arial" w:cs="Arial" w:eastAsia="Arial" w:hAnsi="Arial"/>
          <w:sz w:val="16"/>
          <w:szCs w:val="16"/>
          <w:b w:val="1"/>
          <w:bCs w:val="1"/>
          <w:color w:val="auto"/>
        </w:rPr>
        <w:t>Note 8 to our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contained in this Form 10-K. Pursuant to the Amended Asset Purchase Agreement, payment of the earnout milestone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Ovarian Cancer Indication of $12.4 million has been modified. The Company has the option to make the payment as follows:</w:t>
      </w:r>
    </w:p>
    <w:p>
      <w:pPr>
        <w:spacing w:after="0" w:line="14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provided EGWU, Inc. 200,000 warrants to purchase common stock at a strike price of $0.01 per warrant share as consideration for entering into the amended agreement. These warrants shares have no expiration and were fair valued at $2.00 using the closing price of a share of Celsion stock on the date of issuance offset by the exercise price and recorded $0.4 million as an expense in the income statement and were classified as equity on the balance sheet during 2019. In October of 2020, EGWU, Inc elected to receive 197,260 shares through a non-cash conversion exercised of all 200,000 warrant shares.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the Company fair valued the earn-out milestone liability at $7.0 million and recognized a non-cash charge of $1.3 million during 2020 as a result of the change in the fair value of earn-out milestone liability of $5.7 million at December 31, 2019. In assessing the earnout milestone liability at December 31, 2020, the Company fair valued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 Company fair valued the earn-out milestone liability at $5.7 million and recognized a non-cash gain of $3.2 million during 2019 as a result of the change in the fair value of earn-out milestone liability of $8.9 million at December 31, 2018. In assessing the earnout milestone liability at December 31, 2019,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auto"/>
        </w:rPr>
        <w:t>Impairment of IPR&amp;D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IPR&amp;D is reviewed for impairment at least annually as of our third quarter ended September 30 by assessing if any events or changes in circumstances have occurred which indicate that the carrying value of the assets might not be recoverable. At September 30, 2020,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$2.4 million, was fully impaired and wrote off the GBM asset, incurring a non-cash charge of $2.4 million in the third quarter of 2020. During 2019, the Company concluded no IPR&amp;D asset was impaired during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realized $0.1 million and $0.5 million of investment income from its short-term investments during 2020 and 2019, respectively. In connection with the Horizon Credit Agreement, the Company incurred $1.3 million and $1.4 million in interest expense in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research and development and business operations. During the fourth quarter of 2018, the Company received eligibility from the New Jersey Economic Development Authority to sell, and did sell, $11.1 million of its unused New Jersey net operating losses under the Technology Business Tax Certificate Program, receiving $10.4 million of non-dilutive funding. The Company received approval from the New Jersey Economic Development Authority to sell $1.9 million of its New Jersey net operating losses recognizing a tax benefit for the year ended December 31, 2019 for the net proceeds (approximately $1.8 million) by reducing the deferred income tax valuation allowance.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early 2020, the Company entered into an agreement to sell these net operating losses and received net proceeds of approximately $1.82 million in the second quarter of 2020.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expects to receive net proceeds of approximately $1.85 million by the end of the first quarter of 2021. During 2021, the New Jersey State Legislature increased the maximum lifetime benefit per company from $15 million to $20 million, which will allow the Company to participate in this innovative funding program in future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adverse impact on our revenue or operations in any of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38" w:lineRule="auto"/>
        <w:rPr>
          <w:sz w:val="20"/>
          <w:szCs w:val="20"/>
          <w:color w:val="auto"/>
        </w:rPr>
      </w:pPr>
      <w:r>
        <w:rPr>
          <w:rFonts w:ascii="Arial" w:cs="Arial" w:eastAsia="Arial" w:hAnsi="Arial"/>
          <w:sz w:val="17"/>
          <w:szCs w:val="17"/>
          <w:color w:val="auto"/>
        </w:rPr>
        <w:t>development agreement with Hisun. The process of developing ThermoDox</w:t>
      </w:r>
      <w:r>
        <w:rPr>
          <w:rFonts w:ascii="Arial" w:cs="Arial" w:eastAsia="Arial" w:hAnsi="Arial"/>
          <w:sz w:val="28"/>
          <w:szCs w:val="28"/>
          <w:color w:val="auto"/>
          <w:vertAlign w:val="superscript"/>
        </w:rPr>
        <w:t>®</w:t>
      </w:r>
      <w:r>
        <w:rPr>
          <w:rFonts w:ascii="Arial" w:cs="Arial" w:eastAsia="Arial" w:hAnsi="Arial"/>
          <w:sz w:val="17"/>
          <w:szCs w:val="17"/>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$312 million at December 31,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jc w:val="both"/>
        <w:spacing w:after="0" w:line="296" w:lineRule="auto"/>
        <w:rPr>
          <w:sz w:val="20"/>
          <w:szCs w:val="20"/>
          <w:color w:val="auto"/>
        </w:rPr>
      </w:pPr>
      <w:r>
        <w:rPr>
          <w:rFonts w:ascii="Arial" w:cs="Arial" w:eastAsia="Arial" w:hAnsi="Arial"/>
          <w:sz w:val="16"/>
          <w:szCs w:val="16"/>
          <w:color w:val="auto"/>
        </w:rPr>
        <w:t>At December 31, 2020 we had total current assets of $18.8 million (including cash and cash equivalents of $17.2 million) and current liabilities of $6.8 million, resulting in net working capital of $12.0 million. At December 31, 2019 we had total current assets of $16.2 million (including cash, cash equivalents, short-term investments and interest receivable of $14.9 million) and current liabilities of $7.9 million, resulting in net working capital of $8.3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Net cash used in operating activities for 2020 was $15.6 million. Our net loss of $21.5 million for 2020 included the following non-cash transactions: (i) $1.9 million in non-cash stock-based compensation expense, (ii) $2.4 million non-cash charge from the write-off of the IPR&amp;D assets related to the development of its GBM product candidate, (iii) $0.4 million in non-cash interest expense and (iv) $1.3 non-cash charge based on the change in the earn-out milestone liability. The $15.6 million net cash used in operating activities was funded from cash and cash equivalents, short term investments, and cash proceeds received in equity financings during 2020. At December 31, 2020, we had cash and cash equivalents of $17.2 million and coupled with approximately $42 million of gross proceeds received from the sale of equity thus far in 2021 and up to $1.85 million in expected net proceeds from the sale of the State of New Jersey net operating losses it applied for in 2020, the Company believes it has sufficient capital resources to fund its operations through 2023. See Financing Overview as wells as </w:t>
      </w:r>
      <w:r>
        <w:rPr>
          <w:rFonts w:ascii="Arial" w:cs="Arial" w:eastAsia="Arial" w:hAnsi="Arial"/>
          <w:sz w:val="16"/>
          <w:szCs w:val="16"/>
          <w:b w:val="1"/>
          <w:bCs w:val="1"/>
          <w:color w:val="auto"/>
        </w:rPr>
        <w:t>Notes 8, 9 and 10</w:t>
      </w:r>
      <w:r>
        <w:rPr>
          <w:rFonts w:ascii="Arial" w:cs="Arial" w:eastAsia="Arial" w:hAnsi="Arial"/>
          <w:sz w:val="16"/>
          <w:szCs w:val="16"/>
          <w:color w:val="auto"/>
        </w:rPr>
        <w:t xml:space="preserve"> to our </w:t>
      </w:r>
      <w:r>
        <w:rPr>
          <w:rFonts w:ascii="Arial" w:cs="Arial" w:eastAsia="Arial" w:hAnsi="Arial"/>
          <w:sz w:val="16"/>
          <w:szCs w:val="16"/>
          <w:b w:val="1"/>
          <w:bCs w:val="1"/>
          <w:color w:val="auto"/>
        </w:rPr>
        <w:t>Consolidated Financial Statements</w:t>
      </w:r>
      <w:r>
        <w:rPr>
          <w:rFonts w:ascii="Arial" w:cs="Arial" w:eastAsia="Arial" w:hAnsi="Arial"/>
          <w:sz w:val="16"/>
          <w:szCs w:val="16"/>
          <w:color w:val="auto"/>
        </w:rPr>
        <w:t xml:space="preserve"> contained in this Form 10-K.</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2020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2020, our investments consisted of investments in government backed notes and obligations or in money market accounts and checking funds with variable market rates of interest. We believe our credit risk is immaterial.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F-32 and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2020, which is the end of the period covered by this Annual Report, our disclosure controls and procedures are effective.</w:t>
      </w:r>
    </w:p>
    <w:p>
      <w:pPr>
        <w:spacing w:after="0" w:line="188"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2020.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its evaluation, management has concluded that the Company’s internal control over financial reporting is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Regulation S-K Item 308(b), this Annual Report does not include an attestation report of our company’s registered public accounting firm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in the fiscal year ended December 31, 2020,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or our Board, currently consists of seven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bylaws, our Board may fill any vacancy on the Board by appointment.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information regarding our Company’s current directors, as well as our non-director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AGE</w:t>
            </w:r>
          </w:p>
        </w:tc>
        <w:tc>
          <w:tcPr>
            <w:tcW w:w="240" w:type="dxa"/>
            <w:vAlign w:val="bottom"/>
          </w:tcPr>
          <w:p>
            <w:pPr>
              <w:spacing w:after="0"/>
              <w:rPr>
                <w:sz w:val="20"/>
                <w:szCs w:val="20"/>
                <w:color w:val="auto"/>
              </w:rPr>
            </w:pPr>
          </w:p>
        </w:tc>
        <w:tc>
          <w:tcPr>
            <w:tcW w:w="538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POSITION(S)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CLASS</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Michael H. Tardugno</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112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Robert W. Hooper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Alberto R. Martinez, M.D.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Director (Retired December 31, 2020)</w:t>
            </w:r>
          </w:p>
        </w:tc>
        <w:tc>
          <w:tcPr>
            <w:tcW w:w="112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Augustine Chow, Ph.D.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Frederick J. Fritz</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Donald P. Braun, Ph.D.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Andreas Voss, M.D.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Khursheed Anwer, Ph.D. MBA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Executive Vice President and Chief Scientific Officer</w:t>
            </w:r>
          </w:p>
        </w:tc>
        <w:tc>
          <w:tcPr>
            <w:tcW w:w="1120" w:type="dxa"/>
            <w:vAlign w:val="bottom"/>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Nicholas Borys, M.D.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Executive Vice President and Chief Medical Officer</w:t>
            </w:r>
          </w:p>
        </w:tc>
        <w:tc>
          <w:tcPr>
            <w:tcW w:w="1120" w:type="dxa"/>
            <w:vAlign w:val="bottom"/>
          </w:tcPr>
          <w:p>
            <w:pPr>
              <w:spacing w:after="0"/>
              <w:rPr>
                <w:sz w:val="18"/>
                <w:szCs w:val="18"/>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Jeffrey W. Church</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1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Mr. Michael H. Tardugno. </w:t>
      </w:r>
      <w:r>
        <w:rPr>
          <w:rFonts w:ascii="Arial" w:cs="Arial" w:eastAsia="Arial" w:hAnsi="Arial"/>
          <w:sz w:val="17"/>
          <w:szCs w:val="17"/>
          <w:color w:val="auto"/>
        </w:rPr>
        <w:t>Mr. Tardugno was appointed President and Chief Executive Officer of the Company on January 3, 2007 and was elected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on January 22, 2007. In October of 2014, Mr. Tardugno was appointed by our Board of Directors as our Chairman.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and from 1977 to 1995, he held increasingly senior executive positions including Senior Vice President of Worldwide Technology Development with Bausch &amp; Lomb and Abbott Laboratories. Mr. Tardugno holds a B.S. degree from St. Bonaventure University and completed the Harvard Business School Program for Management Development.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Mr. Robert W. Hooper. </w:t>
      </w:r>
      <w:r>
        <w:rPr>
          <w:rFonts w:ascii="Arial" w:cs="Arial" w:eastAsia="Arial" w:hAnsi="Arial"/>
          <w:sz w:val="18"/>
          <w:szCs w:val="18"/>
          <w:color w:val="auto"/>
        </w:rPr>
        <w:t>Mr. Hooper has served as a member of our Board of Directors since July 2010. He is currently President of Crows Nest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Inc. a privately held company, which provides advisory and consulting services to the healthcare industry. From 1997 to 2001, Mr. Hooper served as President North America for IMS Health Incorporated, a healthcare information and market research company listed on The New York Stock Exchange. From 1993 to 1997, he served as President of Abbott Laboratories Canada. From 1989 to 1993, he served as Managing Director, Australia/Asia for Abbott Laboratories. Prior to that, he held increasingly senior positions at E.R. Squibb and Sterling Winthrop Labs. Mr. Hooper holds a bachelor’s degree in biology from Wilkes University.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Dr. Alberto R. Martinez. </w:t>
      </w:r>
      <w:r>
        <w:rPr>
          <w:rFonts w:ascii="Arial" w:cs="Arial" w:eastAsia="Arial" w:hAnsi="Arial"/>
          <w:sz w:val="17"/>
          <w:szCs w:val="17"/>
          <w:color w:val="auto"/>
        </w:rPr>
        <w:t>Dr. Martinez served as a member of our Board of Directors from December 2010 until his retirement from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effective December 31, 2020. He has been a consultant to the healthcare industry since 2008. From 2007 to 2008, Dr. Martinez served as the President and Chief Operating Officer of Talecris Biotherapeutics, Inc., a publicly traded life science company. Prior to that, Dr. Martinez served as Talecris’ President and Chief Executive Officer from October 2005 until June 2007. Prior to that, he held increasingly senior positions as Executive Vice President of Worldwide Commercial Operations at ZLB Behring (subsequently renamed CSL Behring). Prior to ZLB Behring, Dr. Martinez served in various international positions at Sandoz Pharmaceuticals (currently the generic pharmaceuticals division of Novartis) in Brazil, Switzerland, Spain and the U.S. for eighteen years. Dr. Martinez completed his undergraduate and graduate studies at the University of Sao Paulo and received his medical degree from the University of Sao Paulo in 1973. After completing his residency in Pediatrics in 1975, he studied Business and Marketing Administration at the Fundacao Getulio Vargas in Sao Paulo, Brazil.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7"/>
          <w:szCs w:val="17"/>
          <w:b w:val="1"/>
          <w:bCs w:val="1"/>
          <w:color w:val="auto"/>
        </w:rPr>
        <w:t xml:space="preserve">Dr. Augustine Chow. </w:t>
      </w:r>
      <w:r>
        <w:rPr>
          <w:rFonts w:ascii="Arial" w:cs="Arial" w:eastAsia="Arial" w:hAnsi="Arial"/>
          <w:sz w:val="17"/>
          <w:szCs w:val="17"/>
          <w:color w:val="auto"/>
        </w:rPr>
        <w:t>Dr. Chow was appointed to our Board of Directors in March 2007. Dr. Chow is the chairman of Harmony Asset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in Hong Kong, serving in such capacity since 2015. He also serves as a director of Medifocus Inc. (TSX Venture: MFS). From 1996 to 2015, Dr. Chow was the Chief Executive Officer of Harmony Asset Limited, a Hong Kong listed investment company, and from 2008 to 2016 he served as Executive Director of Kaisun Energy Group Limited. From 1990 to 1998, Dr. Chow was the Chief Executive Officer of Allied Group of Companies based in Hong Kong which include several publicly listed companies spanning across various industries. Prior to this, Dr. Chow held a senior position with Brunswick Corporation and Outboard Marine Corporation and was responsible for all business activities in South East Asia and China. Dr. Chow has extensive experience in managing publicly listed companies that are involved in manufacturing, marketing and financial services and specializes in mergers and acquisitions. Dr. Chow’s qualifications include a number of Bachelors, Masters and Doctoral degrees. Among them include a MSc from London Business School and a Ph.D. in Biology from City University of Hong Kong.</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Mr. Frederick J. Fritz. </w:t>
      </w:r>
      <w:r>
        <w:rPr>
          <w:rFonts w:ascii="Arial" w:cs="Arial" w:eastAsia="Arial" w:hAnsi="Arial"/>
          <w:sz w:val="18"/>
          <w:szCs w:val="18"/>
          <w:color w:val="auto"/>
        </w:rPr>
        <w:t>Mr. Fritz was appointed to our Board of Directors in July 2011. Mr. Fritz has served as CEO and Founder of NeuroDx, a</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stage 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Dr. Donald P. Braun. </w:t>
      </w:r>
      <w:r>
        <w:rPr>
          <w:rFonts w:ascii="Arial" w:cs="Arial" w:eastAsia="Arial" w:hAnsi="Arial"/>
          <w:sz w:val="17"/>
          <w:szCs w:val="17"/>
          <w:color w:val="auto"/>
        </w:rPr>
        <w:t>Dr. Braun has over 35 years of research experience in oncology, cancer immunology, cancer immunotherapy, and inflammatory</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He is the author of more than 120 published peer-reviewed manuscripts, 25 reviews and book chapters, and co-editor of a book on the role of prostaglandins and other COX 2 metabolites in cancer patient immunity and immunotherapy. He served from 2006 to 2014 as Vice President Clinical Research and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Dr. Braun has been appointed to and served on more than a dozen federal government and public advisory committees on oncology and immunology.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Pharmaceuticals, Sterling Winthrop, Abbott Laboratories, Boehringer Mannheim, Serono Corporation, Biomira Inc, Centocor and Merck KGA.</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Andreas Voss, MD. Dr Voss </w:t>
      </w:r>
      <w:r>
        <w:rPr>
          <w:rFonts w:ascii="Arial" w:cs="Arial" w:eastAsia="Arial" w:hAnsi="Arial"/>
          <w:sz w:val="17"/>
          <w:szCs w:val="17"/>
          <w:color w:val="auto"/>
        </w:rPr>
        <w:t>is the founder of AMEDIX GmbH providing a broad range of services to life science companies since July 2020. He served</w:t>
      </w:r>
      <w:r>
        <w:rPr>
          <w:rFonts w:ascii="Arial" w:cs="Arial" w:eastAsia="Arial" w:hAnsi="Arial"/>
          <w:sz w:val="17"/>
          <w:szCs w:val="17"/>
          <w:b w:val="1"/>
          <w:bCs w:val="1"/>
          <w:color w:val="auto"/>
        </w:rPr>
        <w:t xml:space="preserve"> </w:t>
      </w:r>
      <w:r>
        <w:rPr>
          <w:rFonts w:ascii="Arial" w:cs="Arial" w:eastAsia="Arial" w:hAnsi="Arial"/>
          <w:sz w:val="17"/>
          <w:szCs w:val="17"/>
          <w:color w:val="auto"/>
        </w:rPr>
        <w:t>as Chief Operating Officer at Swissrockets AG in Basel from August 2019 to June 2020. Before that Dr. Voss was General Manager of Caris Life Sciences International, implementing personalized medicine in oncology through market leading tumor profiling services. Prior to joining Caris in September 2010, he was responsible for global clinical development of Avastin® and a member of the Corporate Drug Safety Board at F. Hoffmann-La Roche AG (June 2006 to July 2010). Dr. Voss was responsible for the Lung Cancer Disease Area at AstraZeneca from May 2003 to May 2006 and Medical Director at Bayer GmbH (October 2000 to April 2003) and at Asta Medica AG before that (December 1996 to September 2000). He received his MD from the University of Hamburg Medical School and was a postdoctoral fellow in the department of cellular immunology at the University of California at San Diego. He is board certified in internal medicine and joined the board of directors at Celsion Corporation in 2015.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Michael H. Tardugno. </w:t>
      </w:r>
      <w:r>
        <w:rPr>
          <w:rFonts w:ascii="Arial" w:cs="Arial" w:eastAsia="Arial" w:hAnsi="Arial"/>
          <w:sz w:val="18"/>
          <w:szCs w:val="18"/>
          <w:color w:val="auto"/>
        </w:rPr>
        <w:t>Mr. Tardugno’s biographical information appears above under the heading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Khursheed Anwer, Ph.D., M.B.A. </w:t>
      </w:r>
      <w:r>
        <w:rPr>
          <w:rFonts w:ascii="Arial" w:cs="Arial" w:eastAsia="Arial" w:hAnsi="Arial"/>
          <w:sz w:val="16"/>
          <w:szCs w:val="16"/>
          <w:color w:val="auto"/>
        </w:rPr>
        <w:t>Dr. Anwer joined us in June 2014 as Executive Vice President and Chief Scientific Officer, in connection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all the assets of EGWU, Inc. (formerly known as Egen, Inc.), an Alabama corporation (or “EGEN”). Before joining Celsion, Dr. Anwer served as EGEN’s President and Chief Scientific Officer, a position he held since 2009. He joined EGEN in July 2002 as Vice President of Research and Development and directed EGEN’s clinical and research and development functions. Before joining EGEN, Dr. Anwer was Director of Pre-Clinical Development at Valentis, Inc. from July 2000 to June 2002. From 1993 to 1999, he served in several positions at GeneMedicine, Inc., where he led several research projects in the area of non-viral gene therapy. He has authored more than 40 publications in the area of non-viral gene therapy, resulting from his active career in research and development. Dr. Anwer holds a Ph.D. in physiology/pharmacology from Ohio University and received post-doctoral training from the University of Texas Health Science Center at Houston. Dr. also has a Master’s in Business Administration from University of Alabama.</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Nicholas Borys, M.D. </w:t>
      </w:r>
      <w:r>
        <w:rPr>
          <w:rFonts w:ascii="Arial" w:cs="Arial" w:eastAsia="Arial" w:hAnsi="Arial"/>
          <w:sz w:val="17"/>
          <w:szCs w:val="17"/>
          <w:color w:val="auto"/>
        </w:rPr>
        <w:t>Dr. Borys joined us in October 2007 as Vice President and Chief Medical Officer of the Company and was promoted to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in June 2014 and to Executive Vice President in February 2019. In this position, Dr. Borys manages the clinical development and regulatory programs for Celsion. Dr. Borys has over 25 years of experience in all phases of pharmaceutical development with a focus on oncology. Immediately prior to joining Celsion, Dr. Borys served as Chief Medical Officer of Molecular Insight Pharmaceuticals, Inc., a molecular imaging and nuclear oncology pharmaceutical company, from 2004 until 2007. From 2002 until 2004, he served as the Vice President and Chief Medical Officer of Taiho Pharma USA, a Japanese start-up oncology therapeutics company. Prior to that he held increasingly senior positions at Cytogen Corporation, Anthra Pharmaceuticals, Inc., Amersham Healthcare, Inc. and Hoffmann La-Roche Inc. Dr. Borys obtained his premedical degree from Rutgers University and holds an M.D. degree from American University of the Caribbean.</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Mr. Jeffrey W. Church. </w:t>
      </w:r>
      <w:r>
        <w:rPr>
          <w:rFonts w:ascii="Arial" w:cs="Arial" w:eastAsia="Arial" w:hAnsi="Arial"/>
          <w:sz w:val="17"/>
          <w:szCs w:val="17"/>
          <w:color w:val="auto"/>
        </w:rPr>
        <w:t>Mr. Church joined us in July 2010 as Vice President, Chief Financial Officer and Corporate Secretary. Mr. Church was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as our Senior Vice President, Corporate Strategy and Investor Relations in July 2011. In July 2013, Mr. Church was reappointed as Senior Vice President and Chief Financial Officer. In December 2018, Mr. Church was promoted to Executive Vice President. Immediately prior to joining us, Mr. Church served as Chief Financial Officer and Corporate Secretary of Alba Therapeutics Corporation, a privately held life science company from 2007 until 2010. From 2006 until 2007, he served as Vice President, Chief Financial Officer and Corporate Secretary for Novavax, Inc., a vaccine development company listed on The Nasdaq Global Select Market. From 1998 until 2006, he served as Vice President, CFO and Corporate Secretary for GenVec, Inc., a biotechnology company listed on The Nasdaq Capital Market. Prior to that, he held senior financial positions at BioSpherics Corporation and Meridian Medical Technologies, both publicly traded companies. He started his career with Price Waterhouse from 1979 until 1986. Mr. Church holds a B.S. degree in accounting from the University of Maryland.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adopted a Code of Ethics and Business Conduct (the “Code of Ethics”) applicable to its directors, officers, including the Chief Executive Officer, Chief Financial Officer, Chief Accounting Officer and other officers performing similar functions, and employees. This Code of Ethics constitutes a code of ethics applicable to senior financial officers within the meaning of the Sarbanes-Oxley Act of 2002 and SEC rules. A copy of the Code of Ethics is available on the Company’s website at </w:t>
      </w:r>
      <w:r>
        <w:rPr>
          <w:rFonts w:ascii="Arial" w:cs="Arial" w:eastAsia="Arial" w:hAnsi="Arial"/>
          <w:sz w:val="16"/>
          <w:szCs w:val="16"/>
          <w:i w:val="1"/>
          <w:iCs w:val="1"/>
          <w:color w:val="auto"/>
        </w:rPr>
        <w:t>http://www.celsion.com</w:t>
      </w:r>
      <w:r>
        <w:rPr>
          <w:rFonts w:ascii="Arial" w:cs="Arial" w:eastAsia="Arial" w:hAnsi="Arial"/>
          <w:sz w:val="16"/>
          <w:szCs w:val="16"/>
          <w:color w:val="auto"/>
        </w:rPr>
        <w:t xml:space="preserve"> and any stockholder may obtain a copy by making a written request to the Company’s Corporate Secretary, 997 Lenox Drive, Suite 100, Lawrenceville, NJ 08648. In the event of any amendments to or waivers of the terms of the Code of Ethics, such matters will be posted promptly to the Company’s website in lieu of disclosure on Form 8-K in accordance with Item 5.05(c) of Form 8-K.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believes that it is important to select our Chairman of the Board and our Chief Executive Officer in the manner it considers in our best interests. The members of our Board of Directors possess considerable business experience and in-depth knowledge of the issues we face and are therefore in the best position to evaluate our needs and how best to organize and adopt our leadership structure to meet those needs. Accordingly, our Chairman and the Chief Executive Officer may be filled by one individual or by two different individuals, and our Chairman may be a Company insider or an independent director. Mr. Tardugno serves as Chairman of our Board of Directors, President and Chief Executive Officer. Currently all the other directors of our Board of Directors are independent under applicable SEC and NASDAQ rules. Our Board of Directors believes that the Company and its stockholders have been well served by the current leadership structure due to Mr. Tardugno’s experience and in-depth knowledge of the Company and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is responsible for oversight of the various risks we face. In this regard, the Board of Directors seeks to understand and oversee the most critical risks relating to our business and operations, allocate responsibilities for the oversight of risks among the full Board of Directors and its committees, and see that management has in place effective systems and processes for managing risks we face. Overseeing risk is an ongoing process, and risk is inherently tied to our strategy and to strategic decisions. Accordingly, our Board of Directors considers risk throughout the year and with respect to specific proposed actions. Our Board of Directors recognizes that it is neither possible nor prudent to eliminate all risk. Indeed, purposeful and appropriate risk-taking is essential for us to be competitive and to achieve its business objectives.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our Board of Directors oversees risk, management is charged with identifying and managing risk. We have robust internal processes and a strong internal control environment to identify and manage risks and to communicate information about risk to the Board of Directors. Management communicates routinely with our Board of Directors, Board Committees (as defined below) and individual directors on the significant risks identified and how they are being managed. Our directors are free to, and indeed often do, communicate directly with senior management.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of Directors implements its risk oversight function both as a whole and through delegation to various committees (the “Board Committees”). These Board Committees meet regularly and report back to our full Board of Directors. Our Audit Committee oversees the management of financial, accounting, internal controls, disclosure controls and the engagement arrangement and regular oversight of the independent auditors. Our Compensation Committee is responsible for the design and oversight of our compensation programs. Based on a review of our company-wide compensation programs, including the compensation programs for our executive officers, our Compensation Committee has concluded that these programs do not create risks that are likely to have a material adverse effect on us. Our Nominating and Governance Committee periodically reviews our corporate governance practices, including the risks that those practices are intended to address. It also periodically reviews the composition of our Board of Directors to help ensure that a diversity of skills and experiences is represented by the members of our Board of Directors taking into account the stage of our growth and strategic direction. Our Science and Technology Committee assists our Board of Directors in monitoring the state of science and technology capabilities within the Company and associated risks and overseeing the development of key technologies and major science and medicine-driven innovation initiatives essential to our long-term success.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presently maintains separately designated Audit, Compensation, Nominating and Governance, and Science and Technology Committees.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 Governance Practices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has a commitment to strong and sustainable corporate governance. As such, we continuously review our practices to ensure effective collaboration of management and our Board of Directors. Highlights of our Board of Directors’ best practices are:</w:t>
      </w:r>
    </w:p>
    <w:p>
      <w:pPr>
        <w:spacing w:after="0" w:line="17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Five of the six Board directors are independent;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Our Board of Directors has adopted and published committee charters (charters are available at </w:t>
      </w:r>
      <w:r>
        <w:rPr>
          <w:rFonts w:ascii="Arial" w:cs="Arial" w:eastAsia="Arial" w:hAnsi="Arial"/>
          <w:sz w:val="18"/>
          <w:szCs w:val="18"/>
          <w:u w:val="single" w:color="auto"/>
          <w:color w:val="auto"/>
        </w:rPr>
        <w:t>www.celsion.com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Board of Directors conducts an annual review of Board Independence;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Board Committees conduct annual self-evaluations that are reviewed by our Nominating and Governance Committee and Board of Directors;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receive a current state briefing before their first Board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stock ownership and stock retention guidelines for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policies and practices to specifically align executive compensation with long-term stockholder interests;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a policy prohibiting hedging and pledging, short sales, purchases or sales of puts or calls, and other derivative transactions of our stock (including any transaction that provides the economic equivalent of ownership) by our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executive compensation claw back policy was adopted by our Board of Directors in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Board of Directors reviews management talent and succession annually with our chief executive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is no automatic enhancement of executive incentive compensation upon a change-in-control.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Audit Committee consists of Mr. Frederick J. Fritz, (Chairman), Dr. Augustine Chow and Dr. Donald Braun. Our Audit Committee operates under a written charter as amended and restated effective May 4, 2007. A copy of that charter, as may be amended from time to time, is available on our web site, located at </w:t>
      </w:r>
      <w:r>
        <w:rPr>
          <w:rFonts w:ascii="Arial" w:cs="Arial" w:eastAsia="Arial" w:hAnsi="Arial"/>
          <w:sz w:val="18"/>
          <w:szCs w:val="18"/>
          <w:i w:val="1"/>
          <w:iCs w:val="1"/>
          <w:u w:val="single" w:color="auto"/>
          <w:color w:val="auto"/>
        </w:rPr>
        <w:t>http://www.celsion.com</w:t>
      </w:r>
      <w:r>
        <w:rPr>
          <w:rFonts w:ascii="Arial" w:cs="Arial" w:eastAsia="Arial" w:hAnsi="Arial"/>
          <w:sz w:val="18"/>
          <w:szCs w:val="18"/>
          <w:color w:val="auto"/>
        </w:rPr>
        <w:t>. Additional copies of the charter are available upon written request to us.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2020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spacing w:after="0" w:line="263" w:lineRule="auto"/>
        <w:rPr>
          <w:sz w:val="20"/>
          <w:szCs w:val="20"/>
          <w:color w:val="auto"/>
        </w:rPr>
      </w:pPr>
      <w:r>
        <w:rPr>
          <w:rFonts w:ascii="Arial" w:cs="Arial" w:eastAsia="Arial" w:hAnsi="Arial"/>
          <w:sz w:val="18"/>
          <w:szCs w:val="18"/>
          <w:color w:val="auto"/>
        </w:rPr>
        <w:t>Our Board has determined that all members of the Audit Committee meet the independence standards established by the SEC and Nasdaq. Our Board has determined that Mr. Fritz is qualified to serve as the “audit committee financial expert” as defined by Item 407(d)(5) of Regulation S-K and that Drs. Chow and Braun meet the financial literacy requirements under applicable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Our Compensation Committee is responsible for establishing and administering the compensation policies applicable to our directors, officers and key personnel, for determining the compensation arrangements to our Chairman, President and Chief Executive Officer and for evaluating the performance of senior management. Our Compensation Committee operates under a written charter effective as of December 24, 2003. A copy of that charter, as may be amended from time to time, is available on our web site, located at </w:t>
      </w:r>
      <w:r>
        <w:rPr>
          <w:rFonts w:ascii="Arial" w:cs="Arial" w:eastAsia="Arial" w:hAnsi="Arial"/>
          <w:sz w:val="17"/>
          <w:szCs w:val="17"/>
          <w:i w:val="1"/>
          <w:iCs w:val="1"/>
          <w:u w:val="single" w:color="auto"/>
          <w:color w:val="auto"/>
        </w:rPr>
        <w:t>www.celsion.com</w:t>
      </w:r>
      <w:r>
        <w:rPr>
          <w:rFonts w:ascii="Arial" w:cs="Arial" w:eastAsia="Arial" w:hAnsi="Arial"/>
          <w:sz w:val="17"/>
          <w:szCs w:val="17"/>
          <w:color w:val="auto"/>
        </w:rPr>
        <w:t>. Additional copies of the charter are available upon written request to us. Our Compensation Committee does not delegate the authority to approve compensation policies and actions affecting our named executive officers or directors. Our Compensation Committee applies discretion in determining compensation for our executives. Our Compensation Committee has not established any equity or other security ownership requirements or guidelines in respect of its executive officers. Our Chairman, President and Chief Executive Officer assists our Compensation Committee in evaluating the performance of other executive officers and by providing information to directors as and when requested, such as salary surveys and compensation paid by our competitors, to the extent such information is publicly available. Members of our Compensation Committee undertake to verify such information prior to referring to it in determining executive compensation. The compensation of our Chairman, President and Chief Executive Officer is determined by our Compensation Committee based on our Compensation Committee’s evaluation of his performance and with reference to such external or competitive data as they consider necessary. The compensation of the other named executive officers is determined by our Compensation Committee based on its evaluation of their individual performance and the recommendations of our Chairman, President and Chief Executive Officer.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Hooper (Chairman), and Dr. Chow currently comprise our Compensation Committee. Our Board has determined that all members of our Compensation Committee are independent under the applicable Nasdaq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Nominating and Governance Committee is responsible for identifying and recruiting new members of our Board of Directors when vacancies arise, identifying and recruiting nominees for election as directors, reconsideration of incumbent directors in connection with nominations for elections of directors and ensuring that our Board of Directors is properly constituted to meet its corporate governance obligations. Our Nominating and Governance Committee operates under a written charter effective as of December 24, 2003 and amended on February 27, 2006. A copy of that charter, as may be amended from time to time, is available on our web site, located at </w:t>
      </w:r>
      <w:r>
        <w:rPr>
          <w:rFonts w:ascii="Arial" w:cs="Arial" w:eastAsia="Arial" w:hAnsi="Arial"/>
          <w:sz w:val="17"/>
          <w:szCs w:val="17"/>
          <w:i w:val="1"/>
          <w:iCs w:val="1"/>
          <w:u w:val="single" w:color="auto"/>
          <w:color w:val="auto"/>
        </w:rPr>
        <w:t>www.celsion.com</w:t>
      </w:r>
      <w:r>
        <w:rPr>
          <w:rFonts w:ascii="Arial" w:cs="Arial" w:eastAsia="Arial" w:hAnsi="Arial"/>
          <w:sz w:val="17"/>
          <w:szCs w:val="17"/>
          <w:color w:val="auto"/>
        </w:rPr>
        <w:t>. The current member of our Nominating and Governance Committee is Mr. Fritz. Our Board has determined that Mr. Fritz is deemed to be independent under applicable Nasdaq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and Technology Committee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purpose of our Science and Technology Committee is to assist our Board of Directors in monitoring the state of science and technology capabilities within our Company and associated risks and overseeing the development of key technologies and major science and medicine-driven innovation initiatives essential to our long-term success. Our Science and Technology Committee’s responsibilities includes reviewing technologies and technology programs of significance to us, with special focus on major external initiatives, observing the evolution of science and medicine outside the Company, participating in the development of metrics to assess the state of our science and technology in subject areas including, but not limited to, patent estate, freedom to operate, productivity, capability and external benchmarks, providing guidance for our external science and technology alliances, and providing guidance on the direction of our science and technology activities, as appropriate. The current members of our Science and Technology Committee are Dr. Voss and Dr. Braun.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MEETINGS OF THE BOARD AND BOARD COMMITTEES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2020, there were a total of four (4) regular meetings of our Board of Directors. All of our directors attended all of the meetings of our Board of Directors and the Board committees on which they served that were held during the period for which they were a director or committee member, respectively. During the year ended December 31, 2020, our Audit Committee met four (4) times, our Compensation Committee met one (1) time and our Science and Technology Committee did not meet during 2020. Our Nominating and Governance Committee did not meet during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16(a) of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our knowledge, based solely on a review of the copies of reports furnished to us, we believe that during the year ended December 31, 2020, our executive officers, directors and greater than 10% stockholders complied with all Section 16(a) filing requirements.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the material elements of compensation awarded to, earned by, or paid to the following Executive Officers of the Company:</w:t>
      </w:r>
    </w:p>
    <w:p>
      <w:pPr>
        <w:spacing w:after="0" w:line="237"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Michael H. Tardugno, our Chairman, President and Chief Executive Officer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Nicholas Borys, M.D., our Executive Vice President and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Khursheed Anwer, Ph.D., our Executive Vice President and Chief Science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Jeffrey W. Church, our 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These individuals are listed in the 2020 Summary Compensation Table below and are referred to in this discussion as the “Named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sets forth information regarding the total compensation for services rendered in all capacities during the years ended December 31, 2020 and 2019, awarded to, paid to or earned by each named executive officers serving as of December 31, 2020. All compensation awarded to, earned by, or paid to Celsion’s named executive officers are included in the table below for the years ended December 31, 2020 and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Non-Equity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Incentive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Plan</w:t>
            </w: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Awards</w:t>
            </w: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Awards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41"/>
        </w:trPr>
        <w:tc>
          <w:tcPr>
            <w:tcW w:w="25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Salary</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Bonus</w:t>
            </w: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(1)(2)</w:t>
            </w:r>
          </w:p>
        </w:tc>
        <w:tc>
          <w:tcPr>
            <w:tcW w:w="2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Michael H. Tardugno (4)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$ 557,222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$ 426,600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45,250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1,429,073</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Chairman, President &amp; CEO</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$ 547,342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179,800</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$ 284,926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192,572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1,251,640</w:t>
            </w: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Nicholas Borys (5)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$ 417,097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$ 173,800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138,395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756,042</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Executive VP &amp; CMO</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$ 409,999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58,000</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$ 136,727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700,708</w:t>
            </w: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Khursheed Anwer (6)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$ 335,852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$ 158,000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756,042</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Executive VP &amp; CSO</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$ 325,442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46,400</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$ 194,977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650,698</w:t>
            </w: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Jeffrey Church (7)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$ 382,246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$ 173,800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126,127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696,423</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Executive VP &amp; CFO</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$ 377,593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54,520</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$ 136,727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61,827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647,167</w:t>
            </w:r>
          </w:p>
        </w:tc>
      </w:tr>
    </w:tbl>
    <w:p>
      <w:pPr>
        <w:spacing w:after="0" w:line="202" w:lineRule="exact"/>
        <w:rPr>
          <w:sz w:val="20"/>
          <w:szCs w:val="20"/>
          <w:color w:val="auto"/>
        </w:rPr>
      </w:pPr>
    </w:p>
    <w:p>
      <w:pPr>
        <w:jc w:val="both"/>
        <w:ind w:left="660" w:hanging="328"/>
        <w:spacing w:after="0" w:line="31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11 to the financial statements included in this 2020 Annual Report on Form 10-K.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both"/>
        <w:ind w:left="660" w:hanging="328"/>
        <w:spacing w:after="0" w:line="273"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In the first quarter of 2021, our Compensation Committee approved the amount and the payment of the incentive bonus for 2020 for each of the Named Executive Officers in the form of stock awards and Non-Equity (Cash) Incentive Plan Compensation. In connection with a portion of the 2019 bonuses earned by its Named Executive Officers, the Company issued stock awards totaling 292,000 common shares in lieu of cash.</w:t>
      </w:r>
    </w:p>
    <w:p>
      <w:pPr>
        <w:spacing w:after="0" w:line="17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 The 2020 discretionary contribution is 5.0% of eligible salary of each employee which was contributed in January 2021.</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Mr. Tardugno, “All Other Compensation” for 2020 consists of $18,000 for discretionary spending allowance, a 401(k)-plan matching contribution of $13,000 in our common stock and a $14,250 discretionary 401(k) contribution.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Dr. Borys, “All Other Compensation” for 2020 consists of a 401(k)-plan matching contribution of $14,250 in our common stock and a $14,250 discretionary 401(k) contribution.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Dr. Anwer, “All Other Compensation” for 2020 consists of $6,0062 for discretionary spending allowance, a 401(k)-plan matching contribution of $7,593 in our common stock and a $14,250 discretionary 401(k) contribution.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Mr. Church, “All Other Compensation” for 2020 consists of a $12,500 discretionary 401(k) contribution.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 ThermoDox®,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our drug development status, it is unlikely, in the short term, to generate revenues and income sufficient to cover product development costs. As a result, our executive compensation philosophy is to align the interests of management and stockholders by emphasizing rewards for Company performance, while remaining competitive with compensation paid by other clinical stage biotechnology companies.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The compensation practices that we have outlined below have been implemented because we believe that they are consistent with our stockholders’ interests: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What we do:</w:t>
      </w:r>
    </w:p>
    <w:p>
      <w:pPr>
        <w:spacing w:after="0" w:line="229" w:lineRule="exact"/>
        <w:rPr>
          <w:sz w:val="20"/>
          <w:szCs w:val="20"/>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significant portion of our executive compensation is based on actual Company performance compared to absolute and relative measures and is therefore “at risk”;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shares in our long-term and annual incentive programs are subject to both time and performance vesting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Multiple performance metrics between the annual and long-term incentive plans discourage excessive risk-taking by removing any incentive to focus on a single performance goal to the detriment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Balance between annual and long-term compensation to discourage short-term risk taking at the expense of long-term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executives are encouraged to acquire and maintain meaningful ownership positions in our Company’s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Use relevant competitive compensation information compiled from compensation surveys;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reasonable, double trigger change in control arrangements.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Following is a list of compensation practices that we have not engaged in because we do not believe that they are consistent with our stockholders’ interests: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What we don’t do:</w:t>
      </w:r>
    </w:p>
    <w:p>
      <w:pPr>
        <w:spacing w:after="0" w:line="229"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Re-pricing or backdating of stock options;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Hedging or engaging in the following transactions that include shares of common stock: collars, short sales and other derivative transactions for NEOs or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Excessive perquisites for executives;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Single trigger or modified single trigger cash severance benefits followed by a change in control;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Provisions for excise tax gross-ups in employment contracts issued.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Say-on-Pay Votes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our stockholders with the opportunity to cast an advisory vote annually to approve our executive compensation program (referred to as a “say-on-pay proposal”). At the Annual Meeting of Stockholders held on June 15, 2020, approximately 86.1% of the votes cast on the say-on-pay proposal at that meeting were voted in favor of our executive compensation program. The Compensation Committee believes these results affirmed stockholders’ support of our approach to the executive compensation program. In general, the Compensation Committee did not change its approach in 2020 and believes the program in place, as in prior years, includes a number of features that further the goals of the Company’s executive compensation program. The Compensation Committee will continue to consider the outcome of the Company’s say-on-pay proposals when making future compensation decisions for the Named Executive Officers.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ind w:right="20"/>
        <w:spacing w:after="0" w:line="277" w:lineRule="auto"/>
        <w:rPr>
          <w:sz w:val="20"/>
          <w:szCs w:val="20"/>
          <w:color w:val="auto"/>
        </w:rPr>
      </w:pPr>
      <w:r>
        <w:rPr>
          <w:rFonts w:ascii="Arial" w:cs="Arial" w:eastAsia="Arial" w:hAnsi="Arial"/>
          <w:sz w:val="18"/>
          <w:szCs w:val="18"/>
          <w:color w:val="auto"/>
        </w:rPr>
        <w:t>The Compensation Committee has adopted the following executive compensation approaches, which the Company believes help to achieve the objectives for the executive compensation program and are generally favored by stockholders:</w:t>
      </w:r>
    </w:p>
    <w:p>
      <w:pPr>
        <w:spacing w:after="0" w:line="170" w:lineRule="exact"/>
        <w:rPr>
          <w:sz w:val="20"/>
          <w:szCs w:val="20"/>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significant amount of the executives’ compensation is at-risk. For fiscal year 2020, 57.8% of Mr. Tardugno’s target total direct compensation was performance-based (annual cash incentive awards) and/or linked to the value of our stock price (long-term equity incentive awards). As used in this discussion, the term “total direct compensation” means: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Aggregate amount of the executive’s base salary (39%),</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Annual cash incentive awards (28%),</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Long-term equity incentive (option and restricted stock) awards based on the grant-date fair value of such awards as determined under the accounting principles used in the Company’s audited financial statements (30%), and</w:t>
      </w:r>
    </w:p>
    <w:p>
      <w:pPr>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Other Compensation (3%).</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Executives’ bonuses under our annual incentive program are principally based on the achievement of specific performance objectives established at the beginning of the fiscal year by the Compensation Committee. Historically the Compensation Committee has awarded the annual incentive bonus for each year in the first quarter of the following year.</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Executives’ 2020 annual equity awards were granted in the form of stock option awards. We believe the grant of stock option awards further aligns the executives’ interests with those of stockholders as the awards will not have value unless the Company’s stock price appreciates after the award is granted. The stock option awards also provide a retention incentive as they vest over a multi-year period.</w:t>
      </w:r>
    </w:p>
    <w:p>
      <w:pPr>
        <w:spacing w:after="0" w:line="165"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Executives are also granted stock option and restricted stock awards at the time they join the Company as these provide the same incentives as annual equity awards. These stock option grants and restricted stock awards generally vest over a three or four-year period beginning on the first-year anniversary of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Mr. Tardugno’s compensation for the last two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gridSpan w:val="2"/>
          </w:tcPr>
          <w:p>
            <w:pPr>
              <w:spacing w:after="0"/>
              <w:rPr>
                <w:sz w:val="20"/>
                <w:szCs w:val="20"/>
                <w:color w:val="auto"/>
              </w:rPr>
            </w:pPr>
            <w:r>
              <w:rPr>
                <w:rFonts w:ascii="Arial" w:cs="Arial" w:eastAsia="Arial" w:hAnsi="Arial"/>
                <w:sz w:val="18"/>
                <w:szCs w:val="18"/>
                <w:color w:val="auto"/>
              </w:rPr>
              <w:t>(in 000’s)</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w w:val="88"/>
              </w:rPr>
              <w:t>Change</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Change</w:t>
            </w:r>
          </w:p>
        </w:tc>
      </w:tr>
      <w:tr>
        <w:trPr>
          <w:trHeight w:val="216"/>
        </w:trPr>
        <w:tc>
          <w:tcPr>
            <w:tcW w:w="4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557</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Cash Incentive Awards</w:t>
            </w:r>
          </w:p>
        </w:tc>
        <w:tc>
          <w:tcPr>
            <w:tcW w:w="8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and Stock Awards</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5060" w:type="dxa"/>
            <w:vAlign w:val="bottom"/>
            <w:gridSpan w:val="2"/>
          </w:tcPr>
          <w:p>
            <w:pPr>
              <w:spacing w:after="0"/>
              <w:rPr>
                <w:sz w:val="20"/>
                <w:szCs w:val="20"/>
                <w:color w:val="auto"/>
              </w:rPr>
            </w:pPr>
            <w:r>
              <w:rPr>
                <w:rFonts w:ascii="Arial" w:cs="Arial" w:eastAsia="Arial" w:hAnsi="Arial"/>
                <w:sz w:val="18"/>
                <w:szCs w:val="18"/>
                <w:color w:val="auto"/>
              </w:rPr>
              <w:t>All Other Compensation</w:t>
            </w:r>
          </w:p>
        </w:tc>
        <w:tc>
          <w:tcPr>
            <w:tcW w:w="80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attempts to design executive compensation programs to achieve three principal objectives.</w:t>
      </w:r>
    </w:p>
    <w:p>
      <w:pPr>
        <w:spacing w:after="0" w:line="225" w:lineRule="exact"/>
        <w:rPr>
          <w:sz w:val="20"/>
          <w:szCs w:val="20"/>
          <w:color w:val="auto"/>
        </w:rPr>
      </w:pPr>
    </w:p>
    <w:p>
      <w:pPr>
        <w:ind w:left="980" w:hanging="324"/>
        <w:spacing w:after="0" w:line="258"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program is intended to attract, motivate and retain talented executives with total compensation that is competitive within the drug development and broader pharmaceutical and biotechnology industry;</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program is intended to create an alignment of interests between our executives and stockholders such that a significant portion of each executive’s compensation varies with business performance and is dependent on stock price appreciation; and</w:t>
      </w: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program is designed to award behavior which results in optimizing the commercial potential of our development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jc w:val="both"/>
        <w:spacing w:after="0" w:line="273" w:lineRule="auto"/>
        <w:rPr>
          <w:sz w:val="20"/>
          <w:szCs w:val="20"/>
          <w:color w:val="auto"/>
        </w:rPr>
      </w:pPr>
      <w:r>
        <w:rPr>
          <w:rFonts w:ascii="Arial" w:cs="Arial" w:eastAsia="Arial" w:hAnsi="Arial"/>
          <w:sz w:val="17"/>
          <w:szCs w:val="17"/>
          <w:color w:val="auto"/>
        </w:rPr>
        <w:t>The Compensation Committee’s philosophy is to pay competitive total compensation, comprised of annual salaries, annual cash incentives and long-term equity awards (primarily stock options), with a significant percentage of total compensation directly linked with the Company’s performance. The Compensation Committee considers the elements of the compensation package to be reflective of compensation packages given to executives of companies of similar size in our industry. Compensation packages generally are designed to pay competitive salaries at the median of the industry compensation surveys as described below, reward superior annual performance through incentive compensation awards and allow executives to participate in increases in stockholder value through stock option and other stock-based grants.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determining executives’ compensation levels, the Compensation Committee relies primarily on its experience and judgment to provide a package that it believes appropriately balances the need to attract and retain key executive talent with the creation of incentives that will (i) enhance the growth of the Company, (ii) align the interests of management and stockholders by emphasizing rewards for Company performance, while remaining competitive with compensation paid by other clinical stage biotechnology companies and (iii) provide value for stockholders.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its decision-making process, the Compensation Committee takes into account the role and experience of each executive and reviews industry surveys (specifically, the Radford Global Life Sciences Survey, which covers a broad cross-section of the biotechnology, pharmaceuticals and life science industries and in which the Company participates) for information on the compensation paid to executive officers by companies in our industry that are similar in size, breadth, stage of development or complexity to the Company. The Compensation Committee also reviews custom surveys comparing executive compensation with that of specific peer groups (for example, pre-commercial biopharma public companies, biopharma companies with under 50 employees, biopharma companies with a market cap above $100 million and biopharma companies with a market cap below $100 million).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2021, the Compensation Committee retained Mercer as its independent compensation advisor to compare the Company’s executive and non-employee director 2020 compensation levels, policies, practices and procedures to a set of peer companies selected by the Compensation Committee with input from Mercer. Mercer reported directly to the Compensation Committee and performed no work for management that was not under the Compensation Committee’s purview. The Compensation Committee assessed the independence of Mercer pursuant to the relevant SEC rules and the Nasdaq Listing Rules and concluded that no conflicts of interest exist. The Compensation Committee and Mercer reviewed the compensation surveys as summarized above as it relates to elements of yearly performance and compensation of all members of the executive management team. As part of their engagement, Mercer prepared and submitted to the Compensation Committee a report on the audit of the Company’s current compensation benchmarking practices and its recommendations relating to executive and non-employee director compensation. Mercer concluded that the Company uses appropriate market data sources to evaluate the competitive positioning of the top executives’ and the Board of Directors’ compensation packages and market positioning relative to those data sources is reasonable.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believes that an appropriate level of input from our Chief Executive Officer provides a necessary and valuable perspective in helping the Compensation Committee formulate its own independent views on compensation. The Compensation Committee takes measures to ensure its independence with respect to our Chief Executive Officer’s compensation, excusing him from portions of meetings to freely discuss his and the other Named Executive Officers performance and compensation. The Compensation Committee made all final determinations on the compensation levels for all Named Executive Officers in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Salaries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participate in an ongoing industry survey as described above. The Compensation Committee compares base salary for our executives with the levels provided to similarly situated executives and generally targets base salaries at levels in the median of the survey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jc w:val="both"/>
        <w:ind w:right="20"/>
        <w:spacing w:after="0" w:line="263" w:lineRule="auto"/>
        <w:rPr>
          <w:sz w:val="20"/>
          <w:szCs w:val="20"/>
          <w:color w:val="auto"/>
        </w:rPr>
      </w:pPr>
      <w:r>
        <w:rPr>
          <w:rFonts w:ascii="Arial" w:cs="Arial" w:eastAsia="Arial" w:hAnsi="Arial"/>
          <w:sz w:val="18"/>
          <w:szCs w:val="18"/>
          <w:color w:val="auto"/>
        </w:rPr>
        <w:t>In 2020, the Compensation Committee reviewed each executive’s job responsibilities, individual performance, our corporate performance, competitive market data, our total compensation expense and the base salaries of Mr. Tardugno, Dr. Borys, Dr. Anwer and Mr. Church and approved the following salary adjustments for each Named Executive Officer:</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Fiscal 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Fiscal 2019</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Change from</w:t>
            </w:r>
          </w:p>
        </w:tc>
      </w:tr>
      <w:tr>
        <w:trPr>
          <w:trHeight w:val="237"/>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Named Executive Officer</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Salary</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Salary</w:t>
            </w:r>
          </w:p>
        </w:tc>
        <w:tc>
          <w:tcPr>
            <w:tcW w:w="3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Previous Year</w:t>
            </w:r>
          </w:p>
        </w:tc>
        <w:tc>
          <w:tcPr>
            <w:tcW w:w="180" w:type="dxa"/>
            <w:vAlign w:val="bottom"/>
            <w:tcBorders>
              <w:bottom w:val="single" w:sz="8" w:color="CCEEFF"/>
            </w:tcBorders>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Michael H. Tardugno</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547,342</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Nicholas Borys</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417,097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409,999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Khursheed Anwer</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335,852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325,442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Jeffrey W. Church</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382,246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377,593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 incentive compensation plan in which all members of our senior management participate. The plan is performance-driven based on Company and individual personal operational objectives established at the beginning of the year by the Compensation Committee in consultation with our Chief Executive Officer. These operational objectives include the completion of certain development projects, capital raising, cost controls, business development and profit and loss goals, which we believe are ultimately linked to creating stockholder value. These objectives are designed to achieve timely and efficient product development including completion of clinical studies and regulatory approvals. Each member of senior management is individually evaluated based on the achievement of the Company’s overall operational objectives and each individual’s personal performance against these objectives. This component of compensation is provided, among other reasons, to create incentives for members of senior management to meet short- and medium-term performance goals of the Company, without regard to stock price. Objectives are weighted in terms of overall importance to meeting the Company’s operating plan.</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annual incentive compensation a member of senior management can earn is based on his level within management, with more senior members of management eligible to earn a higher percentage of their base salary as incentive compensation than less senior members. We believe it is appropriate for executives to have a greater percentage of their compensation “at-risk” based on performance as they generally have a greater role in the achievement of objectives that we believe promote the growth of the Company and the creation of value for stockholders. The actual amount of incentive compensation paid to any member of senior management is determined on a sliding scale dependent on how successful such member of senior management was in achieving the objectives upon which his or her incentive compensation was targeted and the relative importance to the Company of the objectives achieved. The Compensation Committee retains complete discretion to adjust any incentive compensation down and retains discretion as to whether to grant any incentive compensation to any individual member of senior management at all.</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incentive compensation plan for 2020, the Compensation Committee established a number of annual corporate goals identified below that include research and development, regulatory, manufacturing, organizational and financial goals which we believe are essential to building stockholder value. The relative weighting of these corporate goals is based upon our assessment of the importance of each goal in creating value for the Company and our stockholders. Each corporate goal was established so that significant levels of achievement were required to meet the goal. Following the conclusion of the annual performance period, the level of achievement for each corporate goal was assessed by the Compensation Committee. The Compensation Committee determined whether each corporate goal had been met, exceeded, or not satisfied. In addition, in assessing corporate performance, the Compensation Committee had the discretion to factor in other significant corporate events that occurred during the performance period, which could have resulted in an upward or downward adjustment in the determination of corporate performance. After considering the level of attainment of each corporate goal and other appropriate corporate performance factors, the Compensation Committee assigned the overall corporate performance rating, which could have ranged from 0% to 130%. A maximum bonus pool is established by multiplying the overall corporate performance rating by the aggregate target bonuses for all individuals in the incentive plan. Certain individual downward adjustments may be made at the discretion of the Compensation Committee. The aggregate of all individual bonuses awarded under the policy cannot exceed the maximum bonus pool available such that the cost of bonuses ultimately reflects our overall performance and is not inflated by any individual performance rating.</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the corporate performance rating is determined by the Compensation Committee, the individual performance of each Named Executive Officer is reviewed by the Compensation Committee in consultation with Mr. Tardugno in order to determine the appropriate annual performance percentage rating to be assigned to the executive for the performance period. Each Named Executive Officer’s actual annual performance-based incentive compensation payment is based on a combination of our corporate performance rating and his or her individual performance rating. The actual annual performance bonus compensation award for each Named Executive Officer is determined in the Compensation Committee’s sole discretion, and the maximum payout for each Named Executive Officer could be up to 130% of his target annual performance-based compensation target.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spacing w:after="0" w:line="308" w:lineRule="auto"/>
        <w:rPr>
          <w:sz w:val="20"/>
          <w:szCs w:val="20"/>
          <w:color w:val="auto"/>
        </w:rPr>
      </w:pPr>
      <w:r>
        <w:rPr>
          <w:rFonts w:ascii="Arial" w:cs="Arial" w:eastAsia="Arial" w:hAnsi="Arial"/>
          <w:sz w:val="17"/>
          <w:szCs w:val="17"/>
          <w:color w:val="auto"/>
        </w:rPr>
        <w:t>The Named Executive Officers were each assigned a target annual incentive for 2020 ranging from 45% to 100% of base salary. The table below shows the target annual incentive assigned to each Named Executive Officer for 2020 both as a dollar amount and as a percentage of base salary.</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Target Annual</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Target Annual</w:t>
            </w:r>
          </w:p>
        </w:tc>
        <w:tc>
          <w:tcPr>
            <w:tcW w:w="10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Annual Incentive</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Annual Incentive</w:t>
            </w:r>
          </w:p>
        </w:tc>
      </w:t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Incentive</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Incentive for 2020 (%</w:t>
            </w:r>
          </w:p>
        </w:tc>
        <w:tc>
          <w:tcPr>
            <w:tcW w:w="10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Awarded</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Awarded for 2020 (%</w:t>
            </w:r>
          </w:p>
        </w:tc>
      </w:tr>
      <w:tr>
        <w:trPr>
          <w:trHeight w:val="241"/>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for 2020</w:t>
            </w:r>
          </w:p>
        </w:tc>
        <w:tc>
          <w:tcPr>
            <w:tcW w:w="3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Base Salary)</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for 2020</w:t>
            </w:r>
          </w:p>
        </w:tc>
        <w:tc>
          <w:tcPr>
            <w:tcW w:w="3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Base Salary)</w:t>
            </w:r>
          </w:p>
        </w:tc>
        <w:tc>
          <w:tcPr>
            <w:tcW w:w="180" w:type="dxa"/>
            <w:vAlign w:val="bottom"/>
            <w:tcBorders>
              <w:bottom w:val="single" w:sz="8" w:color="CCEEFF"/>
            </w:tcBorders>
          </w:tcPr>
          <w:p>
            <w:pPr>
              <w:spacing w:after="0"/>
              <w:rPr>
                <w:sz w:val="20"/>
                <w:szCs w:val="20"/>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Michael H. Tardugno</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6"/>
              </w:rPr>
              <w:t>557,222</w:t>
            </w:r>
          </w:p>
        </w:tc>
        <w:tc>
          <w:tcPr>
            <w:tcW w:w="3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400,001</w:t>
            </w: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Nicholas Borys</w:t>
            </w:r>
          </w:p>
        </w:tc>
        <w:tc>
          <w:tcPr>
            <w:tcW w:w="140" w:type="dxa"/>
            <w:vAlign w:val="bottom"/>
          </w:tcPr>
          <w:p>
            <w:pPr>
              <w:spacing w:after="0"/>
              <w:rPr>
                <w:sz w:val="18"/>
                <w:szCs w:val="18"/>
                <w:color w:val="auto"/>
              </w:rPr>
            </w:pP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187,694</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138,395</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Khursheed Anwer</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167,926</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122,147</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Jeffrey W. Church</w:t>
            </w:r>
          </w:p>
        </w:tc>
        <w:tc>
          <w:tcPr>
            <w:tcW w:w="140" w:type="dxa"/>
            <w:vAlign w:val="bottom"/>
          </w:tcPr>
          <w:p>
            <w:pPr>
              <w:spacing w:after="0"/>
              <w:rPr>
                <w:sz w:val="20"/>
                <w:szCs w:val="20"/>
                <w:color w:val="auto"/>
              </w:rPr>
            </w:pP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rPr>
              <w:t>172,011</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126,127</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2020 corporate objectives and relative weightings assigned to each objective include the completion of certain development projects, capital raising, cost controls, business development and profit and loss goals, which we believe are ultimately linked to creating stockholder value. These objectives are designed to achieve timely and efficient product development including completion of clinical studies and regulatory approvals and in total represent a potential payout at 130% of the executive’s bonus target if all objectives are achieved.</w:t>
      </w:r>
    </w:p>
    <w:p>
      <w:pPr>
        <w:spacing w:after="0" w:line="183" w:lineRule="exact"/>
        <w:rPr>
          <w:sz w:val="20"/>
          <w:szCs w:val="20"/>
          <w:color w:val="auto"/>
        </w:rPr>
      </w:pPr>
    </w:p>
    <w:p>
      <w:pPr>
        <w:jc w:val="both"/>
        <w:ind w:left="980" w:hanging="324"/>
        <w:spacing w:after="0" w:line="297"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Objectives </w:t>
      </w:r>
      <w:r>
        <w:rPr>
          <w:rFonts w:ascii="Arial" w:cs="Arial" w:eastAsia="Arial" w:hAnsi="Arial"/>
          <w:sz w:val="16"/>
          <w:szCs w:val="16"/>
          <w:color w:val="auto"/>
        </w:rPr>
        <w:t>to file a New Drug Application (NDA) within 6 months of positive data from the OPTIMA Study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establish a global commercialization plan for ThermoDox® which includes (i) completion of U.S. marketing plan and pricing studies by the third quarter of 2020, (ii) establish a China commercial structure by the fourth quarter of 2020 and (iii) enter into confidential discussions with three or more potential European license partners by the fourth quarter of 2020 (30%) </w:t>
      </w:r>
      <w:r>
        <w:rPr>
          <w:rFonts w:ascii="Arial" w:cs="Arial" w:eastAsia="Arial" w:hAnsi="Arial"/>
          <w:sz w:val="1"/>
          <w:szCs w:val="1"/>
          <w:color w:val="auto"/>
        </w:rPr>
        <w:drawing>
          <wp:inline distT="0" distB="0" distL="0" distR="0">
            <wp:extent cx="128905" cy="12001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b w:val="1"/>
          <w:bCs w:val="1"/>
          <w:color w:val="auto"/>
        </w:rPr>
        <w:t xml:space="preserve"> 5% of 30% OF OBJECTIVES MET</w:t>
      </w:r>
    </w:p>
    <w:p>
      <w:pPr>
        <w:spacing w:after="0" w:line="157" w:lineRule="exact"/>
        <w:rPr>
          <w:rFonts w:ascii="Arial" w:cs="Arial" w:eastAsia="Arial" w:hAnsi="Arial"/>
          <w:sz w:val="16"/>
          <w:szCs w:val="16"/>
          <w:color w:val="auto"/>
        </w:rPr>
      </w:pPr>
    </w:p>
    <w:p>
      <w:pPr>
        <w:jc w:val="both"/>
        <w:ind w:left="980" w:hanging="324"/>
        <w:spacing w:after="0" w:line="285"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Objectives </w:t>
      </w:r>
      <w:r>
        <w:rPr>
          <w:rFonts w:ascii="Arial" w:cs="Arial" w:eastAsia="Arial" w:hAnsi="Arial"/>
          <w:sz w:val="16"/>
          <w:szCs w:val="16"/>
          <w:color w:val="auto"/>
        </w:rPr>
        <w:t>to enroll 12 patients in the phase I portion of the OVATION 2 Study by November 30, 2020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establish twenty (20) new investigator sites for the phase II portion of the OVATION 2 Study (20%) </w:t>
      </w:r>
      <w:r>
        <w:rPr>
          <w:rFonts w:ascii="Arial" w:cs="Arial" w:eastAsia="Arial" w:hAnsi="Arial"/>
          <w:sz w:val="1"/>
          <w:szCs w:val="1"/>
          <w:color w:val="auto"/>
        </w:rPr>
        <w:drawing>
          <wp:inline distT="0" distB="0" distL="0" distR="0">
            <wp:extent cx="128905" cy="12001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b w:val="1"/>
          <w:bCs w:val="1"/>
          <w:color w:val="auto"/>
        </w:rPr>
        <w:t xml:space="preserve"> 15% of 20% OF OBJECTIVES</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MET</w:t>
      </w:r>
    </w:p>
    <w:p>
      <w:pPr>
        <w:spacing w:after="0" w:line="206" w:lineRule="exact"/>
        <w:rPr>
          <w:rFonts w:ascii="Arial" w:cs="Arial" w:eastAsia="Arial" w:hAnsi="Arial"/>
          <w:sz w:val="16"/>
          <w:szCs w:val="16"/>
          <w:color w:val="auto"/>
        </w:rPr>
      </w:pPr>
    </w:p>
    <w:p>
      <w:pPr>
        <w:ind w:left="980" w:hanging="324"/>
        <w:spacing w:after="0" w:line="28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Objective </w:t>
      </w:r>
      <w:r>
        <w:rPr>
          <w:rFonts w:ascii="Arial" w:cs="Arial" w:eastAsia="Arial" w:hAnsi="Arial"/>
          <w:sz w:val="18"/>
          <w:szCs w:val="18"/>
          <w:color w:val="auto"/>
        </w:rPr>
        <w:t>to reduce GEN-1 manufacturing costs and expand GEN-1 manufacturing capacity in support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phase II portion of the OVATION 2 Study (10%) </w:t>
      </w:r>
      <w:r>
        <w:rPr>
          <w:rFonts w:ascii="Arial" w:cs="Arial" w:eastAsia="Arial" w:hAnsi="Arial"/>
          <w:sz w:val="1"/>
          <w:szCs w:val="1"/>
          <w:color w:val="auto"/>
        </w:rPr>
        <w:drawing>
          <wp:inline distT="0" distB="0" distL="0" distR="0">
            <wp:extent cx="128905" cy="12001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8"/>
          <w:szCs w:val="18"/>
          <w:b w:val="1"/>
          <w:bCs w:val="1"/>
          <w:color w:val="auto"/>
        </w:rPr>
        <w:t xml:space="preserve"> OBJECTIVES MET</w:t>
      </w:r>
    </w:p>
    <w:p>
      <w:pPr>
        <w:spacing w:after="0" w:line="159" w:lineRule="exact"/>
        <w:rPr>
          <w:rFonts w:ascii="Arial" w:cs="Arial" w:eastAsia="Arial" w:hAnsi="Arial"/>
          <w:sz w:val="18"/>
          <w:szCs w:val="18"/>
          <w:color w:val="auto"/>
        </w:rPr>
      </w:pPr>
    </w:p>
    <w:p>
      <w:pPr>
        <w:ind w:left="980" w:hanging="324"/>
        <w:spacing w:after="0" w:line="28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Financial Objectives </w:t>
      </w:r>
      <w:r>
        <w:rPr>
          <w:rFonts w:ascii="Arial" w:cs="Arial" w:eastAsia="Arial" w:hAnsi="Arial"/>
          <w:sz w:val="18"/>
          <w:szCs w:val="18"/>
          <w:color w:val="auto"/>
        </w:rPr>
        <w:t>to manage cash and operating expenses, ensure cash flows are within 10% of plan and maintain sufficient levels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less than 16 months operating cash at year end 2020 (25%) </w:t>
      </w:r>
      <w:r>
        <w:rPr>
          <w:rFonts w:ascii="Arial" w:cs="Arial" w:eastAsia="Arial" w:hAnsi="Arial"/>
          <w:sz w:val="1"/>
          <w:szCs w:val="1"/>
          <w:color w:val="auto"/>
        </w:rPr>
        <w:drawing>
          <wp:inline distT="0" distB="0" distL="0" distR="0">
            <wp:extent cx="128905" cy="12001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8"/>
          <w:szCs w:val="18"/>
          <w:b w:val="1"/>
          <w:bCs w:val="1"/>
          <w:color w:val="auto"/>
        </w:rPr>
        <w:t xml:space="preserve"> OBJECTIVES MET</w:t>
      </w:r>
    </w:p>
    <w:p>
      <w:pPr>
        <w:spacing w:after="0" w:line="159"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Corporate Development Objectives </w:t>
      </w:r>
      <w:r>
        <w:rPr>
          <w:rFonts w:ascii="Arial" w:cs="Arial" w:eastAsia="Arial" w:hAnsi="Arial"/>
          <w:sz w:val="18"/>
          <w:szCs w:val="18"/>
          <w:color w:val="auto"/>
        </w:rPr>
        <w:t>to expand senior management team to support commercialization of ThermoDox® and renegotiate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milestone payment for the GEN-1 ovarian cancer product candidate reducing the near-term exposure of the $12.2 million milestone payment (15%) </w:t>
      </w:r>
      <w:r>
        <w:rPr>
          <w:rFonts w:ascii="Arial" w:cs="Arial" w:eastAsia="Arial" w:hAnsi="Arial"/>
          <w:sz w:val="1"/>
          <w:szCs w:val="1"/>
          <w:color w:val="auto"/>
        </w:rPr>
        <w:drawing>
          <wp:inline distT="0" distB="0" distL="0" distR="0">
            <wp:extent cx="128905" cy="12001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8"/>
          <w:szCs w:val="18"/>
          <w:b w:val="1"/>
          <w:bCs w:val="1"/>
          <w:color w:val="auto"/>
        </w:rPr>
        <w:t xml:space="preserve"> 7.5% of 15% OF OBJECTIVES MET</w:t>
      </w:r>
    </w:p>
    <w:p>
      <w:pPr>
        <w:spacing w:after="0" w:line="174"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Bonus Objectives </w:t>
      </w:r>
      <w:r>
        <w:rPr>
          <w:rFonts w:ascii="Arial" w:cs="Arial" w:eastAsia="Arial" w:hAnsi="Arial"/>
          <w:sz w:val="18"/>
          <w:szCs w:val="18"/>
          <w:color w:val="auto"/>
        </w:rPr>
        <w:t>to develop bold and differentiating plans so as to achieve a market cap consistent with a share price of 80% of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analysts’ average target price for Celsion and complete a commercial license of significant value with a Pharma partner for either GEN-1 or ThermoDox® by year-end 2019 (30%). *</w:t>
      </w:r>
    </w:p>
    <w:p>
      <w:pPr>
        <w:spacing w:after="0" w:line="180" w:lineRule="exact"/>
        <w:rPr>
          <w:sz w:val="20"/>
          <w:szCs w:val="20"/>
          <w:color w:val="auto"/>
        </w:rPr>
      </w:pPr>
    </w:p>
    <w:p>
      <w:pPr>
        <w:jc w:val="both"/>
        <w:ind w:left="980"/>
        <w:spacing w:after="0" w:line="267" w:lineRule="auto"/>
        <w:tabs>
          <w:tab w:leader="none" w:pos="11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Following the recommendation by the DMC on July 9, 2021 to terminate the Phase III OPTIMA Study for futility, the Compensation Committee reassessed the Bonus Objectives with a four-point action plan for the second half of 2020 designed to stabilize the Company and insure its future. (15%) </w:t>
      </w:r>
      <w:r>
        <w:rPr>
          <w:rFonts w:ascii="Arial" w:cs="Arial" w:eastAsia="Arial" w:hAnsi="Arial"/>
          <w:sz w:val="1"/>
          <w:szCs w:val="1"/>
          <w:color w:val="auto"/>
        </w:rPr>
        <w:drawing>
          <wp:inline distT="0" distB="0" distL="0" distR="0">
            <wp:extent cx="128905" cy="12001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8"/>
          <w:szCs w:val="18"/>
          <w:b w:val="1"/>
          <w:bCs w:val="1"/>
          <w:color w:val="auto"/>
        </w:rPr>
        <w:t xml:space="preserve"> OBJECTIVES MET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ind w:left="980"/>
        <w:spacing w:after="0"/>
        <w:rPr>
          <w:sz w:val="20"/>
          <w:szCs w:val="20"/>
          <w:color w:val="auto"/>
        </w:rPr>
      </w:pPr>
      <w:r>
        <w:rPr>
          <w:rFonts w:ascii="Arial" w:cs="Arial" w:eastAsia="Arial" w:hAnsi="Arial"/>
          <w:sz w:val="18"/>
          <w:szCs w:val="18"/>
          <w:color w:val="auto"/>
        </w:rPr>
        <w:t>The plan consisted of the following:</w:t>
      </w:r>
    </w:p>
    <w:p>
      <w:pPr>
        <w:spacing w:after="0" w:line="225" w:lineRule="exact"/>
        <w:rPr>
          <w:sz w:val="20"/>
          <w:szCs w:val="20"/>
          <w:color w:val="auto"/>
        </w:rPr>
      </w:pPr>
    </w:p>
    <w:p>
      <w:pPr>
        <w:ind w:left="1300" w:hanging="320"/>
        <w:spacing w:after="0" w:line="258"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Stabilize and reposition the Company by reducing operating costs by $8 million and by raising additional capital to strengthen the balance sheet;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Pivot the clinical focus to GEN-1 and accelerate the Phase II portion of the OVATION 2 Study;</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Complete the independent failure analysis of the Phase III OPTIMA Study and determine whether the study should continue to follow patients or be terminated; and</w:t>
      </w: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 the Company’s options going forward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long-term equity awards to its executives and other employees that are designed to align the interests our Company employees and stockholders, encouraging participants to maintain and increase their ownership our Company common stock with the opportunity to benefit from our long-term performance. Our equity program has generally consisted of grants of stock options and occasional grants of stock awards. Because the exercise price of the options is based on the market price of our common stock on the date of grant, the Compensation Committee believes that options help to align the interests of our executives with those of its stockholders as the options will not have value unless there is appreciation in our stock price. The options also serve as a retention tool since they generally vest over a three to four-year period following the grant date. This approach is designed to focus key employees on sustainable growth of the Company and the creation of stockholder value over the long term.</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 grants to the Named Executive Officers are generally made during the first half of the fiscal year. Annual grants are determined by the Compensation Committee based on review of each individual’s past performance as well as their potential impact on the Company’s future performance. Grants may also be made at other times during the fiscal year in certain circumstances (such as a grant in connection with the hiring or promotion of an executive or other special circumstance as deemed appropriate by the 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Option Grants During 2020</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of the stock options awarded to the Named Executive Officers in 2020 and reported in the 2020 Grants of Plan-Based Awards Table below was granted under, and is subject to, the terms of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discretion to provide for outstanding awards to become vested in connection with a change in control.</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option granted to the Named Executive Officers in 2020 was granted with a per-share exercise price equal to the closing price of our common stock on the grant date. Each option is scheduled to vest in three installments, with one-third vesting on the date of grant and the balance vesting in equal annual installments over each of the next two years,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2020 Grants of Plan-Based Awards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information regarding the incentive awards granted to the Named Executive Officers during 2020. Each of the equity awards reported in the table below was granted under the 2018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Future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Payouts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All other</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 Non-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 Awards: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Exercise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Base Price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Stock</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Incentive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or</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of Option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and Option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Plan Awards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Units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 lying</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Awards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Target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($/Share)</w:t>
            </w:r>
          </w:p>
        </w:tc>
      </w:tr>
      <w:tr>
        <w:trPr>
          <w:trHeight w:val="241"/>
        </w:trPr>
        <w:tc>
          <w:tcPr>
            <w:tcW w:w="25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 (1)</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20"/>
                <w:szCs w:val="20"/>
                <w:color w:val="auto"/>
              </w:rPr>
            </w:pPr>
          </w:p>
        </w:tc>
      </w:tr>
      <w:tr>
        <w:trPr>
          <w:trHeight w:val="216"/>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H. Tardugno</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6/15/2020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Nicholas Borys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190,890</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6/15/2020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Khursheed Anwer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168,479</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6/15/2020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Jeffrey W. Church</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173,968</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6/15/2020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bl>
    <w:p>
      <w:pPr>
        <w:spacing w:after="0" w:line="202" w:lineRule="exact"/>
        <w:rPr>
          <w:sz w:val="20"/>
          <w:szCs w:val="20"/>
          <w:color w:val="auto"/>
        </w:rPr>
      </w:pPr>
    </w:p>
    <w:p>
      <w:pPr>
        <w:ind w:left="980" w:hanging="324"/>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target bonus opportunity under the Company’s annual bonus program. See “Compensation Discussion and Analysis – Incentive Compensation” above for information on the terms of these bonuses.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in this column represented stock option awards granted under the 2018 Plan. Each option granted to each Named Executive Officer is scheduled to vest in three installments, with one-half vesting on the date of grant and the balance vesting in annual installments over each of the next two years, subject in each case to the executive’s continued employment through the applicable vesting date and has a maximum term of ten years.</w:t>
      </w:r>
    </w:p>
    <w:p>
      <w:pPr>
        <w:spacing w:after="0" w:line="186"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value reported for stock and option awards is the aggregate grant date fair value of stock options granted to the Named Executive Officers in 2020, determined in accordance with FASB ASC Topic 718, disregarding adjustments for forfeiture assumptions. The assumptions for making the valuation determinations are set forth in Note 11 to the financial statements in this 2020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Dr Anwer exercised 29,132 stock options with a weighted average strike price of $2.48 per share and Dr Borys exercised 74,643 stock options with a weighted average of $2.65 per share. No other Named Executive Officers exercised any of their stock options that vested during 2020. No officers were awarded shares of stock during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2020 Outstanding Equity Awards at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unexercised stock options held by each of the Named Executive Officers as of December 31, 2020. None of the Named Executive Officers held any other outstanding stock awards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2"/>
              </w:rPr>
              <w:t>Option Awards</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No. of Securities</w:t>
            </w:r>
          </w:p>
        </w:tc>
        <w:tc>
          <w:tcPr>
            <w:tcW w:w="12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No. of Securities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Options (#)</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40" w:type="dxa"/>
            <w:vAlign w:val="bottom"/>
          </w:tcPr>
          <w:p>
            <w:pPr>
              <w:ind w:left="240"/>
              <w:spacing w:after="0"/>
              <w:rPr>
                <w:sz w:val="20"/>
                <w:szCs w:val="20"/>
                <w:color w:val="auto"/>
              </w:rPr>
            </w:pPr>
            <w:r>
              <w:rPr>
                <w:rFonts w:ascii="Arial" w:cs="Arial" w:eastAsia="Arial" w:hAnsi="Arial"/>
                <w:sz w:val="18"/>
                <w:szCs w:val="18"/>
                <w:b w:val="1"/>
                <w:bCs w:val="1"/>
                <w:color w:val="auto"/>
              </w:rPr>
              <w:t>Grant Date</w:t>
            </w:r>
          </w:p>
        </w:tc>
        <w:tc>
          <w:tcPr>
            <w:tcW w:w="24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Price ($)</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H. Tardugno</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2/2/2016</w:t>
            </w: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9/6/2016</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5/30/2017</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176,429</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5/15/2018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16,667</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33,333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2.18</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16,667</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33,333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2.14</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21,667</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43,333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1.72</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135,000</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3.66</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6/15/2030</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Nicholas Borys</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2/2/2016</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9/6/2016</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5/15/2018</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223,948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6,667</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13,333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2.18</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5/14/2019</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8"/>
                <w:szCs w:val="18"/>
                <w:color w:val="auto"/>
              </w:rPr>
              <w:t>8,333</w:t>
            </w: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16,667</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2.14</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11,667</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23,333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1.72</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55,000</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3.66</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6/15/2030</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Khursheed Anwer</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2/2/2016</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5/30/2017</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18,154</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5/15/2018</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82,500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5/30/2028</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7,667</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23,333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2.18</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5/14/2019</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00"/>
              <w:spacing w:after="0" w:line="172" w:lineRule="exact"/>
              <w:rPr>
                <w:sz w:val="20"/>
                <w:szCs w:val="20"/>
                <w:color w:val="auto"/>
              </w:rPr>
            </w:pPr>
            <w:r>
              <w:rPr>
                <w:rFonts w:ascii="Arial" w:cs="Arial" w:eastAsia="Arial" w:hAnsi="Arial"/>
                <w:sz w:val="18"/>
                <w:szCs w:val="18"/>
                <w:color w:val="auto"/>
              </w:rPr>
              <w:t>7,667</w:t>
            </w: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23,333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2.14</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14,167</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28,333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1.72</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50,000</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3.66</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6/15/2030</w:t>
            </w:r>
          </w:p>
        </w:tc>
        <w:tc>
          <w:tcPr>
            <w:tcW w:w="0" w:type="dxa"/>
            <w:vAlign w:val="bottom"/>
          </w:tcPr>
          <w:p>
            <w:pPr>
              <w:spacing w:after="0"/>
              <w:rPr>
                <w:sz w:val="1"/>
                <w:szCs w:val="1"/>
                <w:color w:val="auto"/>
              </w:rPr>
            </w:pPr>
          </w:p>
        </w:tc>
      </w:tr>
      <w:tr>
        <w:trPr>
          <w:trHeight w:val="48"/>
        </w:trPr>
        <w:tc>
          <w:tcPr>
            <w:tcW w:w="31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Jeffrey W. Church</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2/2/2016</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9/6/2016</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9/6/2026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5/30/2017</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48,571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5/15/2018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5/30/2028</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2/19/2019</w:t>
            </w:r>
          </w:p>
        </w:tc>
        <w:tc>
          <w:tcPr>
            <w:tcW w:w="2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6,667</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13,333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2.18</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2/19/2029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8,333</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16,667</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2.14</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5/14/2029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10/3/2019</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11,667</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23,333</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1.72</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10/3/2029</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6/15/2020</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55,000</w:t>
            </w:r>
          </w:p>
        </w:tc>
        <w:tc>
          <w:tcPr>
            <w:tcW w:w="280" w:type="dxa"/>
            <w:vAlign w:val="bottom"/>
            <w:vMerge w:val="restart"/>
            <w:shd w:val="clear" w:color="auto" w:fill="CCEEFF"/>
          </w:tcPr>
          <w:p>
            <w:pPr>
              <w:jc w:val="center"/>
              <w:ind w:right="25"/>
              <w:spacing w:after="0"/>
              <w:rPr>
                <w:sz w:val="20"/>
                <w:szCs w:val="20"/>
                <w:color w:val="auto"/>
              </w:rPr>
            </w:pPr>
            <w:r>
              <w:rPr>
                <w:rFonts w:ascii="Arial" w:cs="Arial" w:eastAsia="Arial" w:hAnsi="Arial"/>
                <w:sz w:val="15"/>
                <w:szCs w:val="15"/>
                <w:color w:val="auto"/>
                <w:w w:val="97"/>
              </w:rPr>
              <w:t>(1)</w:t>
            </w:r>
          </w:p>
        </w:tc>
        <w:tc>
          <w:tcPr>
            <w:tcW w:w="240" w:type="dxa"/>
            <w:vAlign w:val="bottom"/>
            <w:shd w:val="clear" w:color="auto" w:fill="CCEEFF"/>
          </w:tcPr>
          <w:p>
            <w:pPr>
              <w:jc w:val="right"/>
              <w:ind w:right="51"/>
              <w:spacing w:after="0" w:line="17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8"/>
                <w:szCs w:val="18"/>
                <w:color w:val="auto"/>
              </w:rPr>
              <w:t>3.66</w:t>
            </w:r>
          </w:p>
        </w:tc>
        <w:tc>
          <w:tcPr>
            <w:tcW w:w="13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6/15/2030</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these stock option grants vest in three equal installments, with one-third of the grant vesting each on the first, second and third anniversary of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Executive officers are eligible to participate in our medical and other welfare benefit plans and for other benefits, in each case on generally the same basis as other employees. We maintain a 401(k) plan for our employees. Other than the 401(k) plan, we do not offer any of our employees a pension plan, retirement plan or other forms of compensation paid out upon retirement. The Company matches up to 50% of the first 6% of employee contributions. Mr. Tardugno and Dr Anwer receive $18,000 and $6,006, respectively, as a discretionary spending allowance.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has certain duties and powers as described in its charter. Our Compensation Committee is currently composed of the three non-employee directors named at the end of this report, each of whom our Board of Directors has determined is independent under the applicable Nasdaq rules.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has reviewed and discussed with management the disclosures contained in the Compensation Discussion and Analysis section of this Proxy Statement. Based upon this review and discussion, our Compensation Committee recommended to our Board of Directors that the Compensation Discussion and Analysis section be included in this Proxy Statement and the Company’s Annual Report on Form 10-K for the year ended December 31, 2020, as amended.</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Compensation Committee of the Board of Directors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Mr. Robert W. Hooper (Chairman)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Augustine Chow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POST-EMPLOYMENT OBLIGATIONS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severance protections, particularly in the context of a change in control transaction, can play a valuable role in attracting and retaining key executive officers. Under their employment agreements, each of the Named Executive Officers would be entitled to severance benefits in the event of a termination of employment by the Company without cause. We have determined that it is appropriate to provide the executives with severance benefits under these circumstances in light of their positions with us and as part of their overall compensation package.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the occurrence, or potential occurrence, of a change in control transaction will create uncertainty regarding the continued employment of our executive officers as many change in control transactions result in significant organizational changes, particularly at the senior executive level. In order to encourage the Company’s executive officers to remain employed with us during an important time when their prospects for continued employment following the transaction may be uncertain, we provide Mr. Tardugno, Mr. Church and Dr. Borys with enhanced severance benefits if his employment is actually or constructively terminated by the Company without cause in connection with a change in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Michael H. Tardugno</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2016, the Company and Mr. Tardugno entered into an employment agreement, effective March 30, 2016, which superseded the previous employment agreements with Mr. Tardugno. The amended and restated employment agreement generally maintained the same terms as set forth in his previous December 2014 agreement, but removed the modified single-trigger provision included in that agreement. Under that provision, Mr. Tardugno was eligible to receive severance following a change in control if Mr. Tardugno elected to terminate his employment for any reason or no reason commencing with the sixth and ending with the twelfth month following the change in control. In accordance with commonly viewed best practices, the parties agreed to remove this provision so that it is no longer operative, effective March 30, 2016. The following narrative describes the terms of Mr. Tardugno’s employment agreement, as in effect on December 31, 2019 (the “March 2016 Agreement”).</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Subject to earlier termination pursuant to the terms of the March 2016 Agreement, the initial term of the agreement ends on January 31, 2018, with automatic one-year renewals thereafter, unless either party provides a notice of non-renewal. Mr. Tardugno’s March 2016 Agreement provides for an annual base salary of $547,342 subject to annual adjustment by our Board of Directors of the Company or the Compensation Committee. Mr. Tardugno is also eligible for an annual performance bonus from the Company, pursuant to the Company’s management incentive bonus program in effect from time to time. The amount of such bonus will be determined by our Board of Directors or the Compensation Committee in its sole and absolute discretion and will not exceed 100% of the then-current base salary except pursuant to a specific finding by our Board of Directors or the Compensation Committee that a higher percentage is appropriate. Under the March 2016 Agreement, we agreed to grant to Mr. Tardugno, at the time of its usual annual grant to employees, annual stock options to purchase shares of our common stock as our Board of Directors or the Compensation Committee shall determine.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jc w:val="both"/>
        <w:spacing w:after="0" w:line="273" w:lineRule="auto"/>
        <w:rPr>
          <w:sz w:val="20"/>
          <w:szCs w:val="20"/>
          <w:color w:val="auto"/>
        </w:rPr>
      </w:pPr>
      <w:r>
        <w:rPr>
          <w:rFonts w:ascii="Arial" w:cs="Arial" w:eastAsia="Arial" w:hAnsi="Arial"/>
          <w:sz w:val="17"/>
          <w:szCs w:val="17"/>
          <w:color w:val="auto"/>
        </w:rPr>
        <w:t>In the event of Mr. Tardugno’s termination due to death or disability during the employment term, Mr. Tardugno’s legal representatives shall be entitled to receive his base salary through the date which is ninety (90) days after his death and a pro rata annual performance bonus based on actual performance and the time served during the performance year. Upon Mr. Tardugno’s death or termination due to disability, previously granted and vested stock options will remain fully exercisable through their respective original maximum terms (subject to earlier termination in connection with a change in control of the Company and similar events as provided in the applicable plan and/or award agreement) and all other stock options and stock awards (and similar equity rights) that have not vested prior to the date of termination will be forfeited.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(A) that we terminate the agreement other than for “cause” (as defined in the agreement) or (B) Mr. Tardugno terminates the agreement upon the occurrence of: (i) a material adverse change in his duties or authority; (ii) a situation in which he is no longer at least one of the President or the Chief Executive Officer of the Company; (iii) a bankruptcy filing or similar action by or against us; or (iv) another material breach of the agreement by us (each, a “Triggering Event”), or (C) the agreement terminates for nonrenewal, Mr. Tardugno will be entitled to receive a severance payment equal to his base annual salary at the time of termination (the “Severance Amount”), payable in accordance with our normal payroll practices, COBRA premiums for up to twelve months and may generally exercise any vested options through the remainder of their original terms.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termination of his employment upon a Triggering Event within two years following a “change in control” (as described below), or, if within such two-year period (i) there is a material adverse change in his compensation or benefits, or (ii) any successor to the Company does not assume our obligations under the agreement, and he terminates his employment, Mr. Tardugno is entitled to a lump sum severance payment equal to the Severance Amount and any previously unvested options granted to Mr. Tardugno and covered by the employment agreement shall immediately vest and remain fully exercisable through the remainder of their original maximum terms and otherwise in accordance with their respective original terms.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event of termination of his employment upon a Triggering Event during the period commencing six months prior to a change in control (“CIC”) (as described below) and ending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CIC (i) there is a material adverse change in his duties or responsibilities, (ii) there is a material adverse change in his compensation or benefits, or (iii) any successor to the Company does not assume our obligations under the agreement, and he terminates his employment, Mr. Tardugno is entitled to a lump sum severance payment equal to the Severance Amount and any previously unvested options granted to Mr. Tardugno and covered by the employment agreement shall immediately vest and remain fully exercisable through the remainder of their original maximum terms and otherwise in accordance with their respective original terms. A “change in control” is deemed to occur: (i) if any person becomes the direct or indirect beneficial owner of more than 50% of the combined voting power of our then-outstanding securities; (ii) there is a change in a majority of the directors in office during any twenty-four (24) month period; (iii) we engage in a recapitalization, reorganization, merger, consolidation or similar transaction after which the holders of our voting securities before the transaction do not continue to hold at least 50% of the voting securities of the Company or its successor after the transaction; or (iv) upon our complete liquidation or dissolution of the Company or the sale or other disposition of substantially all of our assets after which the holders of our voting securities before such sale or disposition do not continue to hold at least 50% of the voting securities of the Company or its successor after such sale or disposition.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Mr. Tardugno is terminated for cause or is receiving severance payments contemplated under the employment agreement, Mr. Tardugno shall, among other things, not provide any services, directly or indirectly, to any other business or commercial entity in the Company’s “Field of Interest” (as such term is defined in his employment agreement), solicit any customers or suppliers of the Company, directly or indirectly, or employ or seek to employ an employee of the Company for a period of two years following the date of termination. In addition, at no time during the term of the employment agreement or thereafter will Mr. Tardugno knowingly make any written or oral untrue statement that disparages the Company. Mr. Tardugno is also subject to confidentiality provisions in his employment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Employment Agreements with Other Named Executed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Nicholas Borys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Dr. Borys entered into an employment offer letter on August 23, 2007, pursuant to which Dr. Borys agreed to serve as our Vice President and Chief Medical Officer. Dr. Borys’ employment with us is “at-will”; however, subject to a retention agreement the Company provided to Dr. Borys on February 19, 2013, if we terminate Dr. Borys’ employment for any reason other than just cause, we will pay Dr. Borys a salary continuation and COBRA premiums for up to twelve months. The salary and COBRA premiums will cease at the end of the twelve-month period or, if he finds new employment prior to the end of the twelve-month period, the benefit will be reduced by the amount of compensation which he will receive from any new employer.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Jeffrey Church</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Mr. Church entered into an employment offer letter on June 15, 2010. Mr. Church’s employment is “at-will”; however, if we terminate Mr. Church’s employment for any reason other than just cause, we will pay Mr. Church a salary continuation and COBRA premiums for up to twelve months. The salary and COBRA premiums will cease at the end of the twelve-month period or if he finds new employment prior to the twelve-month period, the benefit will be reduced by the amount of compensation which he will receive from any new employer.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Khursheed Anwer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Dr. Anwer entered into an employment offer letter effective as of June 20, 2014. Dr. Anwer’s employment with us is “at-will”; however, subject to the retention and severance agreement between the Company and Dr. Anwer dated as of May 28, 2014, if we terminate Dr. Anwer’s employment without cause (as such term is defined in the retention and severance agreement), he will be entitled to receive cash severance equal to 12 months of his base salary and reimbursement of his COBRA premiums for up to 12 months. Dr. Anwer’s right to receive these severance benefits is subject to his providing a release of claims in favor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2016, we entered into amended and restated change in control severance agreements (CIC Agreements) with each of the Named Executive Officers (other than Dr. Anwer who is not subject to such an agreement) to provide severance benefits to these executives should their employment terminate in certain circumstances in connection with a change in control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amended and restated CIC Agreements, in the event that we terminate the executive’s employment without cause or in the event that the executive terminates his employment for good reason, in either case on or within two years after a change in control of the Company,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award will continue to be governed by its terms. In the case of options or similar awards, the award would generally remain exercisable for the remainder of the original term of the award (or, in the case of awards that vested after the date of the change in control,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executing a release of claims in favor of the Company upon the termination of his employment.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under “Narrative Disclosure to Executive Compensation Tables,” the Company has entered into agreements with each of the Named Executive Officers currently employed by the Company that provide benefits that may become payable to the executives in connection with a termination of their employment. The Company has also entered into agreements with Mr. Tardugno, Mr. Church and Dr. Borys that provides benefits that may become payable to the executives in connection with a termination of employment following a change in control of the Company. If in the event the Named Executive Officer is entitled to receive severance benefits in connection with a termination of employment under both their severance agreement and their change in control agreement, the executive shall be entitled to receive the benefits from both agreements. The first table below indicates the benefits that would be payable to each executive if a termination of employment in the circumstances described above had occurred on December 31, 2020 outside of a change in control. The second table below indicates the benefits that would be payable to each executive if a change in control of the Company and such a termination of employment had occurred on that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Severance Benefits (Outside of a Change in Control)</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1"/>
              </w:rPr>
              <w:t>Continuation</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Cash</w:t>
            </w:r>
          </w:p>
        </w:tc>
        <w:tc>
          <w:tcPr>
            <w:tcW w:w="1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of Health/Life</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Severance</w:t>
            </w:r>
          </w:p>
        </w:tc>
        <w:tc>
          <w:tcPr>
            <w:tcW w:w="1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Benefit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Acceleration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Michael H. Tardugno</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17,940</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584,650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Nicholas Borys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212,100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12,924</w:t>
            </w: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225,024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Khursheed Anwer</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336,958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17,940</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354,898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Jeffrey W. Church</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193,298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8,970</w:t>
            </w: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202,268</w:t>
            </w:r>
          </w:p>
        </w:tc>
        <w:tc>
          <w:tcPr>
            <w:tcW w:w="0" w:type="dxa"/>
            <w:vAlign w:val="bottom"/>
          </w:tcPr>
          <w:p>
            <w:pPr>
              <w:spacing w:after="0"/>
              <w:rPr>
                <w:sz w:val="1"/>
                <w:szCs w:val="1"/>
                <w:color w:val="auto"/>
              </w:rPr>
            </w:pPr>
          </w:p>
        </w:tc>
      </w:tr>
      <w:tr>
        <w:trPr>
          <w:trHeight w:val="438"/>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Change of Control Severance Benefits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1"/>
              </w:rPr>
              <w:t>Continuation</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Cash</w:t>
            </w:r>
          </w:p>
        </w:tc>
        <w:tc>
          <w:tcPr>
            <w:tcW w:w="1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of Health/Life</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Severance</w:t>
            </w:r>
          </w:p>
        </w:tc>
        <w:tc>
          <w:tcPr>
            <w:tcW w:w="1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Benefit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Acceleration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Michael H. Tardugno</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2,266,840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35,880</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2,302,720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Nicholas Borys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1,230,177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51,696</w:t>
            </w: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1,281,873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Jeffrey W. Church</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1,121,126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35,880</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1,157,006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the cash and noncash compensation paid to the Company’s directors who are not employed by the Company or any of its subsidiaries (“Non-Employee Directors”) for the year ended December 31, 2020. Other than as set forth in the table, we did not pay any compensation, make any equity awards or non-equity awards to, or pay any other compensation to any of the non-employee members of our Board in 2020. The compensation paid to any director who was also one of our employees during fiscal year 2020 is presented in the “2020 Summary Compensation Table” and the information that follows that table. Such employee directors do not receive separate compensation for service on the Board of Directors or any of its committees.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Fees Earned</w:t>
            </w:r>
          </w:p>
        </w:tc>
        <w:tc>
          <w:tcPr>
            <w:tcW w:w="16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 Awards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 (1)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Augustine Chow</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Robert W. Hooper</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46,000</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23,010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69,010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Alberto R. Martinez (2)</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41,000</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64,010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Frederick J. Fritz</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99,900</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23,010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122,910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Braun</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35,900</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Andreas Voss</w:t>
            </w:r>
          </w:p>
        </w:tc>
        <w:tc>
          <w:tcPr>
            <w:tcW w:w="18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90,900</w:t>
            </w: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23,010</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133,910</w:t>
            </w:r>
          </w:p>
        </w:tc>
      </w:tr>
    </w:tbl>
    <w:p>
      <w:pPr>
        <w:spacing w:after="0" w:line="187" w:lineRule="exact"/>
        <w:rPr>
          <w:sz w:val="20"/>
          <w:szCs w:val="20"/>
          <w:color w:val="auto"/>
        </w:rPr>
      </w:pPr>
    </w:p>
    <w:p>
      <w:pPr>
        <w:jc w:val="both"/>
        <w:ind w:left="660" w:hanging="328"/>
        <w:spacing w:after="0" w:line="25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value reported for Option Awards is the aggregate grant date fair value of stock options granted to each Director in 2020, determined in accordance with FASB ASC Topic 718. The assumptions for making the valuation determinations are set forth in Note 11 in the financial statements in this Annual Report on Form 10-K filed. As of December 31, 2020, Dr. Chow had 143,689 option awards outstanding; Mr. Hooper had 139,737 option awards outstanding; Dr. Martinez had 105,880 option awards outstanding; Mr. Fritz had 140,118 option awards outstanding; and Dr. Braun and Dr. Voss each had 111,357 option awards outstanding.</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Dr. Martinez retired from the Board of Directors effective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3" w:name="page104"/>
    <w:bookmarkEnd w:id="103"/>
    <w:p>
      <w:pPr>
        <w:jc w:val="both"/>
        <w:spacing w:after="0" w:line="259" w:lineRule="auto"/>
        <w:rPr>
          <w:sz w:val="20"/>
          <w:szCs w:val="20"/>
          <w:color w:val="auto"/>
        </w:rPr>
      </w:pPr>
      <w:r>
        <w:rPr>
          <w:rFonts w:ascii="Arial" w:cs="Arial" w:eastAsia="Arial" w:hAnsi="Arial"/>
          <w:sz w:val="18"/>
          <w:szCs w:val="18"/>
          <w:color w:val="auto"/>
        </w:rPr>
        <w:t>The following table sets forth stock option grants awarded to the Company’s Non-Employee Directors for the year ended December 31, 2020. The stock option grants to any director who was also one of our employees during fiscal year 2020 is presented in the “2020 Grants of Plan-Based Awards Table” and the information that follows that table. Employee directors do not receive separate equity awards for service on the Board of Directors or any of the Board committees.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60" w:type="dxa"/>
            <w:vAlign w:val="bottom"/>
            <w:tcBorders>
              <w:bottom w:val="single" w:sz="8" w:color="auto"/>
            </w:tcBorders>
            <w:gridSpan w:val="10"/>
          </w:tcPr>
          <w:p>
            <w:pPr>
              <w:ind w:left="1120"/>
              <w:spacing w:after="0"/>
              <w:rPr>
                <w:sz w:val="20"/>
                <w:szCs w:val="20"/>
                <w:color w:val="auto"/>
              </w:rPr>
            </w:pPr>
            <w:r>
              <w:rPr>
                <w:rFonts w:ascii="Arial" w:cs="Arial" w:eastAsia="Arial" w:hAnsi="Arial"/>
                <w:sz w:val="18"/>
                <w:szCs w:val="18"/>
                <w:b w:val="1"/>
                <w:bCs w:val="1"/>
                <w:color w:val="auto"/>
                <w:w w:val="91"/>
              </w:rPr>
              <w:t>Non-Employee Director Stock Option and Grant Awards Table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9"/>
              </w:rPr>
              <w:t>Grant</w:t>
            </w:r>
          </w:p>
        </w:tc>
        <w:tc>
          <w:tcPr>
            <w:tcW w:w="100" w:type="dxa"/>
            <w:vAlign w:val="bottom"/>
          </w:tcPr>
          <w:p>
            <w:pPr>
              <w:spacing w:after="0"/>
              <w:rPr>
                <w:sz w:val="17"/>
                <w:szCs w:val="17"/>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Grant</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Expiration</w:t>
            </w: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8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Granted (#) (1)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Price ($)</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Date</w:t>
            </w:r>
          </w:p>
        </w:tc>
        <w:tc>
          <w:tcPr>
            <w:tcW w:w="144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Value ($)</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Augustine Chow</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2/25/2020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2/25/2020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6/15/2020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Robert W. Hooper</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3.1600</w:t>
            </w:r>
          </w:p>
        </w:tc>
      </w:tr>
      <w:tr>
        <w:trPr>
          <w:trHeight w:val="216"/>
        </w:trPr>
        <w:tc>
          <w:tcPr>
            <w:tcW w:w="3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6/15/2020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Alberto R. Martinez</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3.1600</w:t>
            </w:r>
          </w:p>
        </w:tc>
      </w:tr>
      <w:tr>
        <w:trPr>
          <w:trHeight w:val="216"/>
        </w:trPr>
        <w:tc>
          <w:tcPr>
            <w:tcW w:w="3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6/15/2020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Frederick J. Fritz</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3.1600</w:t>
            </w:r>
          </w:p>
        </w:tc>
      </w:tr>
      <w:tr>
        <w:trPr>
          <w:trHeight w:val="216"/>
        </w:trPr>
        <w:tc>
          <w:tcPr>
            <w:tcW w:w="3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6/15/2020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Donald P. Braun</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3.1600</w:t>
            </w:r>
          </w:p>
        </w:tc>
      </w:tr>
      <w:tr>
        <w:trPr>
          <w:trHeight w:val="216"/>
        </w:trPr>
        <w:tc>
          <w:tcPr>
            <w:tcW w:w="3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6/15/2020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Andreas Voss</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3.1600</w:t>
            </w:r>
          </w:p>
        </w:tc>
      </w:tr>
      <w:tr>
        <w:trPr>
          <w:trHeight w:val="216"/>
        </w:trPr>
        <w:tc>
          <w:tcPr>
            <w:tcW w:w="3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6/15/2020</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6/15/2020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w:t>
            </w: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these stock option grants vest in three equal installments, with one-third of the grant vesting on the date of grant and one third of the grant vesting on each of the first and second anniversary of the date of grant, subject to the applicable director’s continued service as a member of our Board through each applicable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2020, each Non-Employee Director of the Company received annual cash compensation in the amount of $28,500 payable in quarterly installments, and an additional $1,850 for attendance, in person or telephonically, at regular meetings of the Board of Directors and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2020, the Chairman of the Audit Committee received an additional annual cash fee of $12,000, the Chairman of the Compensation Committee received an additional annual cash fee of $9,000.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7"/>
          <w:szCs w:val="17"/>
          <w:color w:val="auto"/>
        </w:rPr>
        <w:t>Acting on behalf of the Board of Directors, Mr. Fritz also received fees totaling $48,000 in 2020 for his role as a Board Liaison to our Board of Directors. Mr. Fritz’s responsibilities as Board Liaison include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Acting on behalf of our Board of Directors, Dr. Voss also received fees totaling $48,000 in 2020 for his role as a strategic advisor to our Chief Executive Officer. Dr. Voss’ responsibilities as a strategic advisor include the following: (i) provide strategic and tactical advice to our Chief Executive Officer; (ii) evaluate international subsidiary options; (iii) develop strategies to secure business relationships other than in the U.S.; and (iv) having done both (ii) and (iii), develop high potential ex-US market strategies that address the objectives for broad and profitable sales of its commercial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Hooper and Drs. Chow and Martinez (until his retirement from the Board of Directors on December 31, 2020) each served on the Compensation Committee of our Board of Directors for 2020. No director who served on our Compensation Committee at any time during 2020 is or was a current or former executive officer or employee of the Company, or had any relationships requiring disclosure by the Company under the SEC’s rules requiring disclosure of certain relationships and related party transactions. None of the members of the Compensation Committee during fiscal year 2020 was, or has ever been, an officer or employee of the Company, and, during fiscal year 2020, no executive officer of the Company served on the board and/or compensation committee of any company that employed as an executive officer any member of the Company’s Board and/or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FOR NON-EMPLOYEE AND EXECUTIVE DIRECTORS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5" w:name="page106"/>
    <w:bookmarkEnd w:id="105"/>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known to the Company regarding the beneficial ownership of the Company’s common stock as of March 18, 2021 by:</w:t>
      </w:r>
    </w:p>
    <w:p>
      <w:pPr>
        <w:spacing w:after="0" w:line="170"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known by us to own beneficially more than five percent of the outstanding common stock;</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 and the director nominees, as well as each executive officer named in the Summary Compensation Table appearing under the heading “Executive Compensation”;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directors and executive officers as a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beneficial ownership in accordance with the rules of the SEC. Under SEC rules, beneficial ownership for purposes of this table takes into account shares as to which the individual has voting or investment power as well as shares that may be acquired within 60 days. Shares of common stock subject to options that are currently exercisable or that become exercisable within 60 days of March 18, 2021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SHARES OF COMMON STOCK BENEFICIALLY OWNED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NUMBER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SHARES OF</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PERCENT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COMMON</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SHARES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STOCK</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COMMON</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BENEFICIALLY</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STOCK</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OWNED</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OUTSTANDING</w:t>
            </w:r>
          </w:p>
        </w:tc>
      </w:tr>
      <w:tr>
        <w:trPr>
          <w:trHeight w:val="24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3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60" w:type="dxa"/>
            <w:vAlign w:val="bottom"/>
          </w:tcPr>
          <w:p>
            <w:pPr>
              <w:spacing w:after="0"/>
              <w:rPr>
                <w:sz w:val="20"/>
                <w:szCs w:val="20"/>
                <w:color w:val="auto"/>
              </w:rPr>
            </w:pPr>
          </w:p>
        </w:tc>
      </w:tr>
      <w:tr>
        <w:trPr>
          <w:trHeight w:val="216"/>
        </w:trPr>
        <w:tc>
          <w:tcPr>
            <w:tcW w:w="7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Ayrton Capital, LLC (3)</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5,555,555</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Altium Capital Management, LP (4)</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5,555,555</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CVI Investments, Inc. (5)</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5,555,555</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Augustine Chow</w:t>
            </w:r>
            <w:r>
              <w:rPr>
                <w:rFonts w:ascii="Arial" w:cs="Arial" w:eastAsia="Arial" w:hAnsi="Arial"/>
                <w:sz w:val="18"/>
                <w:szCs w:val="18"/>
                <w:b w:val="1"/>
                <w:bCs w:val="1"/>
                <w:color w:val="auto"/>
              </w:rPr>
              <w:t>*</w:t>
            </w:r>
            <w:r>
              <w:rPr>
                <w:rFonts w:ascii="Arial" w:cs="Arial" w:eastAsia="Arial" w:hAnsi="Arial"/>
                <w:sz w:val="18"/>
                <w:szCs w:val="18"/>
                <w:color w:val="auto"/>
              </w:rPr>
              <w:t xml:space="preserve"> (6)</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120,466</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Robert W. Hooper</w:t>
            </w:r>
            <w:r>
              <w:rPr>
                <w:rFonts w:ascii="Arial" w:cs="Arial" w:eastAsia="Arial" w:hAnsi="Arial"/>
                <w:sz w:val="18"/>
                <w:szCs w:val="18"/>
                <w:b w:val="1"/>
                <w:bCs w:val="1"/>
                <w:color w:val="auto"/>
              </w:rPr>
              <w:t>*</w:t>
            </w:r>
            <w:r>
              <w:rPr>
                <w:rFonts w:ascii="Arial" w:cs="Arial" w:eastAsia="Arial" w:hAnsi="Arial"/>
                <w:sz w:val="18"/>
                <w:szCs w:val="18"/>
                <w:color w:val="auto"/>
              </w:rPr>
              <w:t xml:space="preserve"> (7)</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140,758</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Alberto Martinez</w:t>
            </w:r>
            <w:r>
              <w:rPr>
                <w:rFonts w:ascii="Arial" w:cs="Arial" w:eastAsia="Arial" w:hAnsi="Arial"/>
                <w:sz w:val="18"/>
                <w:szCs w:val="18"/>
                <w:b w:val="1"/>
                <w:bCs w:val="1"/>
                <w:color w:val="auto"/>
              </w:rPr>
              <w:t>*</w:t>
            </w:r>
            <w:r>
              <w:rPr>
                <w:rFonts w:ascii="Arial" w:cs="Arial" w:eastAsia="Arial" w:hAnsi="Arial"/>
                <w:sz w:val="18"/>
                <w:szCs w:val="18"/>
                <w:color w:val="auto"/>
              </w:rPr>
              <w:t xml:space="preserve"> (8)</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150,880</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Frederick J. Fritz</w:t>
            </w:r>
            <w:r>
              <w:rPr>
                <w:rFonts w:ascii="Arial" w:cs="Arial" w:eastAsia="Arial" w:hAnsi="Arial"/>
                <w:sz w:val="18"/>
                <w:szCs w:val="18"/>
                <w:b w:val="1"/>
                <w:bCs w:val="1"/>
                <w:color w:val="auto"/>
              </w:rPr>
              <w:t>*</w:t>
            </w:r>
            <w:r>
              <w:rPr>
                <w:rFonts w:ascii="Arial" w:cs="Arial" w:eastAsia="Arial" w:hAnsi="Arial"/>
                <w:sz w:val="18"/>
                <w:szCs w:val="18"/>
                <w:color w:val="auto"/>
              </w:rPr>
              <w:t xml:space="preserve"> (9)</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166,943</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Braun</w:t>
            </w:r>
            <w:r>
              <w:rPr>
                <w:rFonts w:ascii="Arial" w:cs="Arial" w:eastAsia="Arial" w:hAnsi="Arial"/>
                <w:sz w:val="18"/>
                <w:szCs w:val="18"/>
                <w:b w:val="1"/>
                <w:bCs w:val="1"/>
                <w:color w:val="auto"/>
              </w:rPr>
              <w:t>*</w:t>
            </w:r>
            <w:r>
              <w:rPr>
                <w:rFonts w:ascii="Arial" w:cs="Arial" w:eastAsia="Arial" w:hAnsi="Arial"/>
                <w:sz w:val="18"/>
                <w:szCs w:val="18"/>
                <w:color w:val="auto"/>
              </w:rPr>
              <w:t xml:space="preserve"> (10)</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85,976</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Andreas Voss</w:t>
            </w:r>
            <w:r>
              <w:rPr>
                <w:rFonts w:ascii="Arial" w:cs="Arial" w:eastAsia="Arial" w:hAnsi="Arial"/>
                <w:sz w:val="18"/>
                <w:szCs w:val="18"/>
                <w:b w:val="1"/>
                <w:bCs w:val="1"/>
                <w:color w:val="auto"/>
              </w:rPr>
              <w:t>*</w:t>
            </w:r>
            <w:r>
              <w:rPr>
                <w:rFonts w:ascii="Arial" w:cs="Arial" w:eastAsia="Arial" w:hAnsi="Arial"/>
                <w:sz w:val="18"/>
                <w:szCs w:val="18"/>
                <w:color w:val="auto"/>
              </w:rPr>
              <w:t xml:space="preserve"> (11)</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92,226</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 Tardugno</w:t>
            </w:r>
            <w:r>
              <w:rPr>
                <w:rFonts w:ascii="Arial" w:cs="Arial" w:eastAsia="Arial" w:hAnsi="Arial"/>
                <w:sz w:val="18"/>
                <w:szCs w:val="18"/>
                <w:b w:val="1"/>
                <w:bCs w:val="1"/>
                <w:color w:val="auto"/>
              </w:rPr>
              <w:t>*</w:t>
            </w:r>
            <w:r>
              <w:rPr>
                <w:rFonts w:ascii="Arial" w:cs="Arial" w:eastAsia="Arial" w:hAnsi="Arial"/>
                <w:sz w:val="18"/>
                <w:szCs w:val="18"/>
                <w:color w:val="auto"/>
              </w:rPr>
              <w:t xml:space="preserve"> (12)</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1,538,771</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Nicholas Borys</w:t>
            </w:r>
            <w:r>
              <w:rPr>
                <w:rFonts w:ascii="Arial" w:cs="Arial" w:eastAsia="Arial" w:hAnsi="Arial"/>
                <w:sz w:val="18"/>
                <w:szCs w:val="18"/>
                <w:b w:val="1"/>
                <w:bCs w:val="1"/>
                <w:color w:val="auto"/>
              </w:rPr>
              <w:t>*</w:t>
            </w:r>
            <w:r>
              <w:rPr>
                <w:rFonts w:ascii="Arial" w:cs="Arial" w:eastAsia="Arial" w:hAnsi="Arial"/>
                <w:sz w:val="18"/>
                <w:szCs w:val="18"/>
                <w:color w:val="auto"/>
              </w:rPr>
              <w:t xml:space="preserve"> (13)</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356,848</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Khursheed Anwer</w:t>
            </w:r>
            <w:r>
              <w:rPr>
                <w:rFonts w:ascii="Arial" w:cs="Arial" w:eastAsia="Arial" w:hAnsi="Arial"/>
                <w:sz w:val="18"/>
                <w:szCs w:val="18"/>
                <w:b w:val="1"/>
                <w:bCs w:val="1"/>
                <w:color w:val="auto"/>
              </w:rPr>
              <w:t>*</w:t>
            </w:r>
            <w:r>
              <w:rPr>
                <w:rFonts w:ascii="Arial" w:cs="Arial" w:eastAsia="Arial" w:hAnsi="Arial"/>
                <w:sz w:val="18"/>
                <w:szCs w:val="18"/>
                <w:color w:val="auto"/>
              </w:rPr>
              <w:t xml:space="preserve"> (14)</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282,534</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Jeffrey W. Church</w:t>
            </w:r>
            <w:r>
              <w:rPr>
                <w:rFonts w:ascii="Arial" w:cs="Arial" w:eastAsia="Arial" w:hAnsi="Arial"/>
                <w:sz w:val="18"/>
                <w:szCs w:val="18"/>
                <w:b w:val="1"/>
                <w:bCs w:val="1"/>
                <w:color w:val="auto"/>
              </w:rPr>
              <w:t>*</w:t>
            </w:r>
            <w:r>
              <w:rPr>
                <w:rFonts w:ascii="Arial" w:cs="Arial" w:eastAsia="Arial" w:hAnsi="Arial"/>
                <w:sz w:val="18"/>
                <w:szCs w:val="18"/>
                <w:color w:val="auto"/>
              </w:rPr>
              <w:t xml:space="preserve"> (15)</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492,583</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(10 persons)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3,427,985</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r>
    </w:tbl>
    <w:p>
      <w:pPr>
        <w:spacing w:after="0" w:line="229" w:lineRule="exact"/>
        <w:rPr>
          <w:sz w:val="20"/>
          <w:szCs w:val="20"/>
          <w:color w:val="auto"/>
        </w:rPr>
      </w:pPr>
    </w:p>
    <w:p>
      <w:pPr>
        <w:ind w:left="460" w:right="1100" w:hanging="7"/>
        <w:spacing w:after="0" w:line="500" w:lineRule="auto"/>
        <w:tabs>
          <w:tab w:leader="none" w:pos="9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address of each of the individuals named is c/o Celsion Corporation, 997 Lenox Drive, Suite 100, Lawrenceville, NJ 08648. ** Less than one percent.</w:t>
      </w:r>
    </w:p>
    <w:p>
      <w:pPr>
        <w:spacing w:after="0" w:line="2" w:lineRule="exact"/>
        <w:rPr>
          <w:sz w:val="20"/>
          <w:szCs w:val="20"/>
          <w:color w:val="auto"/>
        </w:rPr>
      </w:pPr>
    </w:p>
    <w:p>
      <w:pPr>
        <w:jc w:val="both"/>
        <w:ind w:left="900" w:hanging="447"/>
        <w:spacing w:after="0" w:line="286"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Except as indicated by footnote, and subject to community property laws where applicable, the persons named in the table above have sole voting and investment power with respect to all shares of common stock shown as beneficially owned by them.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6" w:name="page107"/>
    <w:bookmarkEnd w:id="106"/>
    <w:p>
      <w:pPr>
        <w:ind w:left="447" w:hanging="447"/>
        <w:spacing w:after="0"/>
        <w:tabs>
          <w:tab w:leader="none" w:pos="4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75,011,774 shares of common stock outstanding as of March 18, 2021.</w:t>
      </w:r>
    </w:p>
    <w:p>
      <w:pPr>
        <w:spacing w:after="0" w:line="225" w:lineRule="exact"/>
        <w:rPr>
          <w:rFonts w:ascii="Arial" w:cs="Arial" w:eastAsia="Arial" w:hAnsi="Arial"/>
          <w:sz w:val="18"/>
          <w:szCs w:val="18"/>
          <w:color w:val="auto"/>
        </w:rPr>
      </w:pPr>
    </w:p>
    <w:p>
      <w:pPr>
        <w:jc w:val="both"/>
        <w:ind w:left="447" w:hanging="447"/>
        <w:spacing w:after="0" w:line="254" w:lineRule="auto"/>
        <w:tabs>
          <w:tab w:leader="none" w:pos="4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the Schedule 13G filed by Ayrton Capital, LLC (“Ayrton Capital”) on January 29, 2021, reporting beneficial ownership as of January 22, 2021. The Schedule 13G provides information only as of January 22, 2021, and, consequently, the beneficial ownership of the above-mentioned reporting person may have changed between January 22, 2021 and March 18, 2021. Shares reported herein were held by Alto Opportunity Master Fund, SPC— Segregated Master Portfolio B (the “Fund”), a Cayman Islands exempted company. The Fund is a private investment vehicle for which Ayrton Capital LLC serves as the investment manager and Waqas Khatri serves as the managing member of the Ayrton Capital LLC. The address of the principal business and office of Ayrton Capital LLC and its affiliates is 222 Broadway 19th Floor, New York, New York, 10038.</w:t>
      </w:r>
    </w:p>
    <w:p>
      <w:pPr>
        <w:spacing w:after="0" w:line="194" w:lineRule="exact"/>
        <w:rPr>
          <w:rFonts w:ascii="Arial" w:cs="Arial" w:eastAsia="Arial" w:hAnsi="Arial"/>
          <w:sz w:val="18"/>
          <w:szCs w:val="18"/>
          <w:color w:val="auto"/>
        </w:rPr>
      </w:pPr>
    </w:p>
    <w:p>
      <w:pPr>
        <w:jc w:val="both"/>
        <w:ind w:left="447" w:hanging="447"/>
        <w:spacing w:after="0" w:line="254" w:lineRule="auto"/>
        <w:tabs>
          <w:tab w:leader="none" w:pos="4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the Schedule 13G filed by Altium Capital Management, LLC (“Altium Capital”) on January 29, 2021, reporting beneficial ownership as of January 22, 2021. The Schedule 13G provides information only as of January 22, 2021, and, consequently, the beneficial ownership of the above-mentioned reporting person may have changed between January 22, 2021 and March 18, 2021. This statement is jointly filed by and on behalf of each of Altium Growth Fund, LP (the “Fund”), Altium Capital Management, LLC, and Altium Growth GP, LLC. The Fund is the record and direct beneficial owner of the securities covered by this statement. Altium Capital Management, LP is the investment adviser of, and may be deemed to beneficially own securities, owned by, the Fund. Altium Growth GP, LLC is the general partner of, and may be deemed to beneficially own securities owned by the Fund. The address of the principal business office of each of the reporting persons is 152 West 57 Street, FL 20, New York, NY 10019.</w:t>
      </w:r>
    </w:p>
    <w:p>
      <w:pPr>
        <w:spacing w:after="0" w:line="191" w:lineRule="exact"/>
        <w:rPr>
          <w:rFonts w:ascii="Arial" w:cs="Arial" w:eastAsia="Arial" w:hAnsi="Arial"/>
          <w:sz w:val="18"/>
          <w:szCs w:val="18"/>
          <w:color w:val="auto"/>
        </w:rPr>
      </w:pPr>
    </w:p>
    <w:p>
      <w:pPr>
        <w:jc w:val="both"/>
        <w:ind w:left="447" w:hanging="447"/>
        <w:spacing w:after="0" w:line="270" w:lineRule="auto"/>
        <w:tabs>
          <w:tab w:leader="none" w:pos="4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the Schedule 13G filed by CVI Investments Inc. (“CVI”) and Heights Capital Management (“Heights”) on January 29, 2021, reporting beneficial ownership as of January 22, 2021. The Schedule 13G provides information only as of January 22, 2021, and, consequently, the beneficial ownership of the above-mentioned reporting person may have changed between January 22, 2021 and March 18, 2021. Heights which serves as the investment manager to CVI may be deemed to be the beneficial owner of all shares owned by Martin Kobinger, in his capacity as Investment Manager of Heights Capital Management, Inc., may also be deemed to have investment discretion and voting power over the shares held by CVI. Each of Heights, CVI and Mr. Kobinger hereby disclaims any beneficial ownership of any such shares, except for their pecuniary interest therein. CVI Investments Inc.’s address is P.O. Box 309GT, Ugland House, South Church Street, George Town, Grand Cayman KY1-1104 Cayman Islands and Heights Capital Management’s address is 101 California Street, Suite 3250, San Francisco, California 94111.</w:t>
      </w:r>
    </w:p>
    <w:p>
      <w:pPr>
        <w:spacing w:after="0" w:line="180" w:lineRule="exact"/>
        <w:rPr>
          <w:rFonts w:ascii="Arial" w:cs="Arial" w:eastAsia="Arial" w:hAnsi="Arial"/>
          <w:sz w:val="17"/>
          <w:szCs w:val="17"/>
          <w:color w:val="auto"/>
        </w:rPr>
      </w:pPr>
    </w:p>
    <w:p>
      <w:pPr>
        <w:ind w:left="447" w:hanging="447"/>
        <w:spacing w:after="0"/>
        <w:tabs>
          <w:tab w:leader="none" w:pos="4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119,023 shares of common stock underlying options currently exercisable or exercisable within 60 days of March 18, 2021.</w:t>
      </w:r>
    </w:p>
    <w:p>
      <w:pPr>
        <w:spacing w:after="0" w:line="236" w:lineRule="exact"/>
        <w:rPr>
          <w:rFonts w:ascii="Arial" w:cs="Arial" w:eastAsia="Arial" w:hAnsi="Arial"/>
          <w:sz w:val="17"/>
          <w:szCs w:val="17"/>
          <w:color w:val="auto"/>
        </w:rPr>
      </w:pPr>
    </w:p>
    <w:p>
      <w:pPr>
        <w:ind w:left="447" w:hanging="447"/>
        <w:spacing w:after="0"/>
        <w:tabs>
          <w:tab w:leader="none" w:pos="4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115,071 shares of common stock underlying options currently exercisable or exercisable within 60 days of March 18, 2021.</w:t>
      </w:r>
    </w:p>
    <w:p>
      <w:pPr>
        <w:spacing w:after="0" w:line="236" w:lineRule="exact"/>
        <w:rPr>
          <w:rFonts w:ascii="Arial" w:cs="Arial" w:eastAsia="Arial" w:hAnsi="Arial"/>
          <w:sz w:val="17"/>
          <w:szCs w:val="17"/>
          <w:color w:val="auto"/>
        </w:rPr>
      </w:pPr>
    </w:p>
    <w:p>
      <w:pPr>
        <w:ind w:left="447" w:hanging="447"/>
        <w:spacing w:after="0"/>
        <w:tabs>
          <w:tab w:leader="none" w:pos="4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105,880 shares of common stock underlying options currently exercisable or exercisable within 60 days of March 18, 2021.</w:t>
      </w:r>
    </w:p>
    <w:p>
      <w:pPr>
        <w:spacing w:after="0" w:line="237"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7"/>
          </w:cols>
          <w:pgMar w:left="773" w:top="665" w:right="339" w:bottom="1440" w:gutter="0" w:footer="0" w:header="0"/>
        </w:sectPr>
      </w:pPr>
    </w:p>
    <w:bookmarkStart w:id="107" w:name="page108"/>
    <w:bookmarkEnd w:id="107"/>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115,452 shares of common stock underlying options currently exercisable or exercisable within 60 days of March 18, 2021.</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85,619 shares of common stock underlying options currently exercisable or exercisable within 60 days of March 18, 2021.</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85,619 shares of common stock underlying options currently exercisable or exercisable within 60 days of March 18, 2021.</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1,351,071 shares of common stock underlying options currently exercisable or exercisable within 60 days of March 18, 2021.</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305,424 shares of common stock underlying options currently exercisable or exercisable within 60 days of March 18, 2021.</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239,677 shares of common stock underlying options currently exercisable or exercisable within 60 days of March 18, 2021.</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438,285 shares of common stock underlying options currently exercisable or exercisable within 60 days of March 18,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as of December 31, 2020</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3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Equity compensation plans not approved by security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Securities remaining</w:t>
            </w: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Weighted-</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average exercise price</w:t>
            </w: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of outstanding</w:t>
            </w: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under equity compensation</w:t>
            </w: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5"/>
              </w:rPr>
              <w:t>options,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plans (excluding securities</w:t>
            </w:r>
          </w:p>
        </w:tc>
        <w:tc>
          <w:tcPr>
            <w:tcW w:w="0" w:type="dxa"/>
            <w:vAlign w:val="bottom"/>
          </w:tcPr>
          <w:p>
            <w:pPr>
              <w:spacing w:after="0"/>
              <w:rPr>
                <w:sz w:val="1"/>
                <w:szCs w:val="1"/>
                <w:color w:val="auto"/>
              </w:rPr>
            </w:pP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2"/>
              </w:rPr>
              <w:t>warrants and</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41"/>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rights (a)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rights (b)</w:t>
            </w:r>
          </w:p>
        </w:tc>
        <w:tc>
          <w:tcPr>
            <w:tcW w:w="3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 (c)</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2100" w:type="dxa"/>
            <w:vAlign w:val="bottom"/>
          </w:tcPr>
          <w:p>
            <w:pPr>
              <w:jc w:val="right"/>
              <w:spacing w:after="0"/>
              <w:rPr>
                <w:sz w:val="20"/>
                <w:szCs w:val="20"/>
                <w:color w:val="auto"/>
              </w:rPr>
            </w:pPr>
            <w:r>
              <w:rPr>
                <w:rFonts w:ascii="Arial" w:cs="Arial" w:eastAsia="Arial" w:hAnsi="Arial"/>
                <w:sz w:val="18"/>
                <w:szCs w:val="18"/>
                <w:color w:val="auto"/>
              </w:rPr>
              <w:t>4,487,471</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3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2120" w:type="dxa"/>
            <w:vAlign w:val="bottom"/>
          </w:tcPr>
          <w:p>
            <w:pPr>
              <w:jc w:val="right"/>
              <w:spacing w:after="0"/>
              <w:rPr>
                <w:sz w:val="20"/>
                <w:szCs w:val="20"/>
                <w:color w:val="auto"/>
              </w:rPr>
            </w:pPr>
            <w:r>
              <w:rPr>
                <w:rFonts w:ascii="Arial" w:cs="Arial" w:eastAsia="Arial" w:hAnsi="Arial"/>
                <w:sz w:val="18"/>
                <w:szCs w:val="18"/>
                <w:color w:val="auto"/>
              </w:rPr>
              <w:t>2,018,453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64"/>
        </w:trPr>
        <w:tc>
          <w:tcPr>
            <w:tcW w:w="2380" w:type="dxa"/>
            <w:vAlign w:val="bottom"/>
            <w:gridSpan w:val="2"/>
          </w:tcPr>
          <w:p>
            <w:pPr>
              <w:jc w:val="right"/>
              <w:ind w:right="25"/>
              <w:spacing w:after="0"/>
              <w:rPr>
                <w:sz w:val="20"/>
                <w:szCs w:val="20"/>
                <w:color w:val="auto"/>
              </w:rPr>
            </w:pPr>
            <w:r>
              <w:rPr>
                <w:rFonts w:ascii="Arial" w:cs="Arial" w:eastAsia="Arial" w:hAnsi="Arial"/>
                <w:sz w:val="18"/>
                <w:szCs w:val="18"/>
                <w:color w:val="auto"/>
              </w:rPr>
              <w:t>140,004</w:t>
            </w:r>
            <w:r>
              <w:rPr>
                <w:rFonts w:ascii="Arial" w:cs="Arial" w:eastAsia="Arial" w:hAnsi="Arial"/>
                <w:sz w:val="29"/>
                <w:szCs w:val="29"/>
                <w:color w:val="auto"/>
                <w:vertAlign w:val="superscript"/>
              </w:rPr>
              <w:t>(3)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4,624,725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2,018,453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-745490</wp:posOffset>
            </wp:positionV>
            <wp:extent cx="71323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-179070</wp:posOffset>
            </wp:positionV>
            <wp:extent cx="713232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440"/>
            <w:col w:w="7020"/>
          </w:cols>
          <w:pgMar w:left="320" w:top="665" w:right="339" w:bottom="1440" w:gutter="0" w:footer="0" w:header="0"/>
          <w:type w:val="continuous"/>
        </w:sectPr>
      </w:pPr>
    </w:p>
    <w:p>
      <w:pPr>
        <w:spacing w:after="0" w:line="2" w:lineRule="exact"/>
        <w:rPr>
          <w:sz w:val="20"/>
          <w:szCs w:val="20"/>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both vested and unvested options to purchase common stock and unvested stock grants under the 2018 Plan. These awards have a weighted average remaining term of 7.5 years.</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65"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both vested and unvested options to purchase common stock and unvested stock grants under inducement grants provided certain employees as an inducement to accept employment with the Company. These awards have a weighted average remaining term of 8.5 years. These grants are similar to those granted under the 2018 Plan and is more fully discussed in Note 11 to the financial statements in this 2020 Annual Report on Form 10-K filed.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08" w:name="page109"/>
    <w:bookmarkEnd w:id="108"/>
    <w:p>
      <w:pPr>
        <w:ind w:right="2160"/>
        <w:spacing w:after="0" w:line="503"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Related Party Transactions</w:t>
      </w: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accordance with the rules of the SEC and NASDAQ, the Company requires that at least a majority of the directors serving at any time on the Board of Directors be independent, that at least three directors satisfy the financial literacy requirements for service on the Audit Committee and that at least one member of the Audit Committee qualify as an “audit committee financial expert” under those rules.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of Directors has determined that Mr. Fritz is qualified to serve as the “audit committee financial expert” as defined by Item 407(d)(5) of Regulation S-K and that Mr. Fritz and Drs. Chow and Braun meet the financial literacy requirements under applicable SEC and NASDAQ rules. The Board of Directors determined that of the six currently serving directors, five directors (Drs. Augustine Chow, Donald P. Braun, Andreas Voss and Messrs. Robert W. Hooper and Frederick J. Fritz) are independent under applicable SEC and NASDAQ rules. Mr. Fritz acts as the chairman of our Audit Committee.</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has appointed Withum as the independent registered public accounting firm of the Company to audit our financial statements for the fiscal year ending December 31, 2020, and our Board requests stockholder ratification of such selection.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fees as invoiced for professional audit services rendered for the audit of our annual financial statements included in the Company’s Form 10-K and review of quarterly financial statements included in the Company’s Forms 10-Q for the fiscal years ended December 31, 2020 and December 31, 2019, and fees for other services rendered during those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w w:val="94"/>
              </w:rPr>
              <w:t>2020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23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r>
      <w:tr>
        <w:trPr>
          <w:trHeight w:val="198"/>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70"/>
              <w:spacing w:after="0" w:line="198"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2"/>
          </w:tcPr>
          <w:p>
            <w:pPr>
              <w:jc w:val="right"/>
              <w:ind w:right="55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r>
      <w:tr>
        <w:trPr>
          <w:trHeight w:val="24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FEE CATEGORY</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OF TOTAL</w:t>
            </w: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OF TOTAL</w:t>
            </w:r>
          </w:p>
        </w:tc>
        <w:tc>
          <w:tcPr>
            <w:tcW w:w="160" w:type="dxa"/>
            <w:vAlign w:val="bottom"/>
            <w:tcBorders>
              <w:bottom w:val="single" w:sz="8" w:color="CCEEFF"/>
            </w:tcBorders>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9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20,800</w:t>
            </w:r>
          </w:p>
        </w:tc>
        <w:tc>
          <w:tcPr>
            <w:tcW w:w="1880" w:type="dxa"/>
            <w:vAlign w:val="bottom"/>
            <w:gridSpan w:val="3"/>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8,900</w:t>
            </w:r>
          </w:p>
        </w:tc>
        <w:tc>
          <w:tcPr>
            <w:tcW w:w="18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36"/>
        </w:trPr>
        <w:tc>
          <w:tcPr>
            <w:tcW w:w="47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18"/>
          <w:szCs w:val="18"/>
          <w:color w:val="auto"/>
        </w:rPr>
        <w:t>Audit fees consist of fees for professional services rendered by Withum for the audits of our annual financial statements in our Form 10-K and for reviews of the quarterly financial statements included in the Company’s Forms 10-Q. Audit related fees pertain to the work performed during our equity offerings in 2020 and 2019. Tax fees consist of fees for preparation of the Company’s federal and state tax returns. All other fees consist of fees for attendance at the Company’s annual meetings, review of registration statements and similar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BY EMPLOYEES OF WITHUM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part of Withum’s engagement to audit the Company’s financial statements for the years ended December 31, 2020 and 2019 was attributable to work performed by persons other than Withum’s full-time, permanent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POLICY ON APPROVAL OF AUDIT AND NON-AUDIT SERVICES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2020 and 2019 were approved by the Audit Committee in accordance with its pre-approval policy and the approval requirements of the SEC.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list of the consolidated financial statements of Celsion Corporation filed with this Annual Report, together with the reports of our independent registered public accountants and Management’s Report on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6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8"/>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Reports of Independent Registered Public Accounting Firms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w:t>
            </w: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Consolidated Balance Sheets</w:t>
              </w:r>
            </w:hyperlink>
          </w:p>
        </w:tc>
        <w:tc>
          <w:tcPr>
            <w:tcW w:w="85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175"/>
        </w:trPr>
        <w:tc>
          <w:tcPr>
            <w:tcW w:w="10600" w:type="dxa"/>
            <w:vAlign w:val="bottom"/>
            <w:gridSpan w:val="8"/>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Consolidated Statements of Comprehensive Loss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35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Consolidated Statements of Cash Flows</w:t>
              </w:r>
            </w:hyperlink>
          </w:p>
        </w:tc>
        <w:tc>
          <w:tcPr>
            <w:tcW w:w="70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Consolidated Statements of Changes in Stockholders’ Equity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NOTES TO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r>
      <w:tr>
        <w:trPr>
          <w:trHeight w:val="432"/>
        </w:trPr>
        <w:tc>
          <w:tcPr>
            <w:tcW w:w="47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8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financial statement schedules are omitted because the information is inapplicable or presented in the notes to the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1100" w:hanging="764"/>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29">
        <w:r>
          <w:rPr>
            <w:rFonts w:ascii="Arial" w:cs="Arial" w:eastAsia="Arial" w:hAnsi="Arial"/>
            <w:sz w:val="18"/>
            <w:szCs w:val="18"/>
            <w:u w:val="single" w:color="auto"/>
            <w:color w:val="0000EE"/>
          </w:rPr>
          <w:t>Asset Purchase Agreement dated as of June 6, 2014, by and between Celsion Corporation and EGEN, Inc., incorporated herein by reference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to Exhibit 2.1 to the Quarterly Report on Form 10-Q of the Company for the quarter ended June 30, 2014.</w:t>
        </w:r>
      </w:hyperlink>
    </w:p>
    <w:p>
      <w:pPr>
        <w:spacing w:after="0" w:line="170" w:lineRule="exact"/>
        <w:rPr>
          <w:sz w:val="20"/>
          <w:szCs w:val="20"/>
          <w:color w:val="auto"/>
        </w:rPr>
      </w:pPr>
    </w:p>
    <w:p>
      <w:pPr>
        <w:jc w:val="both"/>
        <w:ind w:left="1100" w:hanging="719"/>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30">
        <w:r>
          <w:rPr>
            <w:rFonts w:ascii="Arial" w:cs="Arial" w:eastAsia="Arial" w:hAnsi="Arial"/>
            <w:sz w:val="18"/>
            <w:szCs w:val="18"/>
            <w:u w:val="single" w:color="auto"/>
            <w:color w:val="0000EE"/>
          </w:rPr>
          <w:t>Certificate of Incorporation of Celsion, as amended, incorporated herein by reference to Exhibit 3.1 to the Quarterly Report on Form 10-Q</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of the Company for the quarter ended June 30, 2004.</w:t>
        </w:r>
      </w:hyperlink>
    </w:p>
    <w:p>
      <w:pPr>
        <w:spacing w:after="0" w:line="170" w:lineRule="exact"/>
        <w:rPr>
          <w:sz w:val="20"/>
          <w:szCs w:val="20"/>
          <w:color w:val="auto"/>
        </w:rPr>
      </w:pPr>
    </w:p>
    <w:p>
      <w:pPr>
        <w:jc w:val="both"/>
        <w:ind w:left="1100" w:hanging="719"/>
        <w:spacing w:after="0" w:line="263"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31">
        <w:r>
          <w:rPr>
            <w:rFonts w:ascii="Arial" w:cs="Arial" w:eastAsia="Arial" w:hAnsi="Arial"/>
            <w:sz w:val="18"/>
            <w:szCs w:val="18"/>
            <w:u w:val="single" w:color="auto"/>
            <w:color w:val="0000EE"/>
          </w:rPr>
          <w:t>Certificate of Ownership and Merger of Celsion Corporation (a Maryland Corporation) into Celsion (Delaware) Corporation (inter alia,</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changing the Company’s name to “Celsion Corporation” from “Celsion (Delaware) Corporation”), incorporated herein by reference to</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Exhibit 3.1.3 to the Annual Report of the Company for the year ended September 30, 2000.</w:t>
        </w:r>
      </w:hyperlink>
    </w:p>
    <w:p>
      <w:pPr>
        <w:spacing w:after="0" w:line="184" w:lineRule="exact"/>
        <w:rPr>
          <w:rFonts w:ascii="Arial" w:cs="Arial" w:eastAsia="Arial" w:hAnsi="Arial"/>
          <w:sz w:val="18"/>
          <w:szCs w:val="18"/>
          <w:u w:val="single" w:color="auto"/>
          <w:color w:val="0000EE"/>
        </w:rPr>
      </w:pPr>
    </w:p>
    <w:p>
      <w:pPr>
        <w:jc w:val="both"/>
        <w:ind w:left="1100" w:hanging="719"/>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32">
        <w:r>
          <w:rPr>
            <w:rFonts w:ascii="Arial" w:cs="Arial" w:eastAsia="Arial" w:hAnsi="Arial"/>
            <w:sz w:val="18"/>
            <w:szCs w:val="18"/>
            <w:u w:val="single" w:color="auto"/>
            <w:color w:val="0000EE"/>
          </w:rPr>
          <w:t>Certificate of Amendment of the Certificate of Incorporation effective and filed on February 27, 2006, incorporated therein by reference to</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Exhibit 3.1 to the Current Report on Form 8-K of the Company filed on March 1, 2006.</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3.4</w:t>
            </w:r>
          </w:p>
        </w:tc>
        <w:tc>
          <w:tcPr>
            <w:tcW w:w="10140" w:type="dxa"/>
            <w:vAlign w:val="bottom"/>
            <w:gridSpan w:val="17"/>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Certificate of Amendment to Certificate of Incorporation effective October 28, 2013, incorporated herein by reference to Exhibit 3.1 to the</w:t>
              </w:r>
            </w:hyperlink>
          </w:p>
        </w:tc>
      </w:tr>
      <w:tr>
        <w:trPr>
          <w:trHeight w:val="196"/>
        </w:trPr>
        <w:tc>
          <w:tcPr>
            <w:tcW w:w="110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Current Report on Form 8-K of the Company filed on October 29, 2013.</w:t>
              </w:r>
            </w:hyperlink>
          </w:p>
        </w:tc>
        <w:tc>
          <w:tcPr>
            <w:tcW w:w="49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3.5</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Certificate of Amendment to Certificate of Incorporation effective June 15, 2016, incorporated herein by reference to Exhibit 3.1 to the</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Current Report on Form 8-K of the Company, filed on June 15, 2016.</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3.6</w:t>
            </w:r>
          </w:p>
        </w:tc>
        <w:tc>
          <w:tcPr>
            <w:tcW w:w="10140" w:type="dxa"/>
            <w:vAlign w:val="bottom"/>
            <w:gridSpan w:val="17"/>
          </w:tcPr>
          <w:p>
            <w:pPr>
              <w:spacing w:after="0"/>
              <w:rPr>
                <w:rFonts w:ascii="Arial" w:cs="Arial" w:eastAsia="Arial" w:hAnsi="Arial"/>
                <w:sz w:val="18"/>
                <w:szCs w:val="18"/>
                <w:color w:val="0000EE"/>
                <w:w w:val="95"/>
              </w:rPr>
            </w:pPr>
            <w:hyperlink r:id="rId136">
              <w:r>
                <w:rPr>
                  <w:rFonts w:ascii="Arial" w:cs="Arial" w:eastAsia="Arial" w:hAnsi="Arial"/>
                  <w:sz w:val="18"/>
                  <w:szCs w:val="18"/>
                  <w:color w:val="0000EE"/>
                  <w:w w:val="95"/>
                </w:rPr>
                <w:t>Certificate of Amendment to Certificate of Incorporation, effective May 26, 2017, incorporated herein by reference to Exhibit 3.1 to the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Current Report on Form 8-K of the Company, filed on May 26, 2017.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3.7</w:t>
            </w:r>
          </w:p>
        </w:tc>
        <w:tc>
          <w:tcPr>
            <w:tcW w:w="10140" w:type="dxa"/>
            <w:vAlign w:val="bottom"/>
            <w:gridSpan w:val="17"/>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Amended and Restated By-laws of the Company dated June 16, 2020, incorporated by reference to Exhibit 3.1 to the Quarterly Report of</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the Company for the quarter ended June 30, 2020.</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 xml:space="preserve">Form of Common Stock Certificate, par value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0.01, incorporated herein by reference to Exhibit 4.1 to the Annual Report of the Company</w:t>
              </w:r>
            </w:hyperlink>
          </w:p>
        </w:tc>
      </w:tr>
      <w:tr>
        <w:trPr>
          <w:trHeight w:val="196"/>
        </w:trPr>
        <w:tc>
          <w:tcPr>
            <w:tcW w:w="110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for the year ended September 30, 2000.</w:t>
              </w:r>
            </w:hyperlink>
          </w:p>
        </w:tc>
        <w:tc>
          <w:tcPr>
            <w:tcW w:w="7300" w:type="dxa"/>
            <w:vAlign w:val="bottom"/>
            <w:gridSpan w:val="12"/>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4.2</w:t>
            </w:r>
          </w:p>
        </w:tc>
        <w:tc>
          <w:tcPr>
            <w:tcW w:w="10140" w:type="dxa"/>
            <w:vAlign w:val="bottom"/>
            <w:gridSpan w:val="17"/>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Form of Representative’s Common Stock Purchase Warrant, incorporated herein by reference to Exhibit 4.2 to the Current Report on Form</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8-K of the Company, filed on October 31, 2017.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4.3</w:t>
            </w:r>
          </w:p>
        </w:tc>
        <w:tc>
          <w:tcPr>
            <w:tcW w:w="10140" w:type="dxa"/>
            <w:vAlign w:val="bottom"/>
            <w:gridSpan w:val="17"/>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Form of Placement Agent Common Stock Purchase Warrant incorporated herein by reference to Exhibit 4.4 to the Current Report on Form</w:t>
              </w:r>
            </w:hyperlink>
          </w:p>
        </w:tc>
      </w:tr>
      <w:tr>
        <w:trPr>
          <w:trHeight w:val="196"/>
        </w:trPr>
        <w:tc>
          <w:tcPr>
            <w:tcW w:w="110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8-K of the Company, filed on July 11, 2017.</w:t>
              </w:r>
            </w:hyperlink>
          </w:p>
        </w:tc>
        <w:tc>
          <w:tcPr>
            <w:tcW w:w="69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4.4</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Form of Series AA Warrant, incorporated herein by reference to Exhibit 4.26 to the Registration Statement to the Registration Statement on</w:t>
              </w:r>
            </w:hyperlink>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Form S-1 of the Company, filed on February 13, 2017.</w:t>
              </w:r>
            </w:hyperlink>
          </w:p>
        </w:tc>
        <w:tc>
          <w:tcPr>
            <w:tcW w:w="6200" w:type="dxa"/>
            <w:vAlign w:val="bottom"/>
            <w:gridSpan w:val="5"/>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4.5</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Form of Amended and Restated Warrant (issued under First Amendment of Venture Loan and Security Agreement, dated as of August 1,</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2020, by and among Celsion Corporation, Horizon Funding I, LLC, Horizon Funding Trust 2019-1, and Horizon Technology Finance</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Corporation, as Collateral Agent), incorporated herein by reference to Exhibit 4.1 to the Current Report on Form 8-K of the Company, filed</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on September 4, 2020.</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4.6</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Form of Exchange Warrant, incorporated herein by reference to Exhibit 4.1 to the Current Report on Form 8-K of the Company, filed on</w:t>
              </w:r>
            </w:hyperlink>
          </w:p>
        </w:tc>
      </w:tr>
      <w:tr>
        <w:trPr>
          <w:trHeight w:val="196"/>
        </w:trPr>
        <w:tc>
          <w:tcPr>
            <w:tcW w:w="110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March 13, 2020.</w:t>
              </w:r>
            </w:hyperlink>
          </w:p>
        </w:tc>
        <w:tc>
          <w:tcPr>
            <w:tcW w:w="8940" w:type="dxa"/>
            <w:vAlign w:val="bottom"/>
            <w:gridSpan w:val="16"/>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87"/>
              </w:rPr>
              <w:t>4.7</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6"/>
              </w:rPr>
            </w:pPr>
            <w:hyperlink r:id="rId144">
              <w:r>
                <w:rPr>
                  <w:rFonts w:ascii="Arial" w:cs="Arial" w:eastAsia="Arial" w:hAnsi="Arial"/>
                  <w:sz w:val="18"/>
                  <w:szCs w:val="18"/>
                  <w:color w:val="0000EE"/>
                  <w:w w:val="96"/>
                </w:rPr>
                <w:t>Description of Securities of the Registrant, incorporated herein by reference to Exhibit 4.5 to the Annual Report on Form 10-K of the</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Company, filed on March 25, 2020.</w:t>
              </w:r>
            </w:hyperlink>
          </w:p>
        </w:tc>
      </w:tr>
      <w:tr>
        <w:trPr>
          <w:trHeight w:val="20"/>
        </w:trPr>
        <w:tc>
          <w:tcPr>
            <w:tcW w:w="110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rPr>
              <w:t>10.1***</w:t>
            </w:r>
          </w:p>
        </w:tc>
        <w:tc>
          <w:tcPr>
            <w:tcW w:w="10140" w:type="dxa"/>
            <w:vAlign w:val="bottom"/>
            <w:gridSpan w:val="17"/>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Celsion Corporation 2007 Stock Incentive Plan, as amended, incorporated herein by reference to Exhibit 10.1 to the Current Report on Form</w:t>
              </w:r>
            </w:hyperlink>
          </w:p>
        </w:tc>
      </w:tr>
      <w:tr>
        <w:trPr>
          <w:trHeight w:val="196"/>
        </w:trPr>
        <w:tc>
          <w:tcPr>
            <w:tcW w:w="11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8-K of the Company, filed on May 16, 2017.</w:t>
              </w:r>
            </w:hyperlink>
          </w:p>
        </w:tc>
        <w:tc>
          <w:tcPr>
            <w:tcW w:w="69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Form Inducement Offer to Exercise Common Stock Purchase Warrants, incorporated herein by reference to exhibit 10.3 to the Quarterly</w:t>
              </w:r>
            </w:hyperlink>
          </w:p>
        </w:tc>
      </w:tr>
      <w:tr>
        <w:trPr>
          <w:trHeight w:val="196"/>
        </w:trPr>
        <w:tc>
          <w:tcPr>
            <w:tcW w:w="1100" w:type="dxa"/>
            <w:vAlign w:val="bottom"/>
          </w:tcPr>
          <w:p>
            <w:pPr>
              <w:spacing w:after="0"/>
              <w:rPr>
                <w:sz w:val="17"/>
                <w:szCs w:val="17"/>
                <w:color w:val="auto"/>
              </w:rPr>
            </w:pPr>
          </w:p>
        </w:tc>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Report on Form 10-Q of the Company for the quarter ended September 30, 2017.</w:t>
              </w:r>
            </w:hyperlink>
          </w:p>
        </w:tc>
        <w:tc>
          <w:tcPr>
            <w:tcW w:w="4280" w:type="dxa"/>
            <w:vAlign w:val="bottom"/>
            <w:gridSpan w:val="2"/>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rPr>
              <w:t>10.3***</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7"/>
              </w:rPr>
            </w:pPr>
            <w:hyperlink r:id="rId147">
              <w:r>
                <w:rPr>
                  <w:rFonts w:ascii="Arial" w:cs="Arial" w:eastAsia="Arial" w:hAnsi="Arial"/>
                  <w:sz w:val="18"/>
                  <w:szCs w:val="18"/>
                  <w:color w:val="0000EE"/>
                  <w:w w:val="97"/>
                </w:rPr>
                <w:t>Celsion Corporation 2018 Stock Incentive Plan, incorporated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Company filed May 15, 2018.</w:t>
              </w:r>
            </w:hyperlink>
          </w:p>
        </w:tc>
        <w:tc>
          <w:tcPr>
            <w:tcW w:w="7960" w:type="dxa"/>
            <w:vAlign w:val="bottom"/>
            <w:gridSpan w:val="14"/>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rPr>
              <w:t>10.4***</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First Amendment to the Celsion Corporation 2018 Stock Incentive Plan, incorporated by reference to Exhibit 10.1 to the Current Report on</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Form 8-K of the Company, filed on May 15, 2020.</w:t>
              </w:r>
            </w:hyperlink>
          </w:p>
        </w:tc>
      </w:tr>
      <w:tr>
        <w:trPr>
          <w:trHeight w:val="20"/>
        </w:trPr>
        <w:tc>
          <w:tcPr>
            <w:tcW w:w="1100" w:type="dxa"/>
            <w:vAlign w:val="bottom"/>
          </w:tcPr>
          <w:p>
            <w:pPr>
              <w:spacing w:after="0" w:line="20" w:lineRule="exact"/>
              <w:rPr>
                <w:sz w:val="1"/>
                <w:szCs w:val="1"/>
                <w:color w:val="auto"/>
              </w:rPr>
            </w:pPr>
          </w:p>
        </w:tc>
        <w:tc>
          <w:tcPr>
            <w:tcW w:w="3640" w:type="dxa"/>
            <w:vAlign w:val="bottom"/>
            <w:gridSpan w:val="1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rPr>
              <w:t>10.5***</w:t>
            </w:r>
          </w:p>
        </w:tc>
        <w:tc>
          <w:tcPr>
            <w:tcW w:w="10140" w:type="dxa"/>
            <w:vAlign w:val="bottom"/>
            <w:tcBorders>
              <w:bottom w:val="single" w:sz="8" w:color="0000EE"/>
            </w:tcBorders>
            <w:gridSpan w:val="17"/>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Second Amendment to the Celsion Corporation 2018 Stock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38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on Form 8-K of the Company, filed on June 16, 2020.</w:t>
              </w:r>
            </w:hyperlink>
          </w:p>
        </w:tc>
        <w:tc>
          <w:tcPr>
            <w:tcW w:w="6260" w:type="dxa"/>
            <w:vAlign w:val="bottom"/>
            <w:gridSpan w:val="6"/>
          </w:tcPr>
          <w:p>
            <w:pPr>
              <w:spacing w:after="0"/>
              <w:rPr>
                <w:sz w:val="17"/>
                <w:szCs w:val="17"/>
                <w:color w:val="auto"/>
              </w:rPr>
            </w:pPr>
          </w:p>
        </w:tc>
      </w:tr>
      <w:tr>
        <w:trPr>
          <w:trHeight w:val="459"/>
        </w:trPr>
        <w:tc>
          <w:tcPr>
            <w:tcW w:w="11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3"/>
          </w:tcPr>
          <w:p>
            <w:pPr>
              <w:ind w:left="438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Amended and Restated Employment Agreement, effective March 30, 2016, between Celsion Corporation and Mr. Michael H. Tardugno,</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incorporated by reference to Exhibit 10.8 to the Annual Report of the Company filed on March 30, 2016.</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Employment Offer Letter, entered into on June 15, 2010, between the Company and Jeffrey W. Church, incorporated herein by reference to</w:t>
              </w:r>
            </w:hyperlink>
          </w:p>
        </w:tc>
      </w:tr>
      <w:tr>
        <w:trPr>
          <w:trHeight w:val="196"/>
        </w:trPr>
        <w:tc>
          <w:tcPr>
            <w:tcW w:w="1100" w:type="dxa"/>
            <w:vAlign w:val="bottom"/>
          </w:tcPr>
          <w:p>
            <w:pPr>
              <w:spacing w:after="0"/>
              <w:rPr>
                <w:sz w:val="17"/>
                <w:szCs w:val="17"/>
                <w:color w:val="auto"/>
              </w:rPr>
            </w:pPr>
          </w:p>
        </w:tc>
        <w:tc>
          <w:tcPr>
            <w:tcW w:w="6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Exhibit 10.1 to the Current Report on Form 8-K of the Company filed on June 18, 2010.</w:t>
              </w:r>
            </w:hyperlink>
          </w:p>
        </w:tc>
        <w:tc>
          <w:tcPr>
            <w:tcW w:w="378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Patent License Agreement between the Company and Duke University dated November 10, 1999, incorporated herein by reference to</w:t>
              </w:r>
            </w:hyperlink>
          </w:p>
        </w:tc>
      </w:tr>
      <w:tr>
        <w:trPr>
          <w:trHeight w:val="196"/>
        </w:trPr>
        <w:tc>
          <w:tcPr>
            <w:tcW w:w="110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Exhibit 10.9 to the Annual Report of the Company for the year ended September 30, 1999.</w:t>
              </w:r>
            </w:hyperlink>
          </w:p>
        </w:tc>
        <w:tc>
          <w:tcPr>
            <w:tcW w:w="360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License Agreement dated July 18, 2003, between the Company and Duke University, incorporated herein by reference to Exhibit 10.1 to the</w:t>
              </w:r>
            </w:hyperlink>
          </w:p>
        </w:tc>
      </w:tr>
      <w:tr>
        <w:trPr>
          <w:trHeight w:val="196"/>
        </w:trPr>
        <w:tc>
          <w:tcPr>
            <w:tcW w:w="1100" w:type="dxa"/>
            <w:vAlign w:val="bottom"/>
          </w:tcPr>
          <w:p>
            <w:pPr>
              <w:spacing w:after="0"/>
              <w:rPr>
                <w:sz w:val="17"/>
                <w:szCs w:val="17"/>
                <w:color w:val="auto"/>
              </w:rPr>
            </w:pPr>
          </w:p>
        </w:tc>
        <w:tc>
          <w:tcPr>
            <w:tcW w:w="6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Registration Statement on Form S-3 (File No. 333-108318) filed on August 28, 2003.</w:t>
              </w:r>
            </w:hyperlink>
          </w:p>
        </w:tc>
        <w:tc>
          <w:tcPr>
            <w:tcW w:w="398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Development, Product Supply and Commercialization Agreement, effective December 5, 2008, by and between the Company and Yakult</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Honsha Co., Ltd., incorporated herein by reference to Exhibit 10.15 to the Annual Report of the Company for the year ended December 31,</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2008.</w:t>
              </w:r>
            </w:hyperlink>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The 2nd Amendment to The Development, Product Supply and Commercialization Agreement, effective January 7, 2011, by and between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the Company and Yakult Honsha Co., Ltd. incorporated herein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Company filed on January 18, 2011.</w:t>
              </w:r>
            </w:hyperlink>
          </w:p>
        </w:tc>
        <w:tc>
          <w:tcPr>
            <w:tcW w:w="752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Lease Agreement, executed July 21, 2011, by and between Celsion Corporation and Brandywine Operating Partnership, L.P., incorporated</w:t>
              </w:r>
            </w:hyperlink>
          </w:p>
        </w:tc>
      </w:tr>
      <w:tr>
        <w:trPr>
          <w:trHeight w:val="196"/>
        </w:trPr>
        <w:tc>
          <w:tcPr>
            <w:tcW w:w="1100" w:type="dxa"/>
            <w:vAlign w:val="bottom"/>
          </w:tcPr>
          <w:p>
            <w:pPr>
              <w:spacing w:after="0"/>
              <w:rPr>
                <w:sz w:val="17"/>
                <w:szCs w:val="17"/>
                <w:color w:val="auto"/>
              </w:rPr>
            </w:pPr>
          </w:p>
        </w:tc>
        <w:tc>
          <w:tcPr>
            <w:tcW w:w="79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herein by reference to Exhibit 10.1 to the Current Report on Form 8-K of the Company filed on July 25, 2011.</w:t>
              </w:r>
            </w:hyperlink>
          </w:p>
        </w:tc>
        <w:tc>
          <w:tcPr>
            <w:tcW w:w="220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First Amendment to Lease Agreement, executed April 20, 2017, by and between Celsion Corporation and Lenox Drive Office Park, LLC,</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w w:val="97"/>
              </w:rPr>
            </w:pPr>
            <w:hyperlink r:id="rId157">
              <w:r>
                <w:rPr>
                  <w:rFonts w:ascii="Arial" w:cs="Arial" w:eastAsia="Arial" w:hAnsi="Arial"/>
                  <w:sz w:val="18"/>
                  <w:szCs w:val="18"/>
                  <w:color w:val="0000EE"/>
                  <w:w w:val="97"/>
                </w:rPr>
                <w:t>incorporated herein by reference to Exhibit 10.1 to the Current Report on Form 10-Q of the Company filed on November 14, 2017.</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Technology Development Agreement effective as of May 7, 2012, by and between Celsion Corporation and Zhejiang Hisun Pharmaceutical</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Co. Ltd., incorporated herein by reference to Exhibit 10.2 to the Quarterly Report on Form 10-Q of the Company for the quarter ended June</w:t>
              </w:r>
            </w:hyperlink>
          </w:p>
        </w:tc>
      </w:tr>
      <w:tr>
        <w:trPr>
          <w:trHeight w:val="196"/>
        </w:trPr>
        <w:tc>
          <w:tcPr>
            <w:tcW w:w="110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58">
              <w:r>
                <w:rPr>
                  <w:rFonts w:ascii="Arial" w:cs="Arial" w:eastAsia="Arial" w:hAnsi="Arial"/>
                  <w:sz w:val="18"/>
                  <w:szCs w:val="18"/>
                  <w:color w:val="0000EE"/>
                  <w:w w:val="87"/>
                </w:rPr>
                <w:t>30, 2012.</w:t>
              </w:r>
            </w:hyperlink>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Technology Development Contract dated as of January 18, 2013, by and between Celsion Corporation and Zhejiang Hisun Pharmaceutical</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Co. Ltd.,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March 31, 2013.</w:t>
              </w:r>
            </w:hyperlink>
          </w:p>
        </w:tc>
        <w:tc>
          <w:tcPr>
            <w:tcW w:w="89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ind w:left="60"/>
              <w:spacing w:after="0"/>
              <w:rPr>
                <w:sz w:val="20"/>
                <w:szCs w:val="20"/>
                <w:color w:val="auto"/>
              </w:rPr>
            </w:pPr>
            <w:r>
              <w:rPr>
                <w:rFonts w:ascii="Arial" w:cs="Arial" w:eastAsia="Arial" w:hAnsi="Arial"/>
                <w:sz w:val="18"/>
                <w:szCs w:val="18"/>
                <w:color w:val="auto"/>
              </w:rPr>
              <w:t>10.16***</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Employment Offer Letter effective as of June 2, 2014, between the Company and Khursheed Anwer incorporated herein by reference to</w:t>
              </w:r>
            </w:hyperlink>
          </w:p>
        </w:tc>
      </w:tr>
      <w:tr>
        <w:trPr>
          <w:trHeight w:val="196"/>
        </w:trPr>
        <w:tc>
          <w:tcPr>
            <w:tcW w:w="110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Exhibit 10.27 to the Annual Report of the Company for the year ended December 31, 2014.</w:t>
              </w:r>
            </w:hyperlink>
          </w:p>
        </w:tc>
        <w:tc>
          <w:tcPr>
            <w:tcW w:w="354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5"/>
              </w:rPr>
            </w:pPr>
            <w:hyperlink r:id="rId161">
              <w:r>
                <w:rPr>
                  <w:rFonts w:ascii="Arial" w:cs="Arial" w:eastAsia="Arial" w:hAnsi="Arial"/>
                  <w:sz w:val="18"/>
                  <w:szCs w:val="18"/>
                  <w:color w:val="0000EE"/>
                  <w:w w:val="95"/>
                </w:rPr>
                <w:t>Amended and Restated Change in Control Agreement dated as of September 6, 2016, by and between the Company and Michael 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Tardugno,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September 30, 2016.</w:t>
              </w:r>
            </w:hyperlink>
          </w:p>
        </w:tc>
        <w:tc>
          <w:tcPr>
            <w:tcW w:w="86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Amended and Restated Change in Control Agreement dated as of September 6, 2016, by and between the Company and Nicholas Borys,</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w w:val="97"/>
              </w:rPr>
            </w:pPr>
            <w:hyperlink r:id="rId162">
              <w:r>
                <w:rPr>
                  <w:rFonts w:ascii="Arial" w:cs="Arial" w:eastAsia="Arial" w:hAnsi="Arial"/>
                  <w:sz w:val="18"/>
                  <w:szCs w:val="18"/>
                  <w:color w:val="0000EE"/>
                  <w:w w:val="97"/>
                </w:rPr>
                <w:t>M.D., incorporated herein by reference to Exhibit 10.2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September 30, 2016.</w:t>
              </w:r>
            </w:hyperlink>
          </w:p>
        </w:tc>
        <w:tc>
          <w:tcPr>
            <w:tcW w:w="86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Amended and Restated Change in Control Agreement dated as of September 6, 2016, by and between the Company and Jeffrey W. Church,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incorporated herein by reference to Exhibit 10.3 to the Quarterly Report on Form 10-Q of the Company for the quarter ended September 30,</w:t>
              </w:r>
            </w:hyperlink>
          </w:p>
        </w:tc>
      </w:tr>
      <w:tr>
        <w:trPr>
          <w:trHeight w:val="196"/>
        </w:trPr>
        <w:tc>
          <w:tcPr>
            <w:tcW w:w="1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63">
              <w:r>
                <w:rPr>
                  <w:rFonts w:ascii="Arial" w:cs="Arial" w:eastAsia="Arial" w:hAnsi="Arial"/>
                  <w:sz w:val="18"/>
                  <w:szCs w:val="18"/>
                  <w:color w:val="0000EE"/>
                  <w:w w:val="84"/>
                </w:rPr>
                <w:t>2016.</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7"/>
          </w:tcPr>
          <w:p>
            <w:pPr>
              <w:ind w:left="4380"/>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10"/>
              <w:spacing w:after="0"/>
              <w:rPr>
                <w:sz w:val="20"/>
                <w:szCs w:val="20"/>
                <w:color w:val="auto"/>
              </w:rPr>
            </w:pPr>
            <w:r>
              <w:rPr>
                <w:rFonts w:ascii="Arial" w:cs="Arial" w:eastAsia="Arial" w:hAnsi="Arial"/>
                <w:sz w:val="18"/>
                <w:szCs w:val="18"/>
                <w:color w:val="auto"/>
              </w:rPr>
              <w:t>10.20***</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5"/>
              </w:rPr>
            </w:pPr>
            <w:hyperlink r:id="rId164">
              <w:r>
                <w:rPr>
                  <w:rFonts w:ascii="Arial" w:cs="Arial" w:eastAsia="Arial" w:hAnsi="Arial"/>
                  <w:sz w:val="18"/>
                  <w:szCs w:val="18"/>
                  <w:color w:val="0000EE"/>
                  <w:w w:val="95"/>
                </w:rPr>
                <w:t>Amended and Restated Change in Control Agreement dated as of September 6, 2016, by and between the Company and Timothy J.</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Tumminello, incorporated herein by reference to Exhibit 10.4 to the Quarterly Report on Form 10-Q of the Company for the quarter ended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September 30, 2016.</w:t>
              </w:r>
            </w:hyperlink>
          </w:p>
        </w:tc>
        <w:tc>
          <w:tcPr>
            <w:tcW w:w="8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10.21</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Form of Securities Purchase Agreement incorporated herein by reference to Exhibit 10.33 to the Registration Statement on Form S-1 of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Company filed on February 13, 2017.</w:t>
              </w:r>
            </w:hyperlink>
          </w:p>
        </w:tc>
        <w:tc>
          <w:tcPr>
            <w:tcW w:w="7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10.22</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Lease Agreement dated January 15, 2018, by and between Celsion Corporation and HudsonAlpha Institute of Biotechnology for office and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w w:val="95"/>
              </w:rPr>
            </w:pPr>
            <w:hyperlink r:id="rId166">
              <w:r>
                <w:rPr>
                  <w:rFonts w:ascii="Arial" w:cs="Arial" w:eastAsia="Arial" w:hAnsi="Arial"/>
                  <w:sz w:val="18"/>
                  <w:szCs w:val="18"/>
                  <w:color w:val="0000EE"/>
                  <w:w w:val="95"/>
                </w:rPr>
                <w:t>lab space located in Huntsville, Alabama incorporated herein by reference to Exhibit 10.1 to the Quarterly Report on Form 10-Q of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Company for the quarter ended March 31,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10.23</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Venture Loan and Security Agreement dated June 27, 2018, by and between Celsion Corporation and Horizon Technology Finance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Corporation incorporated herein by reference to Exhibit 10.0 to the Quarterly Report on Form 10-Q of the Company for the quarter ended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67">
              <w:r>
                <w:rPr>
                  <w:rFonts w:ascii="Arial" w:cs="Arial" w:eastAsia="Arial" w:hAnsi="Arial"/>
                  <w:sz w:val="18"/>
                  <w:szCs w:val="18"/>
                  <w:color w:val="0000EE"/>
                  <w:w w:val="87"/>
                </w:rPr>
                <w:t>June 30, 2018.</w:t>
              </w:r>
            </w:hyperlink>
          </w:p>
        </w:tc>
        <w:tc>
          <w:tcPr>
            <w:tcW w:w="906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10.24</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6"/>
              </w:rPr>
            </w:pPr>
            <w:hyperlink r:id="rId168">
              <w:r>
                <w:rPr>
                  <w:rFonts w:ascii="Arial" w:cs="Arial" w:eastAsia="Arial" w:hAnsi="Arial"/>
                  <w:sz w:val="18"/>
                  <w:szCs w:val="18"/>
                  <w:color w:val="0000EE"/>
                  <w:w w:val="96"/>
                </w:rPr>
                <w:t>First Amendment of Venture Loan and Security Agreement, dated as of August 1, 2020, by and among Celsion Corporation, Horizon</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Funding I, LLC, Horizon Funding Trust 2019-1, and Horizon Technology Finance Corporation, as Collateral Agent, incorporated herein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reference to Exhibit 10.1 to the Current Report on Form 8-K of the Company filed with the SEC on September 4,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10.25</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Common Stock Purchase Agreement, dated August 31, 2018 between Celsion Corporation and Aspire Capital Fund, LLC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reference to Exhibit 10.1 to the Current Report on Form 8-K of the Company filed on September 4, 2018.</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10"/>
              <w:spacing w:after="0"/>
              <w:rPr>
                <w:sz w:val="20"/>
                <w:szCs w:val="20"/>
                <w:color w:val="auto"/>
              </w:rPr>
            </w:pPr>
            <w:r>
              <w:rPr>
                <w:rFonts w:ascii="Arial" w:cs="Arial" w:eastAsia="Arial" w:hAnsi="Arial"/>
                <w:sz w:val="18"/>
                <w:szCs w:val="18"/>
                <w:color w:val="auto"/>
                <w:w w:val="88"/>
              </w:rPr>
              <w:t>10.26</w:t>
            </w:r>
          </w:p>
        </w:tc>
        <w:tc>
          <w:tcPr>
            <w:tcW w:w="6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vMerge w:val="continue"/>
          </w:tcPr>
          <w:p>
            <w:pPr>
              <w:spacing w:after="0"/>
              <w:rPr>
                <w:sz w:val="24"/>
                <w:szCs w:val="24"/>
                <w:color w:val="auto"/>
              </w:rPr>
            </w:pPr>
          </w:p>
        </w:tc>
        <w:tc>
          <w:tcPr>
            <w:tcW w:w="1440" w:type="dxa"/>
            <w:vAlign w:val="bottom"/>
            <w:gridSpan w:val="3"/>
            <w:vMerge w:val="restart"/>
          </w:tcPr>
          <w:p>
            <w:pPr>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Capital on Demand</w:t>
              </w:r>
            </w:hyperlink>
          </w:p>
        </w:tc>
        <w:tc>
          <w:tcPr>
            <w:tcW w:w="22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92"/>
              </w:rPr>
              <w:t>TM</w:t>
            </w:r>
          </w:p>
        </w:tc>
        <w:tc>
          <w:tcPr>
            <w:tcW w:w="8480" w:type="dxa"/>
            <w:vAlign w:val="bottom"/>
            <w:gridSpan w:val="12"/>
            <w:vMerge w:val="restart"/>
          </w:tcPr>
          <w:p>
            <w:pPr>
              <w:ind w:left="80"/>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Sales Agreement, dated December 4, 2018, between Celsion Corporation and JonesTrading Institutional Services</w:t>
              </w:r>
            </w:hyperlink>
          </w:p>
        </w:tc>
        <w:tc>
          <w:tcPr>
            <w:tcW w:w="0" w:type="dxa"/>
            <w:vAlign w:val="bottom"/>
          </w:tcPr>
          <w:p>
            <w:pPr>
              <w:spacing w:after="0"/>
              <w:rPr>
                <w:sz w:val="1"/>
                <w:szCs w:val="1"/>
                <w:color w:val="auto"/>
              </w:rPr>
            </w:pPr>
          </w:p>
        </w:tc>
      </w:tr>
      <w:tr>
        <w:trPr>
          <w:trHeight w:val="48"/>
        </w:trPr>
        <w:tc>
          <w:tcPr>
            <w:tcW w:w="1100" w:type="dxa"/>
            <w:vAlign w:val="bottom"/>
            <w:vMerge w:val="continue"/>
          </w:tcPr>
          <w:p>
            <w:pPr>
              <w:spacing w:after="0"/>
              <w:rPr>
                <w:sz w:val="4"/>
                <w:szCs w:val="4"/>
                <w:color w:val="auto"/>
              </w:rPr>
            </w:pPr>
          </w:p>
        </w:tc>
        <w:tc>
          <w:tcPr>
            <w:tcW w:w="144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0" w:type="dxa"/>
            <w:vAlign w:val="bottom"/>
            <w:gridSpan w:val="2"/>
          </w:tcPr>
          <w:p>
            <w:pPr>
              <w:spacing w:after="0"/>
              <w:rPr>
                <w:sz w:val="4"/>
                <w:szCs w:val="4"/>
                <w:color w:val="auto"/>
              </w:rPr>
            </w:pPr>
          </w:p>
        </w:tc>
        <w:tc>
          <w:tcPr>
            <w:tcW w:w="8480" w:type="dxa"/>
            <w:vAlign w:val="bottom"/>
            <w:tcBorders>
              <w:bottom w:val="single" w:sz="8" w:color="0000EE"/>
            </w:tcBorders>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1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LLC incorporated by reference to Exhibit 10.1 to the Current Report on Form 8-K of the Company filed on December 4, 2018.</w:t>
              </w:r>
            </w:hyperlink>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10.27</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Common Stock Purchase Agreement, dated October 28, 2019 between Celsion Corporation and Aspire Capital Fund, LLC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reference to Exhibit 10.1 to the Current Report on Form 8-K of the Company filed on October 28, 2019.</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10.28</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Placement Agent Agreement, dated January 22, 2021, between Celsion Corporation and A.G.P./Alliance Global Partners,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reference to Exhibit 1.1 to the Current Report on Form 8-K of the Company, filed on January 25, 2021.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10.29</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Form of Securities Purchase Agreement between Celsion Corporation and the investors therein, dated January 22, 2021,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reference to Exhibit 10.1 to the Current Report on Form 8-K of the Company, filed on January 5, 2021.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10.30</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Securities Purchase Agreement between Celsion Corporation and the investors therein, dated February 27, 2020,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3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reference to Exhibit 10.1 to the Current Report on Form 8-K of the Company, filed on March 3, 2020.</w:t>
              </w:r>
            </w:hyperlink>
          </w:p>
        </w:tc>
        <w:tc>
          <w:tcPr>
            <w:tcW w:w="28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10.31</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Settlement Agreement and Release, by and between the plaintiff to the shareholder action captioned O’Connor v. Braun, et al., N.J. Super.,</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w w:val="95"/>
              </w:rPr>
            </w:pPr>
            <w:hyperlink r:id="rId175">
              <w:r>
                <w:rPr>
                  <w:rFonts w:ascii="Arial" w:cs="Arial" w:eastAsia="Arial" w:hAnsi="Arial"/>
                  <w:sz w:val="18"/>
                  <w:szCs w:val="18"/>
                  <w:color w:val="0000EE"/>
                  <w:w w:val="95"/>
                </w:rPr>
                <w:t>Dkt. No. MERC-00068-19, William J. O’Connor, derivatively on behalf of Celsion Corporation and individually on behalf of himself and</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1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75">
              <w:r>
                <w:rPr>
                  <w:rFonts w:ascii="Arial" w:cs="Arial" w:eastAsia="Arial" w:hAnsi="Arial"/>
                  <w:sz w:val="18"/>
                  <w:szCs w:val="18"/>
                  <w:color w:val="0000EE"/>
                  <w:w w:val="95"/>
                </w:rPr>
                <w:t>all other similarly situated stockholders of Celsion Corporation and defendants, incorporated herein by reference to Exhibit 10.2 to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Current Report on Form 8-K of the Company, filed on June 16,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10.32</w:t>
            </w:r>
          </w:p>
        </w:tc>
        <w:tc>
          <w:tcPr>
            <w:tcW w:w="10140" w:type="dxa"/>
            <w:vAlign w:val="bottom"/>
            <w:tcBorders>
              <w:bottom w:val="single" w:sz="8" w:color="0000EE"/>
            </w:tcBorders>
            <w:gridSpan w:val="18"/>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Form of Exercise Agreement, incorporated by reference to Exhibit 10.1 to the Current Report on Form 8-K of the Company, filed on March</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76">
              <w:r>
                <w:rPr>
                  <w:rFonts w:ascii="Arial" w:cs="Arial" w:eastAsia="Arial" w:hAnsi="Arial"/>
                  <w:sz w:val="18"/>
                  <w:szCs w:val="18"/>
                  <w:color w:val="0000EE"/>
                  <w:w w:val="87"/>
                </w:rPr>
                <w:t>13, 2020.</w:t>
              </w:r>
            </w:hyperlink>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Arial" w:cs="Arial" w:eastAsia="Arial" w:hAnsi="Arial"/>
                <w:sz w:val="18"/>
                <w:szCs w:val="18"/>
                <w:color w:val="auto"/>
                <w:w w:val="92"/>
              </w:rPr>
              <w:t>21.1+</w:t>
            </w:r>
          </w:p>
        </w:tc>
        <w:tc>
          <w:tcPr>
            <w:tcW w:w="10140" w:type="dxa"/>
            <w:vAlign w:val="bottom"/>
            <w:gridSpan w:val="1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Subsidiaries of Celsion Corporation</w:t>
              </w:r>
            </w:hyperlink>
          </w:p>
        </w:tc>
        <w:tc>
          <w:tcPr>
            <w:tcW w:w="0" w:type="dxa"/>
            <w:vAlign w:val="bottom"/>
          </w:tcPr>
          <w:p>
            <w:pPr>
              <w:spacing w:after="0"/>
              <w:rPr>
                <w:sz w:val="1"/>
                <w:szCs w:val="1"/>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gridSpan w:val="7"/>
          </w:tcPr>
          <w:p>
            <w:pPr>
              <w:spacing w:after="0"/>
              <w:rPr>
                <w:sz w:val="24"/>
                <w:szCs w:val="24"/>
                <w:color w:val="auto"/>
              </w:rPr>
            </w:pPr>
          </w:p>
        </w:tc>
        <w:tc>
          <w:tcPr>
            <w:tcW w:w="24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110</w:t>
            </w:r>
          </w:p>
        </w:tc>
        <w:tc>
          <w:tcPr>
            <w:tcW w:w="2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114" w:name="page115"/>
    <w:bookmarkEnd w:id="114"/>
    <w:p>
      <w:pPr>
        <w:ind w:left="28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52">
        <w:r>
          <w:rPr>
            <w:rFonts w:ascii="Arial" w:cs="Arial" w:eastAsia="Arial" w:hAnsi="Arial"/>
            <w:sz w:val="16"/>
            <w:szCs w:val="16"/>
            <w:u w:val="single" w:color="auto"/>
            <w:color w:val="0000EE"/>
          </w:rPr>
          <w:t>Consent of WithumSmith+Brown, PC, independent registered public accounting firm for the Company.</w:t>
        </w:r>
      </w:hyperlink>
    </w:p>
    <w:p>
      <w:pPr>
        <w:spacing w:after="0" w:line="225"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53">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54">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ind w:left="1100" w:hanging="806"/>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55">
        <w:r>
          <w:rPr>
            <w:rFonts w:ascii="Arial" w:cs="Arial" w:eastAsia="Arial" w:hAnsi="Arial"/>
            <w:sz w:val="18"/>
            <w:szCs w:val="18"/>
            <w:u w:val="single" w:color="auto"/>
            <w:color w:val="0000EE"/>
          </w:rPr>
          <w:t>Certification of Chief Executive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155">
        <w:r>
          <w:rPr>
            <w:rFonts w:ascii="Arial" w:cs="Arial" w:eastAsia="Arial" w:hAnsi="Arial"/>
            <w:sz w:val="18"/>
            <w:szCs w:val="18"/>
            <w:u w:val="single" w:color="auto"/>
            <w:color w:val="0000EE"/>
          </w:rPr>
          <w:t>of 2002.</w:t>
        </w:r>
      </w:hyperlink>
    </w:p>
    <w:p>
      <w:pPr>
        <w:spacing w:after="0" w:line="170" w:lineRule="exact"/>
        <w:rPr>
          <w:sz w:val="20"/>
          <w:szCs w:val="20"/>
          <w:color w:val="auto"/>
        </w:rPr>
      </w:pPr>
    </w:p>
    <w:p>
      <w:pPr>
        <w:ind w:left="1100" w:hanging="806"/>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156">
        <w:r>
          <w:rPr>
            <w:rFonts w:ascii="Arial" w:cs="Arial" w:eastAsia="Arial" w:hAnsi="Arial"/>
            <w:sz w:val="18"/>
            <w:szCs w:val="18"/>
            <w:u w:val="single" w:color="auto"/>
            <w:color w:val="0000EE"/>
          </w:rPr>
          <w:t>Certification of Chief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156">
        <w:r>
          <w:rPr>
            <w:rFonts w:ascii="Arial" w:cs="Arial" w:eastAsia="Arial" w:hAnsi="Arial"/>
            <w:sz w:val="18"/>
            <w:szCs w:val="18"/>
            <w:u w:val="single" w:color="auto"/>
            <w:color w:val="0000EE"/>
          </w:rPr>
          <w:t>of 2002.</w:t>
        </w:r>
      </w:hyperlink>
    </w:p>
    <w:p>
      <w:pPr>
        <w:spacing w:after="0" w:line="170" w:lineRule="exact"/>
        <w:rPr>
          <w:sz w:val="20"/>
          <w:szCs w:val="20"/>
          <w:color w:val="auto"/>
        </w:rPr>
      </w:pPr>
    </w:p>
    <w:p>
      <w:pPr>
        <w:jc w:val="both"/>
        <w:ind w:left="1100" w:hanging="839"/>
        <w:spacing w:after="0" w:line="301" w:lineRule="auto"/>
        <w:tabs>
          <w:tab w:leader="none" w:pos="10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Annual Report for the fiscal year ended December 31, 2019, formatted in XBRL (Extensible Business Reporting Language): (i) the audited Consolidated Balance Sheets, (ii) the audited Consolidated Statements of Operations, (iii) the audited Consolidated Statements of Comprehensive Loss, (iv) the audited Consolidated Statements of Cash Flows, (v) the audited Consolidated Statements of Changes in Stockholders’ Equity and (vi) Notes to Consolidated Financial Statements.</w:t>
      </w:r>
    </w:p>
    <w:p>
      <w:pPr>
        <w:spacing w:after="0" w:line="157" w:lineRule="exact"/>
        <w:rPr>
          <w:sz w:val="20"/>
          <w:szCs w:val="20"/>
          <w:color w:val="auto"/>
        </w:rPr>
      </w:pPr>
    </w:p>
    <w:p>
      <w:pPr>
        <w:ind w:left="1100" w:hanging="629"/>
        <w:spacing w:after="0" w:line="274" w:lineRule="auto"/>
        <w:tabs>
          <w:tab w:leader="none" w:pos="11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1100" w:hanging="657"/>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100" w:hanging="648"/>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00" w:hanging="696"/>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1100" w:hanging="741"/>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CELSION CORPORATION</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ind w:left="540"/>
              <w:spacing w:after="0"/>
              <w:rPr>
                <w:sz w:val="20"/>
                <w:szCs w:val="20"/>
                <w:color w:val="auto"/>
              </w:rPr>
            </w:pPr>
            <w:r>
              <w:rPr>
                <w:rFonts w:ascii="Arial" w:cs="Arial" w:eastAsia="Arial" w:hAnsi="Arial"/>
                <w:sz w:val="18"/>
                <w:szCs w:val="18"/>
                <w:color w:val="auto"/>
              </w:rPr>
              <w:t>Registrant</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March 19, 2021</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202"/>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H. Tardugno</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March 19, 2021</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202"/>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Jeffrey W. Church</w:t>
            </w:r>
          </w:p>
        </w:tc>
      </w:tr>
      <w:tr>
        <w:trPr>
          <w:trHeight w:val="216"/>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06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Chairman of the Board, President and</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188"/>
        </w:trPr>
        <w:tc>
          <w:tcPr>
            <w:tcW w:w="4060" w:type="dxa"/>
            <w:vAlign w:val="bottom"/>
          </w:tcPr>
          <w:p>
            <w:pPr>
              <w:spacing w:after="0" w:line="189" w:lineRule="exact"/>
              <w:rPr>
                <w:sz w:val="20"/>
                <w:szCs w:val="20"/>
                <w:color w:val="auto"/>
              </w:rPr>
            </w:pPr>
            <w:r>
              <w:rPr>
                <w:rFonts w:ascii="Arial" w:cs="Arial" w:eastAsia="Arial" w:hAnsi="Arial"/>
                <w:sz w:val="18"/>
                <w:szCs w:val="18"/>
                <w:color w:val="auto"/>
              </w:rPr>
              <w:t>(Michael H. Tardugno)</w:t>
            </w:r>
          </w:p>
        </w:tc>
        <w:tc>
          <w:tcPr>
            <w:tcW w:w="450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Chief Executive Officer</w:t>
            </w:r>
          </w:p>
        </w:tc>
        <w:tc>
          <w:tcPr>
            <w:tcW w:w="2680" w:type="dxa"/>
            <w:vAlign w:val="bottom"/>
          </w:tcPr>
          <w:p>
            <w:pPr>
              <w:spacing w:after="0"/>
              <w:rPr>
                <w:sz w:val="16"/>
                <w:szCs w:val="16"/>
                <w:color w:val="auto"/>
              </w:rPr>
            </w:pPr>
          </w:p>
        </w:tc>
      </w:tr>
      <w:tr>
        <w:trPr>
          <w:trHeight w:val="230"/>
        </w:trPr>
        <w:tc>
          <w:tcPr>
            <w:tcW w:w="4060" w:type="dxa"/>
            <w:vAlign w:val="bottom"/>
          </w:tcPr>
          <w:p>
            <w:pPr>
              <w:spacing w:after="0"/>
              <w:rPr>
                <w:sz w:val="20"/>
                <w:szCs w:val="20"/>
                <w:color w:val="auto"/>
              </w:rPr>
            </w:pP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c>
          <w:tcPr>
            <w:tcW w:w="2680" w:type="dxa"/>
            <w:vAlign w:val="bottom"/>
          </w:tcPr>
          <w:p>
            <w:pPr>
              <w:spacing w:after="0"/>
              <w:rPr>
                <w:sz w:val="20"/>
                <w:szCs w:val="20"/>
                <w:color w:val="auto"/>
              </w:rPr>
            </w:pPr>
          </w:p>
        </w:tc>
      </w:tr>
      <w:tr>
        <w:trPr>
          <w:trHeight w:val="4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(Jeffrey W. Church)</w:t>
            </w:r>
          </w:p>
        </w:tc>
        <w:tc>
          <w:tcPr>
            <w:tcW w:w="450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Financial Officer (Principal Financial Officer)</w:t>
            </w: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Controller and Chief Accounting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(Timothy J. Tumminello)</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(Augustine Chow, Ph.D.)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(Frederick J. Fritz)</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DONALD BRAUN</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(Donald Braun, Ph.D.)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ANDREAS VOSS</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(Andreas Voss, M.D.)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249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16" w:name="page117"/>
    <w:bookmarkEnd w:id="116"/>
    <w:p>
      <w:pPr>
        <w:spacing w:after="0" w:line="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Celsion Corporation (the “Company”) as of December 31, 2020 and 2019, the related consolidated statements of operations, comprehensive loss,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Calculations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December 31, 2020, the Company’s goodwill was $1,976,101 and indefinite lived in-process research and development assets (IPR&amp;D) was $13,366,234. As discussed in Note 5 to the consolidated financial statements, goodwill and indefinite lived IPR&amp;D are tested at least annually for impairment or when events or changes in circumstances indicate it is more likely than not that the carrying amount of such assets may not be recoverable. To determine the estimated fair value of reporting unit and the intangible assets, management considers both market and income valuation approaches.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the Company’s Earn-out milestone liability was $7,018,000. As discussed in Note 12 to the consolidated financial statements, the Earn-out milestone liability is remeasured at fair value, with changes in fair value reported in earnings.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Auditing management’s impairment tests for the goodwill, intangible assets, and the earn-out milestone liability was complex and judgmental due to the subjectivity required when identifying triggering events and the evaluation of significant, unobservable assumptions used in the fair value calculations.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obtained an understanding of controls over the Company’s annual goodwill and intangible asset impairment review process and the recurring fair value measurement of the earn-out milestone liability.</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test the estimated fair value of the reporting unit, intangible assets and estimated fair value earn-out milestone liability, we performed audit procedures that included, among others, assessing methodologies and testing the significant assumptions and the underlying data used by the Company in its analyses. We compared the significant assumptions used by management to current market and economic trends and other relevant factors. We involved valuation specialists to assist with assessing the methodologies and evaluating certain significant assumptions. We performed sensitivity analyses on significant assumptions to evaluate the changes in the fair value that would result from changes in the assumptions.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Company’s business plan and going concern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statements include disclosure of their business plan, including sources and uses of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Auditing management’s conclusions about whether there are conditions and events that raise substantial doubt about the entity’s ability to continue as a going concern within one year after the financial statements are issued is subjective and requires significant judgement.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ectPr>
          <w:pgSz w:w="11900" w:h="16841" w:orient="portrait"/>
          <w:cols w:equalWidth="0" w:num="1">
            <w:col w:w="11240"/>
          </w:cols>
          <w:pgMar w:left="320" w:top="661" w:right="339" w:bottom="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We obtained an understanding of controls over the Company’s process for determining their ability to continue as a 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test the Company’s conclusion about their ability to continue as a going concern, we obtained information about their plans and considered the likelihood of whether the Company would be unable to fund operations and meet their financial obligations as they become due for a reasonable period of time and whether such plans could be effectively implemented.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CONSOLIDATED BALANCE SHEETS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17,164,177</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6,875,273</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in debt securities - available for sale, at fair value</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21,369</w:t>
            </w: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1,660,695</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1,352,670</w:t>
            </w: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18,824,872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16,235,198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(at cost, less accumulated depreciation and amortization)</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294,551</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405,363</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Deferred income tax asset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1,845,823</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1,819,324</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13,366,234</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1,976,101</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1,047,336</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1,431,640</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113,660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340,976</w:t>
            </w: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58,761</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333,274</w:t>
            </w:r>
          </w:p>
        </w:tc>
      </w:tr>
      <w:tr>
        <w:trPr>
          <w:trHeight w:val="210"/>
        </w:trPr>
        <w:tc>
          <w:tcPr>
            <w:tcW w:w="74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other assets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18,407,915</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21,637,806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37,527,338</w:t>
            </w:r>
          </w:p>
        </w:tc>
        <w:tc>
          <w:tcPr>
            <w:tcW w:w="320" w:type="dxa"/>
            <w:vAlign w:val="bottom"/>
          </w:tcPr>
          <w:p>
            <w:pPr>
              <w:spacing w:after="0"/>
              <w:rPr>
                <w:sz w:val="21"/>
                <w:szCs w:val="21"/>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38,278,367</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F-2</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CONSOLIDATED BALANCE SHEETS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1"/>
              </w:rPr>
              <w:t>(Continued)</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4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2,244,847</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2,862,949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2,458,532</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2,303,547</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1,116,663</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1,840,228</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433,413</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387,733</w:t>
            </w: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current portion</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7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6,753,455</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7,894,457</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Earn-out milestone liability</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7,018,000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5,717,709</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non-current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3,934,497</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7,963,449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710,305</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1,143,717</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non-current portion</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10"/>
        </w:trPr>
        <w:tc>
          <w:tcPr>
            <w:tcW w:w="74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18,916,257</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23,719,332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40" w:type="dxa"/>
            <w:vAlign w:val="bottom"/>
          </w:tcPr>
          <w:p>
            <w:pPr>
              <w:ind w:left="360"/>
              <w:spacing w:after="0" w:line="201" w:lineRule="exact"/>
              <w:rPr>
                <w:sz w:val="20"/>
                <w:szCs w:val="20"/>
                <w:color w:val="auto"/>
              </w:rPr>
            </w:pPr>
            <w:r>
              <w:rPr>
                <w:rFonts w:ascii="Arial" w:cs="Arial" w:eastAsia="Arial" w:hAnsi="Arial"/>
                <w:sz w:val="18"/>
                <w:szCs w:val="18"/>
                <w:color w:val="auto"/>
              </w:rPr>
              <w:t>Preferred Stock - $0.01 par value (100,000 shares authorized, and no shares issued or</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outstanding at December 31, 2020 and 2019)</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4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 $0.01 par value (112,500,000 shares authorized; 40,701,356 and 23,256,152</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w w:val="94"/>
              </w:rPr>
              <w:t>shares issued at December 31, 2020 and 2019, respectively, and 40,701,022 and 23,255,818</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shares outstanding at December 31, 2020 and 2019, respectively)</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407,014</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232,562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330,289,596</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304,885,663</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42,778</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(312,000,341)</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(290,516,780)</w:t>
            </w:r>
          </w:p>
        </w:tc>
      </w:tr>
      <w:tr>
        <w:trPr>
          <w:trHeight w:val="203"/>
        </w:trPr>
        <w:tc>
          <w:tcPr>
            <w:tcW w:w="7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18,696,269</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14,644,223</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Treasury stock, at cost (334 shares at December 31, 2020 and 2019)</w:t>
            </w:r>
          </w:p>
        </w:tc>
        <w:tc>
          <w:tcPr>
            <w:tcW w:w="6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(85,188)</w:t>
            </w:r>
          </w:p>
        </w:tc>
        <w:tc>
          <w:tcPr>
            <w:tcW w:w="5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18,611,081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14,559,035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37,527,338</w:t>
            </w: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38,278,367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F-3</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4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development and licensing revenue</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500,000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11,344,819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13,065,309</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7,641,593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8,000,164</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18,986,412</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21,065,473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60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(18,486,412)</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(20,565,473)</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from change in earn-out milestone liability</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(1,300,291)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3,189,955</w:t>
            </w: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 modify GEN-1 earn-out</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milestone payments</w:t>
            </w:r>
          </w:p>
        </w:tc>
        <w:tc>
          <w:tcPr>
            <w:tcW w:w="60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(2,370,257)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income, net</w:t>
            </w:r>
          </w:p>
        </w:tc>
        <w:tc>
          <w:tcPr>
            <w:tcW w:w="60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119,907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500,882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(1,292,338)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(1,393,400)</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income</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(4,842,972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benefit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(23,329,384)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(18,668,007)</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1,845,823</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1,816,474</w:t>
            </w:r>
          </w:p>
        </w:tc>
      </w:tr>
      <w:tr>
        <w:trPr>
          <w:trHeight w:val="216"/>
        </w:trPr>
        <w:tc>
          <w:tcPr>
            <w:tcW w:w="74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(21,483,561)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(16,851,533)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 basic and diluted</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(0.67)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31,961,248</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21,832,932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F-4</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51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CELSION CORPORATION</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6560" w:type="dxa"/>
            <w:vAlign w:val="bottom"/>
            <w:gridSpan w:val="4"/>
          </w:tcPr>
          <w:p>
            <w:pPr>
              <w:jc w:val="center"/>
              <w:ind w:right="1041"/>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2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29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29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(21,483,561)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(16,851,533)</w:t>
            </w:r>
          </w:p>
        </w:tc>
      </w:tr>
      <w:tr>
        <w:trPr>
          <w:trHeight w:val="216"/>
        </w:trPr>
        <w:tc>
          <w:tcPr>
            <w:tcW w:w="290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4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Realized (gain) on investment securities recognized in investment income, net</w:t>
            </w: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(53,354)</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(57,895)</w:t>
            </w:r>
          </w:p>
        </w:tc>
      </w:tr>
      <w:tr>
        <w:trPr>
          <w:trHeight w:val="249"/>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Unrealized gain on investment securities</w:t>
            </w: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10,576</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70,801</w:t>
            </w:r>
          </w:p>
        </w:tc>
      </w:tr>
      <w:tr>
        <w:trPr>
          <w:trHeight w:val="210"/>
        </w:trPr>
        <w:tc>
          <w:tcPr>
            <w:tcW w:w="29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w w:val="95"/>
              </w:rPr>
              <w:t>Other comprehensive (loss) income</w:t>
            </w:r>
          </w:p>
        </w:tc>
        <w:tc>
          <w:tcPr>
            <w:tcW w:w="454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(42,778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12,906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9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5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(21,526,339)</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(16,838,627)</w:t>
            </w:r>
          </w:p>
        </w:tc>
      </w:tr>
      <w:tr>
        <w:trPr>
          <w:trHeight w:val="20"/>
        </w:trPr>
        <w:tc>
          <w:tcPr>
            <w:tcW w:w="2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900" w:type="dxa"/>
            <w:vAlign w:val="bottom"/>
          </w:tcPr>
          <w:p>
            <w:pPr>
              <w:spacing w:after="0"/>
              <w:rPr>
                <w:sz w:val="24"/>
                <w:szCs w:val="24"/>
                <w:color w:val="auto"/>
              </w:rPr>
            </w:pPr>
          </w:p>
        </w:tc>
        <w:tc>
          <w:tcPr>
            <w:tcW w:w="51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9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8"/>
              </w:rPr>
              <w:t>F-5</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520"/>
              <w:spacing w:after="0"/>
              <w:rPr>
                <w:sz w:val="20"/>
                <w:szCs w:val="20"/>
                <w:color w:val="auto"/>
              </w:rPr>
            </w:pPr>
            <w:r>
              <w:rPr>
                <w:rFonts w:ascii="Arial" w:cs="Arial" w:eastAsia="Arial" w:hAnsi="Arial"/>
                <w:sz w:val="18"/>
                <w:szCs w:val="18"/>
                <w:b w:val="1"/>
                <w:bCs w:val="1"/>
                <w:color w:val="auto"/>
              </w:rPr>
              <w:t>CELSION CORPORATION</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20" w:type="dxa"/>
            <w:vAlign w:val="bottom"/>
            <w:gridSpan w:val="2"/>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7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15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(21,483,561)</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(16,851,533)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741,524</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721,665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earn-out milestone liability</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1,300,291</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(3,189,955)</w:t>
            </w:r>
          </w:p>
        </w:tc>
      </w:tr>
      <w:tr>
        <w:trPr>
          <w:trHeight w:val="202"/>
        </w:trPr>
        <w:tc>
          <w:tcPr>
            <w:tcW w:w="7440" w:type="dxa"/>
            <w:vAlign w:val="bottom"/>
          </w:tcPr>
          <w:p>
            <w:pPr>
              <w:ind w:left="360"/>
              <w:spacing w:after="0" w:line="201" w:lineRule="exact"/>
              <w:rPr>
                <w:sz w:val="20"/>
                <w:szCs w:val="20"/>
                <w:color w:val="auto"/>
              </w:rPr>
            </w:pPr>
            <w:r>
              <w:rPr>
                <w:rFonts w:ascii="Arial" w:cs="Arial" w:eastAsia="Arial" w:hAnsi="Arial"/>
                <w:sz w:val="18"/>
                <w:szCs w:val="18"/>
                <w:color w:val="auto"/>
                <w:w w:val="98"/>
              </w:rPr>
              <w:t>Fair value of warrants issued in connection with amendment to modify the GEN-1 earn-out</w:t>
            </w: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48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warrants issued in exchange for services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44,798</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1,851,391</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2,286,388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upon vesting of stock awards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deferred income tax asset</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(26,499)</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(1,819,324)</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in-process research and development</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2,370,257</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w w:val="99"/>
              </w:rPr>
              <w:t>Amortization of deferred finance charges and debt discount associated with note payable</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447,483</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386,640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changes in:</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21,369</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46,940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(308,025)</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(901,377)</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274,513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(74,341)</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(618,102)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(157,689)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(500,000)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(500,000)</w:t>
            </w: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265,885</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(611,746)</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(15,618,676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(20,258,982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investment in debt securities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(9,956,892)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(23,829,982)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sale and maturity of investment in debt securities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17,900,000</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30,115,000</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(19,092)</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(349,158)</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investing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7,924,016</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5,935,860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equity, net of issuance costs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22,811,669</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7,844,852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371,895</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notes payable including end-of-term fees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(5,200,000)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Paycheck Protection Program (“PPP”) loans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1,324,750</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PPP loans</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(1,324,750)</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17,983,564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7,844,852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4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10,288,904</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(6,478,270)</w:t>
            </w: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6,875,273</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13,353,543</w:t>
            </w:r>
          </w:p>
        </w:tc>
      </w:tr>
      <w:tr>
        <w:trPr>
          <w:trHeight w:val="217"/>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17,164,177</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6,875,273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CELSION CORPORATION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6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received from:</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4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(844,278)</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(1,006,760)</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525,809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485,848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to settle accrued bonuses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498,632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warrants issued in connection with the debt facility, net of cancelled warrants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81,102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and losses, net, on investment in debt securities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(42,778)</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040" w:type="dxa"/>
            <w:vAlign w:val="bottom"/>
            <w:gridSpan w:val="2"/>
          </w:tcPr>
          <w:p>
            <w:pPr>
              <w:jc w:val="center"/>
              <w:ind w:left="313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8"/>
              </w:rPr>
              <w:t>F-7</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CELSION CORPORATION</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40" w:type="dxa"/>
            <w:vAlign w:val="bottom"/>
          </w:tcPr>
          <w:p>
            <w:pPr>
              <w:spacing w:after="0"/>
              <w:rPr>
                <w:sz w:val="24"/>
                <w:szCs w:val="24"/>
                <w:color w:val="auto"/>
              </w:rPr>
            </w:pPr>
          </w:p>
        </w:tc>
        <w:tc>
          <w:tcPr>
            <w:tcW w:w="7800" w:type="dxa"/>
            <w:vAlign w:val="bottom"/>
            <w:gridSpan w:val="18"/>
          </w:tcPr>
          <w:p>
            <w:pPr>
              <w:jc w:val="center"/>
              <w:ind w:right="1141"/>
              <w:spacing w:after="0"/>
              <w:rPr>
                <w:sz w:val="20"/>
                <w:szCs w:val="20"/>
                <w:color w:val="auto"/>
              </w:rPr>
            </w:pPr>
            <w:r>
              <w:rPr>
                <w:rFonts w:ascii="Arial" w:cs="Arial" w:eastAsia="Arial" w:hAnsi="Arial"/>
                <w:sz w:val="18"/>
                <w:szCs w:val="18"/>
                <w:b w:val="1"/>
                <w:bCs w:val="1"/>
                <w:color w:val="auto"/>
              </w:rPr>
              <w:t>CONSOLIDATED STATEMENTS OF CHANGES IN 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10"/>
          </w:tcPr>
          <w:p>
            <w:pPr>
              <w:jc w:val="center"/>
              <w:ind w:right="261"/>
              <w:spacing w:after="0"/>
              <w:rPr>
                <w:sz w:val="20"/>
                <w:szCs w:val="20"/>
                <w:color w:val="auto"/>
              </w:rPr>
            </w:pPr>
            <w:r>
              <w:rPr>
                <w:rFonts w:ascii="Arial" w:cs="Arial" w:eastAsia="Arial" w:hAnsi="Arial"/>
                <w:sz w:val="18"/>
                <w:szCs w:val="18"/>
                <w:b w:val="1"/>
                <w:bCs w:val="1"/>
                <w:color w:val="auto"/>
                <w:w w:val="97"/>
              </w:rPr>
              <w:t>YEAR ENDED DECEMBER 31, 2019</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5"/>
            <w:vMerge w:val="restart"/>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3"/>
              </w:rPr>
              <w:t>Additional</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86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Compr.</w:t>
            </w:r>
          </w:p>
        </w:tc>
        <w:tc>
          <w:tcPr>
            <w:tcW w:w="136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1"/>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36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18,831,834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$ 188,322</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$ 294,393,313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334</w:t>
            </w:r>
          </w:p>
        </w:tc>
        <w:tc>
          <w:tcPr>
            <w:tcW w:w="10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7"/>
              </w:rPr>
              <w:t>$ (85,188)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$ 29,872</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88"/>
              </w:rPr>
              <w:t>$ (273,665,247)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20,861,072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(16,851,533)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(16,851,533)</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4,385,984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43,860</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7,800,992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7,844,852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warrants issued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4"/>
          </w:tcPr>
          <w:p>
            <w:pPr>
              <w:spacing w:after="0"/>
              <w:rPr>
                <w:sz w:val="20"/>
                <w:szCs w:val="20"/>
                <w:color w:val="auto"/>
              </w:rPr>
            </w:pPr>
            <w:r>
              <w:rPr>
                <w:rFonts w:ascii="Arial" w:cs="Arial" w:eastAsia="Arial" w:hAnsi="Arial"/>
                <w:sz w:val="18"/>
                <w:szCs w:val="18"/>
                <w:color w:val="auto"/>
              </w:rPr>
              <w:t>in connection with amendment to</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modify GEN-1 earn-out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milestone payments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400,000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Realized and unrealized gains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5"/>
              </w:rPr>
              <w:t>and losses, net, on investment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12,906</w:t>
            </w: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expense</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2,286,388</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2,286,388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38,000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4,970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0"/>
              </w:rPr>
              <w:t>Balance at December 31, 2019</w:t>
            </w: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23,255,818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$ 232,562</w:t>
            </w: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304,885,663</w:t>
            </w: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(85,188</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$ 42,778</w:t>
            </w: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(290,516,780</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14,559,035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CELSION CORPORATION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40" w:type="dxa"/>
            <w:vAlign w:val="bottom"/>
            <w:gridSpan w:val="17"/>
          </w:tcPr>
          <w:p>
            <w:pPr>
              <w:jc w:val="center"/>
              <w:ind w:left="1130"/>
              <w:spacing w:after="0"/>
              <w:rPr>
                <w:sz w:val="20"/>
                <w:szCs w:val="20"/>
                <w:color w:val="auto"/>
              </w:rPr>
            </w:pPr>
            <w:r>
              <w:rPr>
                <w:rFonts w:ascii="Arial" w:cs="Arial" w:eastAsia="Arial" w:hAnsi="Arial"/>
                <w:sz w:val="18"/>
                <w:szCs w:val="18"/>
                <w:b w:val="1"/>
                <w:bCs w:val="1"/>
                <w:color w:val="auto"/>
                <w:w w:val="98"/>
              </w:rPr>
              <w:t>CONSOLIDATED STATEMENTS OF CHANGES IN STOCKHOLDERS’ EQUITY (continued)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7"/>
              </w:rPr>
              <w:t>YEAR ENDED DECEMBER 31, 2020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190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Accum.</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99"/>
              </w:rPr>
              <w:t>Additional</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7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Compr.</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23,255,818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4"/>
              </w:rPr>
              <w:t>$ 232,562</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$ 304,885,663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 (85,188)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$ 42,778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 (290,516,780)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$ 14,559,035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(21,483,561)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(21,483,561)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16,674,225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166,741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22,644,928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22,811,669</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upon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vesting</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of stock awards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143,864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370,456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371,895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upon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197,260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(1,973)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to settle</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429,855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494,333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498,632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warrants issued</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 exchange for services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44,798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1,851,391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1,851,391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line="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Realized and unrealized gains and losses, net, on investment securities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at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(42,778)</w:t>
            </w:r>
          </w:p>
        </w:tc>
        <w:tc>
          <w:tcPr>
            <w:tcW w:w="13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(42,778)</w:t>
            </w:r>
          </w:p>
        </w:tc>
      </w:tr>
      <w:tr>
        <w:trPr>
          <w:trHeight w:val="22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40,701,022</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$ 407,014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330,289,596</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(85,188</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(312,000,341</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$ 18,611,081</w:t>
            </w:r>
          </w:p>
        </w:tc>
        <w:tc>
          <w:tcPr>
            <w:tcW w:w="60" w:type="dxa"/>
            <w:vAlign w:val="bottom"/>
          </w:tcPr>
          <w:p>
            <w:pPr>
              <w:spacing w:after="0"/>
              <w:rPr>
                <w:sz w:val="19"/>
                <w:szCs w:val="19"/>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-607695</wp:posOffset>
            </wp:positionV>
            <wp:extent cx="7132320" cy="428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260"/>
            <w:col w:w="8660"/>
          </w:cols>
          <w:pgMar w:left="320" w:top="661"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of Celsion have been prepared in accordance with generally accepted accounting principles (“GAAP”) in the U.S. and include the accounts of the Company and CLSN Laboratories, Inc. All significant intercompany balances and transactions have been eliminated in consolidation.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Events and conditions arising subsequent to the most recent balance sheet date through the date of the issuance of these consolidated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 ongoing basis, the Company evaluates its estimates using historical experience and other factors, including the current economic environment. Significant items subject to such estimates are assumptions used for purposes of determining stock-based compensation, the fair value of the earn-out milestone liabilities, estimates for contingent liabilities, if any, and accounting for valuation of in-process research and development assets and goodwill evaluation. Management believes its estimates to be reasonable under the circumstances. Actual results could differ significantly from those estimates. Significant estimates in these financials are the valuation of options granted and valuation methods used to determine the recoverability of goodwill and other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sole revenue stream is related to the Hisun agreement described in Note 18. There were no accounts receivable as of December 31, 2020 or 2019. Contract liabilities from the Hisun agreement amounted to $1,000,000 and $1,500,000 at December 31, 2020 and 2019, respectively. Contract liabilities values represent the value of cash received before the services were provided.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values of investment securities approximate their respective fair values. Management believes that the carrying amounts of the Company’s investment securities, including cash and cash equivalents, accounts payable and accrued expenses, approximate fair value due to the short-term nature of those instruments. Short-term investments are recorded at their estimated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classifies its investments in debt securities with readily determinable fair values as investments available-for-sale in accordance with Accounting Standards Codification (“ASC”) 320, Investments - Debt and Equity Securities. Available-for-sale securities consist of debt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$130,000 and $128,500 for the years ended December 31, 2020 and 2019, respectively.</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 There was no impairment of property or equipment during 2020 or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assesses the impairment of its long-lived assets under accounting standards for the impairment or disposal of long-lived assets whenever events or changes in circumstances indicate that the carrying value may not be recoverable. For long-lived assets to be held and used, the Company recognizes an impairment loss only if its carrying amount is not recoverable through its undiscounted cash flows and measures the impairment loss based on the difference between the carrying amount and fair value. See Note 5 for information on impairment losses of its in</w:t>
      </w:r>
      <w:r>
        <w:rPr>
          <w:rFonts w:ascii="Arial" w:cs="Arial" w:eastAsia="Arial" w:hAnsi="Arial"/>
          <w:sz w:val="16"/>
          <w:szCs w:val="16"/>
          <w:i w:val="1"/>
          <w:iCs w:val="1"/>
          <w:color w:val="auto"/>
        </w:rPr>
        <w:t>-</w:t>
      </w:r>
      <w:r>
        <w:rPr>
          <w:rFonts w:ascii="Arial" w:cs="Arial" w:eastAsia="Arial" w:hAnsi="Arial"/>
          <w:sz w:val="16"/>
          <w:szCs w:val="16"/>
          <w:color w:val="auto"/>
        </w:rPr>
        <w:t>process research and development.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establishes standards for the reporting and display of comprehensive income (loss) and its components in the Company’s consolidated financial statements. The objective of ASC </w:t>
      </w:r>
      <w:r>
        <w:rPr>
          <w:rFonts w:ascii="Arial" w:cs="Arial" w:eastAsia="Arial" w:hAnsi="Arial"/>
          <w:sz w:val="18"/>
          <w:szCs w:val="18"/>
          <w:i w:val="1"/>
          <w:iCs w:val="1"/>
          <w:color w:val="auto"/>
        </w:rPr>
        <w:t>220</w:t>
      </w:r>
      <w:r>
        <w:rPr>
          <w:rFonts w:ascii="Arial" w:cs="Arial" w:eastAsia="Arial" w:hAnsi="Arial"/>
          <w:sz w:val="18"/>
          <w:szCs w:val="18"/>
          <w:color w:val="auto"/>
        </w:rPr>
        <w:t xml:space="preserve"> is to report a measure of comprehensive income (loss) of all changes in equity of an enterprise that result from transactions and other economic events in a period other than transactions with owners. Comprehensive gains (losses) result from changes in unrealized gains and losses from investment in debt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years ended December 31, 2020 and 2019, the total number of shares of common stock issuable upon exercise of warrants and equity awards is 8,481,041 and 4,766,990, respectively. Warrants with an exercise price of $0.01 (as more fully described in Note 13 of these financial statements) exercisable for 200,000 shares of common stock issued in March 2019 and exercised for 197,260 shares of stock through a cashless conversion in October 2020, were considered issued in calculating basic loss per share for each year. For the year ended December 31, 2020 and 2019,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more fully discussed in Note 9, on February 12, 2021, the Company received approval from the New Jersey Economic Development Authority to sell $2.0 million of its New Jersey net operating losses recognizing a tax benefit for the year ended December 31, 2020 for the net proceeds (approximately $1.85 million) by reducing the deferred income tax valuation allowance. In February of 2021, the Company entered into an agreement to sell these net operating losses and expects to receive net proceeds of approximately $1.85 million by the end of the first quarter of 2021. 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2019 and 2018, the Company sold NOLs totaling $13 million, receiving net proceeds of $1.8 million and $10.4 million, respectively. During 2021, the New Jersey State Legislature increased the maximum lifetime benefit per company from $15 million to $20 million, which will allow the Company to participate in this innovative funding program in future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Financial Accounting Standards Board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recognizes the effect of forfeitures in compensation cost when they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2016, the FASB issued ASU No. 2016-02, “Leases” - Topic 842 (ASC Topic 842), which requires that lessees recognize assets and liabilities for leases with lease terms greater than twelve months in the balance sheet.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We adopted ASC Topic 842 effective January 1, 2019 and elected to apply the available practical expedients and implement internal controls to enable the preparation of financial information on adoption. We identified two of our leases consisting of the New Jersey corporate office lease and the Alabama lab facility lease as being subject to ASC Topic 842. The adoption of this standard resulted in the recognition of right-of-use assets of approximately $1.4 million, related operating lease liabilities of $1.5 million and reduced other liabilities by approximately $0.1 million on the consolidated balance sheets as of January 1, 2019 with no material impact to the opening balance of retained earnings. See Note 15 for further discussions regarding the adoption of ASC Topic 842.</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modifies the measurement of expected credit losses on certain financial instruments. The Company expects to adopt ASU 2016-13 in its first quarter of 2021 utilizing the modified retrospective transition method. Based on the composition of the Company’s investment portfolio and current market conditions, the adoption of ASU 2016-13 is not expected to have a material impact on its consolidated financial statements.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The adoption of this standard did not have a significant impact on the Company’s condensed consolidated financial statements.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does not believe that the adoption of this standard will have an impact on its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2. FINANCIAL CONDITION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December 31, 2020, the Company has incurred approximately $312 million of cumulative net losses and we had approximately $17.2 million in cash and cash equivalents.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these financial statements.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1" w:name="page132"/>
    <w:bookmarkEnd w:id="131"/>
    <w:p>
      <w:pPr>
        <w:ind w:left="66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expects to receive net proceeds of approximately $1.85 million by the end of the first quarter of 2021. During 2021, the New Jersey State Legislature increased the maximum lifetime benefit per company from $15 million to $20 million, which will allow the Company to participate in this innovative funding program in future years.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through July 2020, followed by a 24-month amortization period of principal and interest starting on August 1, 2020 and ending through the scheduled maturity date. On August 28, 2020, in connection with an Amendment to the Horizon Credit Agreement, Celsion repaid $5 million of the $10 million loan and $0.2 million in related end of term charges, and the remaining $5 million in obligations were restructured as more fully discussed in Note 8 to these financial statements.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more fully discussed in Note 10, during 2021 through the date of the filing of this Annual Report on Form 10-K, the Company has raised approximately $6.9 million in gross proceeds from the use of its JonesTrading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financing facility, $35 million dollars from a registered direct financing completed in January 2021 and $1.5 million from warrant exercises. With $17.2 million in cash and cash equivalents at December 31, 2020, coupled with approximately $43 million of gross proceeds received from the sale of equity thus far in 2021 and up to $1.85 million in expected proceeds from the sale of the State of New Jersey net operating losses it applied for in 2020, the Company believes it has sufficient capital resources to fund its operations through the end of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2" w:name="page133"/>
    <w:bookmarkEnd w:id="132"/>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IN DEBT SECURITIES AVAILABLE FOR SALE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debt securities available for sale with a fair value of $7,985,886 as of December 31, 2019 consisted of corporate debt securities. These investments are valued at estimated fair value, with unrealized gains and losses reported as a separate component of stockholders’ equity in accumulated other comprehensive loss. The Company only had investments in cash and cash equivalents at December 31, 2020.</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2700" w:type="dxa"/>
            <w:vAlign w:val="bottom"/>
            <w:gridSpan w:val="5"/>
          </w:tcPr>
          <w:p>
            <w:pPr>
              <w:jc w:val="right"/>
              <w:ind w:right="478"/>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400"/>
              <w:spacing w:after="0"/>
              <w:rPr>
                <w:sz w:val="20"/>
                <w:szCs w:val="20"/>
                <w:color w:val="auto"/>
              </w:rPr>
            </w:pPr>
            <w:r>
              <w:rPr>
                <w:rFonts w:ascii="Arial" w:cs="Arial" w:eastAsia="Arial" w:hAnsi="Arial"/>
                <w:sz w:val="18"/>
                <w:szCs w:val="18"/>
                <w:b w:val="1"/>
                <w:bCs w:val="1"/>
                <w:color w:val="auto"/>
              </w:rPr>
              <w:t>December 31, 2019</w:t>
            </w:r>
          </w:p>
        </w:tc>
      </w:tr>
      <w:tr>
        <w:trPr>
          <w:trHeight w:val="236"/>
        </w:trPr>
        <w:tc>
          <w:tcPr>
            <w:tcW w:w="5200" w:type="dxa"/>
            <w:vAlign w:val="bottom"/>
          </w:tcPr>
          <w:p>
            <w:pPr>
              <w:spacing w:after="0"/>
              <w:rPr>
                <w:sz w:val="20"/>
                <w:szCs w:val="20"/>
                <w:color w:val="auto"/>
              </w:rPr>
            </w:pP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3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7,943,108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7,943,108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2700" w:type="dxa"/>
            <w:vAlign w:val="bottom"/>
            <w:gridSpan w:val="5"/>
          </w:tcPr>
          <w:p>
            <w:pPr>
              <w:jc w:val="right"/>
              <w:ind w:right="478"/>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7"/>
          </w:tcPr>
          <w:p>
            <w:pPr>
              <w:ind w:left="400"/>
              <w:spacing w:after="0"/>
              <w:rPr>
                <w:sz w:val="20"/>
                <w:szCs w:val="20"/>
                <w:color w:val="auto"/>
              </w:rPr>
            </w:pPr>
            <w:r>
              <w:rPr>
                <w:rFonts w:ascii="Arial" w:cs="Arial" w:eastAsia="Arial" w:hAnsi="Arial"/>
                <w:sz w:val="18"/>
                <w:szCs w:val="18"/>
                <w:b w:val="1"/>
                <w:bCs w:val="1"/>
                <w:color w:val="auto"/>
              </w:rPr>
              <w:t>December 31, 2019</w:t>
            </w:r>
          </w:p>
        </w:tc>
      </w:tr>
      <w:tr>
        <w:trPr>
          <w:trHeight w:val="236"/>
        </w:trPr>
        <w:tc>
          <w:tcPr>
            <w:tcW w:w="5200" w:type="dxa"/>
            <w:vAlign w:val="bottom"/>
          </w:tcPr>
          <w:p>
            <w:pPr>
              <w:spacing w:after="0"/>
              <w:rPr>
                <w:sz w:val="20"/>
                <w:szCs w:val="20"/>
                <w:color w:val="auto"/>
              </w:rPr>
            </w:pP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Within 3 months</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3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7,943,108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7,985,886</w:t>
            </w:r>
          </w:p>
        </w:tc>
        <w:tc>
          <w:tcPr>
            <w:tcW w:w="8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10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7,943,108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7,985,886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December 31, 2020 and 2019.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3"/>
          </w:tcPr>
          <w:p>
            <w:pPr>
              <w:ind w:left="5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57"/>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w w:val="99"/>
              </w:rPr>
              <w:t>Available for sale securities (all unrealized holding gains 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center"/>
              <w:ind w:left="37"/>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Holding</w:t>
            </w:r>
          </w:p>
        </w:tc>
      </w:t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losses are less than 12 months at date of measurement)</w:t>
            </w:r>
          </w:p>
        </w:tc>
        <w:tc>
          <w:tcPr>
            <w:tcW w:w="14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5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Gains (Losses)</w:t>
            </w:r>
          </w:p>
        </w:tc>
        <w:tc>
          <w:tcPr>
            <w:tcW w:w="14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Gains (Losses)</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Investments in debt securities with unrealized losses</w:t>
            </w:r>
          </w:p>
        </w:tc>
        <w:tc>
          <w:tcPr>
            <w:tcW w:w="140" w:type="dxa"/>
            <w:vAlign w:val="bottom"/>
          </w:tcPr>
          <w:p>
            <w:pPr>
              <w:spacing w:after="0"/>
              <w:rPr>
                <w:sz w:val="20"/>
                <w:szCs w:val="20"/>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F-16</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3" w:name="page134"/>
    <w:bookmarkEnd w:id="133"/>
    <w:p>
      <w:pPr>
        <w:jc w:val="both"/>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442,987</w:t>
            </w:r>
          </w:p>
        </w:tc>
        <w:tc>
          <w:tcPr>
            <w:tcW w:w="100" w:type="dxa"/>
            <w:vAlign w:val="bottom"/>
            <w:shd w:val="clear" w:color="auto" w:fill="CCEEFF"/>
          </w:tcPr>
          <w:p>
            <w:pPr>
              <w:spacing w:after="0"/>
              <w:rPr>
                <w:sz w:val="18"/>
                <w:szCs w:val="18"/>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Realized gains</w:t>
            </w: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53,354</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57,895</w:t>
            </w:r>
          </w:p>
        </w:tc>
      </w:tr>
      <w:tr>
        <w:trPr>
          <w:trHeight w:val="229"/>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FASB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2020 and 2019. There were no transfers of assets or liabilities between Level 1 and Level 2 and no transfers in or out of Level 3 during the years ended December 31, 2020 and 2019.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Quoted Prices in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Active Markets for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Assets/Liabilities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474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Total Fair Value</w:t>
            </w:r>
          </w:p>
        </w:tc>
        <w:tc>
          <w:tcPr>
            <w:tcW w:w="180" w:type="dxa"/>
            <w:vAlign w:val="bottom"/>
          </w:tcPr>
          <w:p>
            <w:pPr>
              <w:spacing w:after="0"/>
              <w:rPr>
                <w:sz w:val="20"/>
                <w:szCs w:val="20"/>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41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Non-recurring items as of December 31, 2020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R&amp;D (Note 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13,366,234</w:t>
            </w:r>
          </w:p>
        </w:tc>
        <w:tc>
          <w:tcPr>
            <w:tcW w:w="1760" w:type="dxa"/>
            <w:vAlign w:val="bottom"/>
            <w:gridSpan w:val="2"/>
            <w:shd w:val="clear" w:color="auto" w:fill="CCEEFF"/>
          </w:tcPr>
          <w:p>
            <w:pPr>
              <w:jc w:val="right"/>
              <w:ind w:right="14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7,985,886</w:t>
            </w:r>
          </w:p>
        </w:tc>
        <w:tc>
          <w:tcPr>
            <w:tcW w:w="1760" w:type="dxa"/>
            <w:vAlign w:val="bottom"/>
            <w:gridSpan w:val="2"/>
          </w:tcPr>
          <w:p>
            <w:pPr>
              <w:jc w:val="right"/>
              <w:ind w:right="141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7,985,886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Non-recurring items as of December 31, 2019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R&amp;D (Note 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15,736,491</w:t>
            </w:r>
          </w:p>
        </w:tc>
        <w:tc>
          <w:tcPr>
            <w:tcW w:w="1760" w:type="dxa"/>
            <w:vAlign w:val="bottom"/>
            <w:gridSpan w:val="2"/>
            <w:shd w:val="clear" w:color="auto" w:fill="CCEEFF"/>
          </w:tcPr>
          <w:p>
            <w:pPr>
              <w:jc w:val="right"/>
              <w:ind w:right="14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Earn-out milestone liability (Note 12)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7,018,000</w:t>
            </w:r>
          </w:p>
        </w:tc>
        <w:tc>
          <w:tcPr>
            <w:tcW w:w="1760" w:type="dxa"/>
            <w:vAlign w:val="bottom"/>
            <w:gridSpan w:val="2"/>
          </w:tcPr>
          <w:p>
            <w:pPr>
              <w:jc w:val="right"/>
              <w:ind w:right="141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7,017,000</w:t>
            </w:r>
          </w:p>
        </w:tc>
      </w:tr>
      <w:tr>
        <w:trPr>
          <w:trHeight w:val="216"/>
        </w:trPr>
        <w:tc>
          <w:tcPr>
            <w:tcW w:w="4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5,717,709</w:t>
            </w:r>
          </w:p>
        </w:tc>
        <w:tc>
          <w:tcPr>
            <w:tcW w:w="1760" w:type="dxa"/>
            <w:vAlign w:val="bottom"/>
            <w:gridSpan w:val="2"/>
            <w:shd w:val="clear" w:color="auto" w:fill="CCEEFF"/>
          </w:tcPr>
          <w:p>
            <w:pPr>
              <w:jc w:val="right"/>
              <w:ind w:right="14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5,717,709</w:t>
            </w:r>
          </w:p>
        </w:tc>
      </w:tr>
      <w:tr>
        <w:trPr>
          <w:trHeight w:val="439"/>
        </w:trPr>
        <w:tc>
          <w:tcPr>
            <w:tcW w:w="4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F-17</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ovarian cancer indication, with original value of $13.3 million, has not been impaired since its acquisition. At September 30, 2020, the Company evaluated its IPR&amp;D of the ovarian cancer indication and concluded that it is not more likely than not that the asset is impaired. As no other indicators of impairment existed during the fourth quarter of 2020 or 2019, no impairment charges were recorded during 2020 or 2019.</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GBM candidate, with original value of $9.4 million had cumulative impairments through 2018 of $7 million, with remaining carrying value of $2.4 million at December 31, 2019. On September 30, 2020, the Company evaluated its IPR&amp;D for the (GBM) product candidate and concluded that it is more likely than not that the asset is further impaired. After this assessment on September 30, 2020, the Company wrote off the remaining $2.4 million of this asset, thereby recognizing a non-cash charge of $2.4 million in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$227,316 in 2020 and 2019. The carrying value of the Covenant Not to Compete was $113,660, net of $1,477,554 accumulated amortization, as of December 31, 2020 and $340,976, net of $1,250,238 accumulated amortization as of December 31, 2019. The Covenant Not to Compete will be fully amortized by the end of the second quarter of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2020, we concluded that the Company’s fair value exceeded its carrying value therefore “it is not more likely than not” that the Goodwill was impaired. As no other indicators of impairment existed during the fourth quarters of 2020 or 2019, the Company concluded it is “not more likely than not” Goodwill was impaired.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net fair value of the assets acquired in the EGEN acquisition for the two years ended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Covenant Not to</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IPR&amp;D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Compete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15,736,491</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1,976,101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568,292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(227,316)</w:t>
            </w:r>
          </w:p>
        </w:tc>
        <w:tc>
          <w:tcPr>
            <w:tcW w:w="0" w:type="dxa"/>
            <w:vAlign w:val="bottom"/>
          </w:tcPr>
          <w:p>
            <w:pPr>
              <w:spacing w:after="0"/>
              <w:rPr>
                <w:sz w:val="1"/>
                <w:szCs w:val="1"/>
                <w:color w:val="auto"/>
              </w:rPr>
            </w:pPr>
          </w:p>
        </w:tc>
      </w:tr>
      <w:tr>
        <w:trPr>
          <w:trHeight w:val="24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2019, net</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15,736,491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1,976,101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340,976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(227,316)</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(2,370,257)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13,366,234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w w:val="93"/>
              </w:rPr>
              <w:t>Property and equipment at December 31, 2020 and 2019 consist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7"/>
          </w:tcPr>
          <w:p>
            <w:pPr>
              <w:jc w:val="right"/>
              <w:ind w:right="1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2,832,995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344,939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327,278</w:t>
            </w:r>
          </w:p>
        </w:tc>
        <w:tc>
          <w:tcPr>
            <w:tcW w:w="0" w:type="dxa"/>
            <w:vAlign w:val="bottom"/>
          </w:tcPr>
          <w:p>
            <w:pPr>
              <w:spacing w:after="0"/>
              <w:rPr>
                <w:sz w:val="1"/>
                <w:szCs w:val="1"/>
                <w:color w:val="auto"/>
              </w:rPr>
            </w:pPr>
          </w:p>
        </w:tc>
      </w:tr>
      <w:tr>
        <w:trPr>
          <w:trHeight w:val="24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343,202</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343,202</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3,521,136</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3,502,044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(3,226,585)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(3,096,681)</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294,551</w:t>
            </w:r>
          </w:p>
        </w:tc>
        <w:tc>
          <w:tcPr>
            <w:tcW w:w="1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OTHER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at December 31, 2020 and 2019 include the following: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and related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professional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636,000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475,440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1,736,271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1,604,541</w:t>
            </w: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66,850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204,155</w:t>
            </w: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19,411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19,411</w:t>
            </w:r>
          </w:p>
        </w:tc>
      </w:tr>
      <w:tr>
        <w:trPr>
          <w:trHeight w:val="230"/>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2,458,532</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2,303,547</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160" w:space="720"/>
            <w:col w:w="3360"/>
          </w:cols>
          <w:pgMar w:left="320" w:top="665" w:right="339" w:bottom="1440" w:gutter="0" w:footer="0" w:header="0"/>
          <w:type w:val="continuous"/>
        </w:sectPr>
      </w:pPr>
    </w:p>
    <w:bookmarkStart w:id="136" w:name="page137"/>
    <w:bookmarkEnd w:id="136"/>
    <w:p>
      <w:pPr>
        <w:ind w:right="9160" w:firstLine="8"/>
        <w:spacing w:after="0" w:line="566" w:lineRule="auto"/>
        <w:tabs>
          <w:tab w:leader="none" w:pos="18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NOTES PAYABLE Horizon Credit Agreement</w:t>
      </w:r>
    </w:p>
    <w:p>
      <w:pPr>
        <w:jc w:val="both"/>
        <w:spacing w:after="0" w:line="279"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“Amendment”) whereby Celsion repaid $5 million of the $10 million loan and $0.2 million in related end of term charges, and the remaining $5 million in obligations were restructured as set forth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Amendment, the remaining $5 million in obligations of Celsion under the Initial Horizon Credit Agreement are secured by a first-priority security interest in substantially all assets of Celsion other than intellectual property assets. The obligations bear interest at a rate calculated based an amount by which the one-month LIBOR exceeds 2% plus 7.625%. In no event shall the interest rate be less than 9.625%. Payments pursuant to the Amendment are interest only for the first twelve (12) months after August 1, 2020, followed by a 21-month amortization period of principal and interest through the scheduled maturity date. In addition, the remaining $5 million in obligations is subject to an end of term fee equal, in the aggregate, to $275,000, which amount shall be payable upon the maturity of the obligations or upon the date of final payment or default, as applicable. In connection with the Amendment, Celsion agreed to a liquidity covenant which provides that, at all times, Celsion shall maintain unrestricted cash and/or cash equivalents on deposit in accounts over which the applicable Lenders maintain an account control agreement in an amount not less than $2.5 million. In addition, pursuant to the Amendment, Celsion has agreed to provide evidence to Horizon on or before March 31, 2021, that it has received aggregate cash proceeds of not less than $5 million from the sale of equity, debt, its New Jersey net operating losses, or a combination thereof, subsequent to the date of the Amendment. The Company met this requirement during the fourth quarter of 2020.</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Horizon Credit Agreement, the Company incurred financing fees and expenses totaling $175,000 which were recorded and classified as debt discount. In addition, the Company paid loan origination fees of $100,000 which were recorded and classified as debt discount. These debt discount amounts totaling $782,116 were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were being amortized as interest expense using the effective interest method over the life of the loan.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fee in connection with the Horizon Credit Agreement, Celsion issued Horizon warrants exercisable for a total of 190,114 shares of Celsion’s common stock (the “Existing Warrants”) at a per share exercise price of $2.63. The Horizon Warrants were immediately exercisable for cash or by net exercise from the date of grant and will expire after ten years from the date of grant. The Company valued the Horizon Warrants issued using the Black-Scholes option pricing model and recorded a total of $507,116 as a direct deduction from the debt liability, consistent with the presentation of debt discounts, and are being amortized as interest expense using the effective interest method over the life of the loan. Pursuant to the Amendment, one-half of the aggregate Existing Warrants, exercisable for a total of 95,057 shares of Celsion’s common stock, have been canceled, and, in connection with the Amendment, Celsion issued Horizon new warrants exercisable at a per share exercise price equal to $1.01 for a total of 247,525 shares of Celsion’s common stock (the “New Warrants” and, together with the Existing Warrants, the “Warrants”). The remaining 95,057 Existing Warrants issued in connection with the Initial Horizon Credit Agreement remain outstanding at a per share exercise price of $2.63.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Warrants are immediately exercisable for cash or by net exercise from the date of grant and will expire after ten years from the date of grant. Effective October 27, 2020. 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Amendment was evaluated in accordance with FASB ASC 470-50, </w:t>
      </w:r>
      <w:r>
        <w:rPr>
          <w:rFonts w:ascii="Arial" w:cs="Arial" w:eastAsia="Arial" w:hAnsi="Arial"/>
          <w:sz w:val="18"/>
          <w:szCs w:val="18"/>
          <w:i w:val="1"/>
          <w:iCs w:val="1"/>
          <w:color w:val="auto"/>
        </w:rPr>
        <w:t>Debt-Modifications and Extinguishments</w:t>
      </w:r>
      <w:r>
        <w:rPr>
          <w:rFonts w:ascii="Arial" w:cs="Arial" w:eastAsia="Arial" w:hAnsi="Arial"/>
          <w:sz w:val="18"/>
          <w:szCs w:val="18"/>
          <w:color w:val="auto"/>
        </w:rPr>
        <w:t>, for debt modification and extinguishment accounting. We accounted for the $5 million we repaid as a debt extinguishment thereby reducing the principal obligations accordingly. Also, in connection with the $5 million repayment, we recognized as interest expense, approximately $0.2 million of unamortized debt discount, deferred financing and end of term fees related to the repaid obligation in August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jc w:val="both"/>
        <w:spacing w:after="0" w:line="255" w:lineRule="auto"/>
        <w:rPr>
          <w:sz w:val="20"/>
          <w:szCs w:val="20"/>
          <w:color w:val="auto"/>
        </w:rPr>
      </w:pPr>
      <w:r>
        <w:rPr>
          <w:rFonts w:ascii="Arial" w:cs="Arial" w:eastAsia="Arial" w:hAnsi="Arial"/>
          <w:sz w:val="18"/>
          <w:szCs w:val="18"/>
          <w:color w:val="auto"/>
        </w:rPr>
        <w:t>We accounted for the remaining $5 million of obligation under the Amendment as a debt modification to the initial agreement with respect to the minor changes in cash flows. Also, in connection with the $5 million remaining obligations, we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incurred $808,899 in interest expense and amortized $483,439 as interest expense for debt discounts and end of term charges in connection with the Horizon Credit Agreement. During 2019, the Company incurred $1,006,760 in interest expense and amortized $386,640 as interest expense for debt discounts and end of term charges in connection with the Horizon Credit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principal payments, net of unamortized debt discounts and amortized end of term charges, due on the Horizon Credit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For the year ending</w:t>
            </w:r>
          </w:p>
        </w:tc>
      </w:tr>
      <w:tr>
        <w:trPr>
          <w:trHeight w:val="241"/>
        </w:trPr>
        <w:tc>
          <w:tcPr>
            <w:tcW w:w="9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1,190,475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2,857,140</w:t>
            </w:r>
          </w:p>
        </w:tc>
        <w:tc>
          <w:tcPr>
            <w:tcW w:w="80" w:type="dxa"/>
            <w:vAlign w:val="bottom"/>
          </w:tcPr>
          <w:p>
            <w:pPr>
              <w:spacing w:after="0"/>
              <w:rPr>
                <w:sz w:val="18"/>
                <w:szCs w:val="18"/>
                <w:color w:val="auto"/>
              </w:rPr>
            </w:pPr>
          </w:p>
        </w:tc>
      </w:tr>
      <w:tr>
        <w:trPr>
          <w:trHeight w:val="24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952,385</w:t>
            </w:r>
          </w:p>
        </w:tc>
        <w:tc>
          <w:tcPr>
            <w:tcW w:w="80" w:type="dxa"/>
            <w:vAlign w:val="bottom"/>
            <w:shd w:val="clear" w:color="auto" w:fill="CCEEFF"/>
          </w:tcPr>
          <w:p>
            <w:pPr>
              <w:spacing w:after="0"/>
              <w:rPr>
                <w:sz w:val="21"/>
                <w:szCs w:val="21"/>
                <w:color w:val="auto"/>
              </w:rPr>
            </w:pPr>
          </w:p>
        </w:tc>
      </w:tr>
      <w:tr>
        <w:trPr>
          <w:trHeight w:val="203"/>
        </w:trPr>
        <w:tc>
          <w:tcPr>
            <w:tcW w:w="9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of future principal payments</w:t>
            </w:r>
          </w:p>
        </w:tc>
        <w:tc>
          <w:tcPr>
            <w:tcW w:w="2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 net</w:t>
            </w:r>
          </w:p>
        </w:tc>
        <w:tc>
          <w:tcPr>
            <w:tcW w:w="2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51,160</w:t>
            </w:r>
          </w:p>
        </w:tc>
      </w:tr>
      <w:tr>
        <w:trPr>
          <w:trHeight w:val="217"/>
        </w:trPr>
        <w:tc>
          <w:tcPr>
            <w:tcW w:w="90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5,051,160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2020, we entered into a loan agreement with Silicon Valley Bank (the “April PPP Loan”), pursuant to the Paycheck Protection Program (the “PPP”), established pursuant to the recently enacted Coronavirus Aid, Relief, and Economic Security Act (the “CARES Act”) and administered by the U.S. Small Business Administration (“SBA”). We thereafter received proceeds of $632,220 under the April PPP Loan. The April PPP Loan application required Celsion to certify that there was economic uncertainty surrounding the Company and that, as such, the April PPP Loan was necessary to support our ongoing operations. Celsion made this certification in good faith after analyzing, among other things, its financial situation and access to alternative forms of capital and believed that the Company satisfied all eligibility criteria for the April PPP Loan, and that our receipt of the April PPP Loan proceeds was consistent with the broad objectives of the PPP of the CARES Act. The certification given with respect to the April PPP Loan did not contain any objective criteria and was subject to interpretation. Considering subsequent guidance issued by the SBA in consultation with the U.S. Department of the Treasury at that time, out of an abundance of caution we returned the proceeds of the PPP Loan in full on May 13, 2020.</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Shortly after the April PPP Loan was repaid, the SBA provided further guidance with respect to these certifications providing a safe harbor under which companies such as Celsion with PPP loans of less than $2 million will be deemed to have made these certifications in good faith. Therefore, as the Company continued to believe it qualifies for a loan under the PPP, it reapplied for and eventually received the new PPP Loan for $692,530 on May 26, 2020 (the “May PPP Loan”). The May PPP Loan was guaranteed by the SBA and evidenced by a promissory note of the Company dated May 26, 2020 (the “Note”) in the principal amount of $692,530 payable to the lender. Pursuant to the terms of the Note, was payable in part or in full, at any time, without penalty. On June 22, 2020, as disclosed in the Company’s Current Report on Form 8-K filed on the same date, the Company commenced an offering of 2,666,667 shares of its common stock which closed on June 24, 2020 (Note 10) and received net proceeds of approximately $9.1 million. In light of the proceeds received from this equity offering, the Company elected to repay the May PPP Loan in full (including interest accrued of $577) on June 24, 2020, terminating all obligations of the Company under the Note.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3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w w:val="93"/>
              </w:rPr>
              <w:t>The income tax provision (benefit) for the years ended December 31, 2020 and 2019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72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Current</w:t>
            </w:r>
          </w:p>
        </w:tc>
        <w:tc>
          <w:tcPr>
            <w:tcW w:w="3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State and Local</w:t>
            </w: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(1,845,823)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(1,816,474)</w:t>
            </w:r>
          </w:p>
        </w:tc>
      </w:tr>
      <w:tr>
        <w:trPr>
          <w:trHeight w:val="229"/>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(1,845,823</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statutory tax rate to the effective rate for the years ended December 31, 2020 and 2019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and deferred rate change, net</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7"/>
        </w:trPr>
        <w:tc>
          <w:tcPr>
            <w:tcW w:w="7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tax rate</w:t>
            </w: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w w:val="93"/>
              </w:rPr>
              <w:t>The components of the Company’s deferred tax asset as of December 31, 2020 and 2019 are as follows:</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60,446,000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r>
              <w:rPr>
                <w:rFonts w:ascii="Arial" w:cs="Arial" w:eastAsia="Arial" w:hAnsi="Arial"/>
                <w:sz w:val="18"/>
                <w:szCs w:val="18"/>
                <w:color w:val="auto"/>
              </w:rPr>
              <w:t>Other Deferred tax assets, net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5,182,000</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254,000</w:t>
            </w:r>
          </w:p>
        </w:tc>
        <w:tc>
          <w:tcPr>
            <w:tcW w:w="0" w:type="dxa"/>
            <w:vAlign w:val="bottom"/>
          </w:tcPr>
          <w:p>
            <w:pPr>
              <w:spacing w:after="0"/>
              <w:rPr>
                <w:sz w:val="1"/>
                <w:szCs w:val="1"/>
                <w:color w:val="auto"/>
              </w:rPr>
            </w:pPr>
          </w:p>
        </w:tc>
      </w:tr>
      <w:tr>
        <w:trPr>
          <w:trHeight w:val="216"/>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65,628,000</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58,497,000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r>
              <w:rPr>
                <w:rFonts w:ascii="Arial" w:cs="Arial" w:eastAsia="Arial" w:hAnsi="Arial"/>
                <w:sz w:val="18"/>
                <w:szCs w:val="18"/>
                <w:color w:val="auto"/>
              </w:rPr>
              <w:t>Valuation allowance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(63,782,177)</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(56,677,676)</w:t>
            </w:r>
          </w:p>
        </w:tc>
        <w:tc>
          <w:tcPr>
            <w:tcW w:w="0" w:type="dxa"/>
            <w:vAlign w:val="bottom"/>
          </w:tcPr>
          <w:p>
            <w:pPr>
              <w:spacing w:after="0"/>
              <w:rPr>
                <w:sz w:val="1"/>
                <w:szCs w:val="1"/>
                <w:color w:val="auto"/>
              </w:rPr>
            </w:pPr>
          </w:p>
        </w:tc>
      </w:tr>
      <w:tr>
        <w:trPr>
          <w:trHeight w:val="229"/>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1,845,823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1,819,324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As of December 31, 2020, the Company has established a valuation reserve for its deferred income tax assets other than those related to its New Jersey NOLs. At December 31, 2020, after its evaluation of its New Jersey NOLs as discussed more fully below, the Company reduced the valuation reserve and recognized $1.8 million as a deferred income tax asset. Such tax assets are available to be recognized and benefit future periods. As of December 31, 2020, the Company had federal net operating loss carryforwards of approximately $274 million, net of net operating losses utilized in prior years of which $225 million, if unused, will expire starting in 2022 through 2037. The Federal net operating loss generated for the years ended December 31, 2018, 2019 and 2020 of approximately $45 million can be carried forward indefinitely. However, the deduction for net operating losses incurred in tax years beginning after January 1, 2018 is limited to 80% of annual taxable income. On March 27, 2020, the Coronavirus Aid, Relief, and Economic Security Act (“CARES Act”) was enacted in response to the COVID-19 pandemic. The CARES Act provides for economic and cash liquidity stimulus through various means including payroll tax credits, payroll tax deferral, short term changes in tax deductibility of interest expenses among other things. The Act also permits NOL carryovers and carrybacks to offset 100% of taxable income for taxable years beginning before 2021. Previously, NOLs generated after December 31, 2017 were limited to 80% of taxable income in future years. In addition, the CARES Act allows NOLs incurred in 2018, 2019 and 2020 to be carried back to each of the five preceding tax years. The Company evaluated the various aspects of the Act and determined that there was no material effect on the Financial Statements. As of December 31, 2020, the Company had state net operating loss carryforwards of approximately $39 million, net of net operating losses utilized in prior years, and, if unused, will expire starting in 2029 through 2040.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spacing w:after="0" w:line="285" w:lineRule="auto"/>
        <w:rPr>
          <w:sz w:val="20"/>
          <w:szCs w:val="20"/>
          <w:color w:val="auto"/>
        </w:rPr>
      </w:pPr>
      <w:r>
        <w:rPr>
          <w:rFonts w:ascii="Arial" w:cs="Arial" w:eastAsia="Arial" w:hAnsi="Arial"/>
          <w:sz w:val="16"/>
          <w:szCs w:val="16"/>
          <w:color w:val="auto"/>
        </w:rPr>
        <w:t>During 2020, 2019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ownership changes, as defined by Section 382, in connection with certain common stock offerings in July 2011, February 2013, June 2013, June 2015, February 2017, June 2017, October 2017, August 2018 and February 2020. As a result, the utilization of the Company’s federal tax net operating loss carry forwards generated prior to the ownership changes are limited. As of December 31, 2020, the Company has net operating loss carry forwards for U.S. federal and state tax purposes of approximately $266 million, before excluding net operating losses that have been limited as a result of Section 382 limitations. The annual limitation due to Section 382 for net operating loss carry forward utilization is approximately $4.2 million per year for approximately $90 million in net operating loss carry forwards existing at the ownership change occurring in July 2011, approximately $1.4 million per year for approximately $34 million of additional net operating losses occurring from July 2011 to the ownership change that occurred in February 2013, approximately $1.5 million per year for approximately $4 million of additional net operating losses occurring from February 2013 to the ownership change that occurred in June 2013, approximately $1.6 million per year for approximately $40 million of additional net operating losses occurring from June 2013 to the ownership change that occurred in June 2015, approximately $0.3 million per year for approximately $35 million of additional net operating losses occurring from June 2015 to the ownership change that occurred in February 2017, approximately $0.3 million per year for approximately $7 million of additional net operating losses occurring from February 2017 to the ownership change that occurred in June 2017, approximately $0.8 million per year for approximately $5 million of additional net operating losses occurring from June 2017 to the ownership change that occurred in October 2017, and approximately $1.5 million per year for approximately $30 million of additional net operating losses occurring from October 2017 to the ownership change that occurred in August 2018, approximately $0.8 million per year for approximately $15 million of additional net operating losses occurring from August 2018 to the ownership change that occurred in February 2020. The utilization of these net operating loss carry forwards may be further limited if the Company experiences future ownership changes as defined in Section 382 of the Internal Revenue Code.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New Jersey Net Operating Losses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2020 and 2019, the Company applied for and received approval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companies.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2021, the Company entered into an agreement to sell the approved portion of the New Jersey NOLs applied for in 2020 for $1.85 million. At December 31, 2020, the Company evaluated the valuation reserve for its tax net operating losses associated with its New Jersey NOLs and reduced the valuation reserve and recognized $1.85 million as a deferred income tax asset and an income tax benefit. The Company expects to complete the sale of these net operating losses by the end of the first quarter of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the Company entered into an agreement to sell the approved portion of the New Jersey NOLs applied for in 2019 for $1.8 million. At December 31, 2019, the Company evaluated the valuation reserve for its tax net operating losses associated with its New Jersey NOLs and reduced the valuation reserve and recognized $1.8 million as a deferred income tax asset and an income tax benefit. The Company completed the sale of these net operating losses in the second quarter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during January 2021, has been fully utilized.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2019, the Company sold and issued an aggregate of 0.5 million shares under the Capital on Demand Agreement, receiving approximately $1.0 million in gross proceeds. During 2020, the Company sold and issued an aggregate of 5.2 million shares under the Capital on Demand Agreement, receiving approximately $6.2 million in gross proceeds. During 2021 through the date of this Annual Report on Form 10K, the Company has sold 7.2 million shares under the Capital on Demand Agreement, receiving approximately $6.9 million in gross proceeds under the Capital on Demand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u w:val="single" w:color="auto"/>
          <w:color w:val="auto"/>
        </w:rPr>
        <w:t>February 2020 Registered Direct Offering</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February 2020 Purchase Agreement contained customary representations, warranties and agreements by the Company and customary conditions to closing.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thus far, the Company has issued 1.2 million shares pursuant to investors exercising Exchange Warrants, receiving approximately $1.5 million.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 including for liabilities under the Securities Act, other obligations of the parties, and termination provisions. Pursuant to the Underwriting Agreement, until December 31, 2020, the Underwriter shall have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shall have the sole right to determine whether or not any other broker dealer shall have the right to participate in any such offering and the economic terms of any such participation. Pursuant to the Underwriting Agreement, subject to certain exceptions, the Company and certain of the Company’s executive officers and directors have agreed that, without the prior written consent of the Underwriter and subject to certain negotiated exceptions, they will not, for a period of 60 days, in either case, following the date of the final prospectus supplement, sell or otherwise dispose of any of the Company’s securities held by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LPC Purchase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1" w:name="page142"/>
    <w:bookmarkEnd w:id="141"/>
    <w:p>
      <w:pPr>
        <w:jc w:val="both"/>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and subject to certain conditions, including that the closing price of our Common Stock is not below $0.25 per share, to direct Lincoln Park to purchase up to an aggregate amount of $26.0 million (subject to certain limitations) of shares of Common Stock. Under the Purchase Agreement, on any business day selected by us, we may direct Lincoln Park to purchase up to 400,000 shares (the “Regular Purchase Share Limit”) of our Common Stock (each such purchase, a “Regular Purchase”). Lincoln Park’s maximum obligation under any single Regular Purchase will not exceed $1,500,000 unless we mutually agree to increase the maximum amount of such Regular Purchase. The purchase price for shares of Common Stock to be purchased by Lincoln Park under a Regular Purchase will be the equal to the lower of (in each case, subject to the adjustments described in the LPC Purchase Agreement): (i) the lowest sale price for our Common Stock on The Nasdaq Capital Market on the applicable purchase date, and (ii) the arithmetic average of the three lowest sale prices for our Common Stock on The Nasdaq Capital Market during the ten trading days prior to the purchase date.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direct Lincoln Park to purchase the maximum number of shares of Common Stock we then may sell in a Regular Purchase, then in addition to such Regular Purchase, and subject to certain conditions and limitations in the LPC Purchase Agreement, we may direct Lincoln Park to make an “accelerated purchase” of an additional amount of Common Stock that may not exceed the lesser of (i) 300% of the number of shares purchased pursuant to the corresponding Regular Purchase and (ii) 30% of the total number of shares of our Common Stock traded on The Nasdaq Capital Market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Purchase Agreement prohibits us from issuing or selling to Lincoln Park under the Purchase Agreement: (i) in excess of 6,688,588 shares of our Common Stock (the “Exchange Cap”), unless we obtain stockholder approval to issue shares in excess of the Exchange Cap or the average price of all applicable sales of our Common Stock to Lincoln Park under the LPC Purchase Agreement equal or exceed the lower of (a) the Nasdaq Official Closing Price (as defined in the Purchase Agreement) immediately preceding the execution of the LPC Purchase Agreement or (b) the average of the five Nasdaq Official Closing Prices for the Common Stock immediately preceding the execution of the LPC Purchase Agreement, as adjusted in accordance with the rules of The Nasdaq Capital Market, and (ii) any shares of our Common Stock if those shares, when aggregated with all other shares of our Common Stock then beneficially owned by Lincoln Park and its affiliates would result in Lincoln Park and its affiliates having beneficial ownership of more than 9.99% of the then total outstanding shares of our Common Stock.</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LPC Purchase Agreement does not limit our ability to raise capital from other sources at our sole discretion, except that we may not enter into any equity line or similar transaction for 36 months, other than an “at-the-market” offering. The LPC Purchase Agreement and the Registration Rights Agreement contain customary representations, warranties and agreements of us and Lincoln Park, indemnification rights and other obligations of the parties. We have the right to terminate the Purchase Agreement at any time on one business day’s notice to Lincoln Park, at no cost to 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consideration for entering into the Purchase Agreement, we issued 437,828 shares of our Common Stock to Lincoln Park (the “LPC Commitment Shares”). We will not receive any cash proceeds from the issuance of the LPC Commitment Shares. Also pursuant to the LPC Purchase Agreement, Lincoln Park agreed to an initial purchase of 1,000,000 shares of our Common Stock for an aggregate purchase price of $1,000,000 or $1.00 per share. Lincoln Park has covenanted not to cause or engage in any manner whatsoever, any direct or indirect short selling or hedging of our shares of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sold and issued an aggregate of 3.3 million shares, including the LPC Commitment Shares, under the LPC Purchase Agreement, receiving approximately $2.2 million in gross proceeds. The Company sent a letter to Lincoln Park terminating the LPC Offering effective January 21, 2021. The Company did not sell any shares under the LPC Purchase Agreement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31, 2018, the Company entered into a common stock purchase agreement (the “2018 Aspire Purchase Agreement”) with Aspire Capital Fund, LLC (“Aspire Capital”) which provides that, upon the terms and subject to the conditions and limitations set forth therein, Aspire Capital was committed to purchase up to an aggregate of $15.0 million of shares of the Company’s common stock over the 24-month term of the 2019 Aspire Purchase Agreement. During 2018, the Company sold and issued an aggregate of 0.1 million shares under the 2018 Aspire Purchase Agreement, receiving approximately $0.2 million. During 2019, the Company sold and issued an aggregate of 3.3 million shares under the 2018 Aspire Purchase Agreement, receiving approximately $6.3 million. As a result of the Company and Aspire entering into a new purchase agreement on October 28, 2019 (the “2019 Aspire Purchase Agreement”) discussed in the next paragraph, the 2018 Aspire Purchase Agreement was terminated.</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2019 Aspire Purchase Agreement provided that, upon the terms and subject to the conditions and limitations set forth therein, Aspire Capital was committed to purchase up to an aggregate of $10.0 million of shares of the Company’s common stock over the 24-month term of the 2019 Aspire Purchase Agreement. During 2019, the Company sold and issued an aggregate of 0.5 million shares under the 2019 Aspire Purchase Agreement, receiving approximately $0.7 million. During the first quarter of 2020 through March 5, 2020 when the Company delivered notice to Aspire terminating the 2019 Aspire Purchase Agreement, the Company sold 1.0 million shares of common stock under the Aspire Purchase Agreement, receiving approximately $1.6 million in additional gross proceeds.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2021 Registered Direct Offering</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Placement Agents (as defined below) fee and offering expenses. The January 2021 Purchase Agreement contains customary representations, warranties and agreements by the Company and customary conditions to closing. The closing of the January 2021 Offering occurred on January 26, 2021.</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January 2021 Placement Agent Agreement contains customary representations, warranties and agreements by the Company, customary conditions to closing, indemnification obligations of the Company and the January 2021 Placement Agents, including for liabilities under the Securities Act, other obligations of the parties and termination provisions. Under the January 2021 Purchase Agreement and January 2021 Placement Agent Agreement, the Company and its subsidiary are prohibited, for a period of 90 days after the closing, from issuing, entering into any agreement to issue or announcing the issuance or proposed issuance of any shares of common stock or any other securities that are at any time convertible into, or exercisable or exchangeable for, or otherwise entitle the holder thereof to receive common stock, without the prior written consent of the placement agents or the investors participating in the offering, subject to specific exceptions.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18"/>
          <w:szCs w:val="18"/>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2,500,000 to a total of 6,400,000 under the 2018 Plan, as amended.</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there were a total of 6,505,924 shares of Celsion common stock reserved for issuance under the 2018 Plan, which were comprised of 4,484,721 shares of Celsion common stock subject to equity awards previously granted under the 2018 Plan and 2007 Plan and 2,018,453 shares of Celsion common stock available for future issuance under the 2018 Plan. As of December 31, 2020, there were a total of 140,004 shares of Celsion common stock subject to outstanding inducement awards.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compensation cost related to stock options and restricted stock awards was approximately $1.9 million and $2.3 million during 2020 and 2019, respectively. Of these amounts, $0.8 million and $0.9 million was charged to research and development expenses during 2020 and 2019, respectively, and $1.1 million and $1.4 million was charged to general and administrative expenses during 2020 and 2019, respectively. In connection with the Company’s annual 2019 bonus program, the Company issued 429,855 shares of common stock from the 2018 Stock Incentive Plan in lieu of paying cash for 50% of the annual bonus awards. These amounts were fully accrued for in the consolidated financial statements for the year ended December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auto"/>
        </w:rPr>
        <w:t>A summary of stock option awards as of December 31, 2020 and changes during the two-year period ended December 31, 2020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Average Exercise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4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0"/>
                <w:szCs w:val="20"/>
                <w:color w:val="auto"/>
              </w:rPr>
            </w:pPr>
          </w:p>
        </w:tc>
        <w:tc>
          <w:tcPr>
            <w:tcW w:w="106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Term (years)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3,148,743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2.67</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1,250,754</w:t>
            </w:r>
          </w:p>
        </w:tc>
        <w:tc>
          <w:tcPr>
            <w:tcW w:w="180" w:type="dxa"/>
            <w:vAlign w:val="bottom"/>
          </w:tcPr>
          <w:p>
            <w:pPr>
              <w:spacing w:after="0"/>
              <w:rPr>
                <w:sz w:val="18"/>
                <w:szCs w:val="18"/>
                <w:color w:val="auto"/>
              </w:rPr>
            </w:pP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2.00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canceled or expired</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(67,355)</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2.50</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47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4,332,142</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jc w:val="right"/>
              <w:ind w:right="87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320"/>
              <w:spacing w:after="0" w:line="203" w:lineRule="exact"/>
              <w:rPr>
                <w:sz w:val="20"/>
                <w:szCs w:val="20"/>
                <w:color w:val="auto"/>
              </w:rPr>
            </w:pPr>
            <w:r>
              <w:rPr>
                <w:rFonts w:ascii="Arial" w:cs="Arial" w:eastAsia="Arial" w:hAnsi="Arial"/>
                <w:sz w:val="18"/>
                <w:szCs w:val="18"/>
                <w:color w:val="auto"/>
                <w:w w:val="85"/>
              </w:rPr>
              <w:t>2.63</w:t>
            </w:r>
          </w:p>
        </w:tc>
        <w:tc>
          <w:tcPr>
            <w:tcW w:w="13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670,250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3.41</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Options exercised</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(140,864)</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2.12</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canceled or expired</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(236,803)</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2.14</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47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2020</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4,624,725</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200" w:type="dxa"/>
            <w:vAlign w:val="bottom"/>
            <w:tcBorders>
              <w:top w:val="single" w:sz="8" w:color="CCEEFF"/>
              <w:bottom w:val="single" w:sz="8" w:color="CCEEFF"/>
            </w:tcBorders>
            <w:gridSpan w:val="2"/>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85"/>
              </w:rPr>
              <w:t>2.77</w:t>
            </w:r>
          </w:p>
        </w:tc>
        <w:tc>
          <w:tcPr>
            <w:tcW w:w="1500" w:type="dxa"/>
            <w:vAlign w:val="bottom"/>
            <w:tcBorders>
              <w:top w:val="single" w:sz="8" w:color="CCEEFF"/>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7.8</w:t>
            </w:r>
          </w:p>
        </w:tc>
        <w:tc>
          <w:tcPr>
            <w:tcW w:w="260" w:type="dxa"/>
            <w:vAlign w:val="bottom"/>
            <w:tcBorders>
              <w:top w:val="single" w:sz="8" w:color="CCEEFF"/>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5,882</w:t>
            </w:r>
          </w:p>
        </w:tc>
      </w:tr>
      <w:tr>
        <w:trPr>
          <w:trHeight w:val="197"/>
        </w:trPr>
        <w:tc>
          <w:tcPr>
            <w:tcW w:w="4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Exercisable at December 31, 2020</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3,351,086</w:t>
            </w:r>
          </w:p>
        </w:tc>
        <w:tc>
          <w:tcPr>
            <w:tcW w:w="180" w:type="dxa"/>
            <w:vAlign w:val="bottom"/>
          </w:tcPr>
          <w:p>
            <w:pPr>
              <w:spacing w:after="0"/>
              <w:rPr>
                <w:sz w:val="21"/>
                <w:szCs w:val="21"/>
                <w:color w:val="auto"/>
              </w:rPr>
            </w:pP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2.80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restricted stock awards as of December 31, 2020 and changes during the two-year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29,250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(38,000)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2019</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431,605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(434,105)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3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(3,500)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30"/>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2020</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7"/>
          </w:tcPr>
          <w:p>
            <w:pPr>
              <w:spacing w:after="0"/>
              <w:rPr>
                <w:sz w:val="20"/>
                <w:szCs w:val="20"/>
                <w:color w:val="auto"/>
              </w:rPr>
            </w:pPr>
            <w:r>
              <w:rPr>
                <w:rFonts w:ascii="Arial" w:cs="Arial" w:eastAsia="Arial" w:hAnsi="Arial"/>
                <w:sz w:val="18"/>
                <w:szCs w:val="18"/>
                <w:color w:val="auto"/>
                <w:w w:val="93"/>
              </w:rPr>
              <w:t>A summary of stock options outstanding at December 31, 2020 by price range is as follows: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Options Outstanding</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88"/>
              </w:rPr>
              <w:t>Options Exercisable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Term</w:t>
            </w: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Term</w:t>
            </w:r>
          </w:p>
        </w:tc>
        <w:tc>
          <w:tcPr>
            <w:tcW w:w="2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4460" w:type="dxa"/>
            <w:vAlign w:val="bottom"/>
            <w:gridSpan w:val="2"/>
          </w:tcPr>
          <w:p>
            <w:pPr>
              <w:ind w:left="1180"/>
              <w:spacing w:after="0"/>
              <w:rPr>
                <w:sz w:val="20"/>
                <w:szCs w:val="20"/>
                <w:color w:val="auto"/>
              </w:rPr>
            </w:pPr>
            <w:r>
              <w:rPr>
                <w:rFonts w:ascii="Arial" w:cs="Arial" w:eastAsia="Arial" w:hAnsi="Arial"/>
                <w:sz w:val="18"/>
                <w:szCs w:val="18"/>
                <w:b w:val="1"/>
                <w:bCs w:val="1"/>
                <w:color w:val="auto"/>
              </w:rPr>
              <w:t>Range of Exercise Prices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4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$2.00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429,667</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147,276</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$2.00 to $5.00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4,130,723</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3,139,475</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7.3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5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$5.00 to $81.90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64,335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64,335</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r>
      <w:tr>
        <w:trPr>
          <w:trHeight w:val="210"/>
        </w:trPr>
        <w:tc>
          <w:tcPr>
            <w:tcW w:w="4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4,624,725</w:t>
            </w: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3,351,086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439"/>
        </w:trPr>
        <w:tc>
          <w:tcPr>
            <w:tcW w:w="4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8"/>
                <w:szCs w:val="18"/>
                <w:color w:val="auto"/>
              </w:rPr>
              <w:t>F-28</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45" w:name="page146"/>
    <w:bookmarkEnd w:id="145"/>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39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6180" w:type="dxa"/>
            <w:vAlign w:val="bottom"/>
            <w:tcBorders>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0.65% to 1.33%</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 to 3.02%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100.4% to 109.1%</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101.3 to 106.2%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 to 10.0</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 to 9.3</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As of December 31, 2020, there was $1.4 million of total unrecognized compensation cost related to non-vested stock-based compensation arrangements. That cost is expected to be recognized over a weighted-average period of 1.1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 shares have no expiration and were fair valued at $2.00 using the closing price of a share of Celsion stock on the date of issuance offset by the exercise price and recorded as a non-cash expense in the income statement and were classified as equity on the balance sheet. In October of 2020, EGWU, Inc. elected to receive 197,260 shares through a non-cash conversion exercised all 200,000 warrant shares.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the Company fair valued the earn-out milestone liability at $7.0 million and recognized a non-cash charge of $1.3 million during 2020 as a result of the change in the fair value of earn-out milestone liability of $5.7 million at December 31, 2019. In assessing the earnout milestone liability at December 31, 2020, the Company fair valued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 Company fair valued the earn-out milestone liability at $5.7 million and recognized a non-cash gain of $3.2 million during 2019 as a result of the change in the fair value of earn-out milestone liability of $8.9 million at December 31, 2018. In assessing the earnout milestone liability at December 31, 2019,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w w:val="97"/>
              </w:rPr>
              <w:t>The following is a summary of the changes in the earn-out milestone liability for 2019 and 2020:</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8,907,664</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Non-cash gain from the adjustment for the change in fair value included in 2019 net loss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(3,189,955)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Non-cash loss from the adjustment for the change in fair value included in 2020 net loss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1,300,291</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WARRANTS</w:t>
            </w: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Following is a summary of all warrant activity for the two years ended December 31, 2020: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7440" w:type="dxa"/>
            <w:vAlign w:val="bottom"/>
            <w:gridSpan w:val="2"/>
          </w:tcPr>
          <w:p>
            <w:pPr>
              <w:ind w:left="3240"/>
              <w:spacing w:after="0"/>
              <w:rPr>
                <w:sz w:val="20"/>
                <w:szCs w:val="20"/>
                <w:color w:val="auto"/>
              </w:rPr>
            </w:pPr>
            <w:r>
              <w:rPr>
                <w:rFonts w:ascii="Arial" w:cs="Arial" w:eastAsia="Arial" w:hAnsi="Arial"/>
                <w:sz w:val="18"/>
                <w:szCs w:val="18"/>
                <w:b w:val="1"/>
                <w:bCs w:val="1"/>
                <w:color w:val="auto"/>
              </w:rPr>
              <w:t>Warrants</w:t>
            </w:r>
          </w:p>
        </w:tc>
        <w:tc>
          <w:tcPr>
            <w:tcW w:w="260" w:type="dxa"/>
            <w:vAlign w:val="bottom"/>
          </w:tcPr>
          <w:p>
            <w:pPr>
              <w:spacing w:after="0"/>
              <w:rPr>
                <w:sz w:val="20"/>
                <w:szCs w:val="20"/>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4"/>
              </w:rPr>
              <w:t>Issued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Warrants outstanding at 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1,593,162</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Warrants issued during 2019 (see Note 12)</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 expired during 2019</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(1,167,064)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Warrants outstanding at December 31, 2019</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626,098</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 issued during 2020</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3,522,525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Warrants exercised during 2020 (see Note 12)</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(200,000)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9"/>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 cancelled during 2020</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(95,057)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Warrants outstanding and exercisable at December 31, 2020</w:t>
            </w:r>
          </w:p>
        </w:tc>
        <w:tc>
          <w:tcPr>
            <w:tcW w:w="2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3,853,566</w:t>
            </w: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bottom w:val="single" w:sz="8" w:color="CCEEFF"/>
            </w:tcBorders>
          </w:tcPr>
          <w:p>
            <w:pPr>
              <w:spacing w:after="0"/>
              <w:rPr>
                <w:sz w:val="22"/>
                <w:szCs w:val="22"/>
                <w:color w:val="auto"/>
              </w:rPr>
            </w:pPr>
          </w:p>
        </w:tc>
        <w:tc>
          <w:tcPr>
            <w:tcW w:w="140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Aggregate intrinsic value of outstanding warrants at December 31, 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Weighted average remaining contractual terms (years)</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February 2020 Registered Direct financing (Note 10), the Company issued warrants to purchase 3.2 million shares of common stock in February 2020. In connection with the Horizon Credit Agreement Amendment, the Company cancelled warrants to purchase 95,057 shares of common stock and issued warrants to purchase 247,525 shares of common stock in August 2020. Pursuant to a consulting agreement dated September 21, 2020, the Company issued warrants to purchase 75,000 shares of common stock vesting immediately and having a 4-year term. The shares underlying these warrants are unregistered and have a strike price of $0.79 per share. The Company fair valued these warrants $0.60 per share, recognizing $45,000 as professional fee expense. Warrants to purchase 1,167,064 shares of common stock expired during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CELSION EMPLOYEE BENEFIT PLANS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 maintains a defined-contribution plan under Section 401(k) of the Internal Revenue Code. The plan covers substantially all employees over the age of 21. Participating employees may defer a portion of their pretax earnings, up to the IRS annual contribution limit. The Company makes a matching contribution up to a maximum of 3% of an employee’s annual salary. The Company’s total matching contributions for the years ended December 31, 2020 and 2019 was $111,000 and $106,000, respectively. During 2020, the Company also provided a discretionary contribution totaling $178,000 which represented 6% of each eligible participant’s annual salary in 2020. This amount was paid in January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Lease was set to expire on April 30, 2017. In April 2017, the Company and the landlord amended the Lease effective May 1, 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provided four months free rent. The monthly rent ranged from approximately $18,900 in the first year to approximately $20,500 in the final year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The Company also had a one-time option to cancel the lease as of the 40th month after the commencement date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and must provide the landlord notice by the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of the lease. Effective January 9, 2019, the Company amended the current terms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to increase the size of the premises by 2,285 square feet to 9,850 square feet and also extended the lease term by one year to</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September 1, 2023. In conjunction with 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we agreed to modify our one-time option to cancel the lease as of the end of August 2021 and we must provide notice to the landlord by the end of August 2020. The monthly rent will range from approximately $25,035 in the first year to approximately $27,088 in the final 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previously mentioned in Note 4, we adopted ASC Topic 842 on January 1, 2019 using the modified retrospective transition method for all lease arrangements at the beginning of the period of adoption. Results for reporting periods beginning January 1, 2019 are presented under ASC Topic 842, while prior period amounts were not adjusted and continue to be reported in accordance with our historic accounting under Topic 840, Leases. The standard had a material impact on our Consolidated Condensed Balance Sheet but had no impact on our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w:t>
      </w:r>
    </w:p>
    <w:p>
      <w:pPr>
        <w:spacing w:after="0" w:line="4" w:lineRule="exact"/>
        <w:rPr>
          <w:sz w:val="20"/>
          <w:szCs w:val="20"/>
          <w:color w:val="auto"/>
        </w:rPr>
      </w:pPr>
    </w:p>
    <w:p>
      <w:pPr>
        <w:jc w:val="both"/>
        <w:ind w:firstLine="8"/>
        <w:spacing w:after="0" w:line="281" w:lineRule="auto"/>
        <w:tabs>
          <w:tab w:leader="none" w:pos="33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w:t>
      </w:r>
    </w:p>
    <w:p>
      <w:pPr>
        <w:spacing w:after="0" w:line="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reasonably certain to be terminated. In connection with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 Following is a table of the lease payments and maturity of our operating lease liabilities as of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39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 ending</w:t>
            </w:r>
          </w:p>
        </w:tc>
      </w:tr>
      <w:tr>
        <w:trPr>
          <w:trHeight w:val="241"/>
        </w:trPr>
        <w:tc>
          <w:tcPr>
            <w:tcW w:w="39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w:t>
            </w: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535,579</w:t>
            </w: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5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233,117</w:t>
            </w: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55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1,299,430</w:t>
            </w:r>
          </w:p>
        </w:tc>
        <w:tc>
          <w:tcPr>
            <w:tcW w:w="160" w:type="dxa"/>
            <w:vAlign w:val="bottom"/>
            <w:tcBorders>
              <w:top w:val="single" w:sz="8" w:color="CCEEFF"/>
            </w:tcBorders>
          </w:tcPr>
          <w:p>
            <w:pPr>
              <w:spacing w:after="0"/>
              <w:rPr>
                <w:sz w:val="17"/>
                <w:szCs w:val="17"/>
                <w:color w:val="auto"/>
              </w:rPr>
            </w:pPr>
          </w:p>
        </w:tc>
      </w:tr>
      <w:tr>
        <w:trPr>
          <w:trHeight w:val="25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5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(155,712)</w:t>
            </w:r>
          </w:p>
        </w:tc>
      </w:tr>
      <w:tr>
        <w:trPr>
          <w:trHeight w:val="210"/>
        </w:trPr>
        <w:tc>
          <w:tcPr>
            <w:tcW w:w="3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55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1,143,718</w:t>
            </w:r>
          </w:p>
        </w:tc>
        <w:tc>
          <w:tcPr>
            <w:tcW w:w="160" w:type="dxa"/>
            <w:vAlign w:val="bottom"/>
            <w:tcBorders>
              <w:top w:val="single" w:sz="8" w:color="CCEEFF"/>
              <w:bottom w:val="single" w:sz="8" w:color="CCEEFF"/>
            </w:tcBorders>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2.46 years</w:t>
            </w:r>
          </w:p>
        </w:tc>
      </w:tr>
      <w:tr>
        <w:trPr>
          <w:trHeight w:val="216"/>
        </w:trPr>
        <w:tc>
          <w:tcPr>
            <w:tcW w:w="39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39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39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
          </w:tcPr>
          <w:p>
            <w:pPr>
              <w:jc w:val="right"/>
              <w:ind w:right="3710"/>
              <w:spacing w:after="0"/>
              <w:rPr>
                <w:sz w:val="20"/>
                <w:szCs w:val="20"/>
                <w:color w:val="auto"/>
              </w:rPr>
            </w:pPr>
            <w:r>
              <w:rPr>
                <w:rFonts w:ascii="Arial" w:cs="Arial" w:eastAsia="Arial" w:hAnsi="Arial"/>
                <w:sz w:val="18"/>
                <w:szCs w:val="18"/>
                <w:color w:val="auto"/>
              </w:rPr>
              <w:t>F-31</w:t>
            </w: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48" w:name="page149"/>
    <w:bookmarkEnd w:id="148"/>
    <w:p>
      <w:pPr>
        <w:jc w:val="both"/>
        <w:spacing w:after="0" w:line="277" w:lineRule="auto"/>
        <w:rPr>
          <w:sz w:val="20"/>
          <w:szCs w:val="20"/>
          <w:color w:val="auto"/>
        </w:rPr>
      </w:pPr>
      <w:r>
        <w:rPr>
          <w:rFonts w:ascii="Arial" w:cs="Arial" w:eastAsia="Arial" w:hAnsi="Arial"/>
          <w:sz w:val="18"/>
          <w:szCs w:val="18"/>
          <w:color w:val="auto"/>
        </w:rPr>
        <w:t>For 2020, operating lease expense was $522,380 and cash paid for operating leases included in operating cash flows was $525,809. For 2019, operating lease expense was $522,380 and cash paid for operating leases included in operating cash flows was $485,848.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LICENSES OF INTELLECTUAL PROPERTY AND PATENTS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10, 1999, the Company entered into a license agreement with Duke University (“Duke”)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9" w:name="page150"/>
    <w:bookmarkEnd w:id="149"/>
    <w:p>
      <w:pPr>
        <w:jc w:val="both"/>
        <w:spacing w:after="0" w:line="272" w:lineRule="auto"/>
        <w:rPr>
          <w:sz w:val="20"/>
          <w:szCs w:val="20"/>
          <w:color w:val="auto"/>
        </w:rPr>
      </w:pPr>
      <w:r>
        <w:rPr>
          <w:rFonts w:ascii="Arial" w:cs="Arial" w:eastAsia="Arial" w:hAnsi="Arial"/>
          <w:sz w:val="17"/>
          <w:szCs w:val="17"/>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 For the years ended December 31, 2020 and 2019, the Company has not incurred any expense under this agreement and will not incur any future liabilities until commercial sales commence.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November 1999 license agreement with Duke, the Company has rights to the thermally sensitive liposome technology, including Duke’s U.S. patents covering the technology as well as all foreign counterparts and related pending applications. Foreign counterpart applications have been issued in the EU, Hong Kong, Australia and Canada and have been allowed in Japan. The EU patent has been validated in Austria, Belgium, France, Germany, Great Britain, Italy, Luxembourg, Monaco, Spain and Switzerland. In addition, the Duke license agreement provides the Company with rights to multiple issued U.S. patents related to the formulation, method of making and use of heat sensitive liposomes. The Company’s rights under the license agreement with Duke extend for the life of the last-to-expire of the licensed patents.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a pending US, and international issued patents, which seek to protect the Company’s proprietary method of storing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which is critical for worldwide distribution channels.</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will initially be limited to a percentage of the production requirements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 with Hisun retaining an option for additional global supply after local regulatory approval in the China territory. In addition, Hisun will collaborate with Celsion around the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HCC clinical indication and other activities</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based on findings of the ongoing post-study analysis of the HEAT Study data.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events subsequent to the date of the balance sheet through the date of these financial statements. As more fully discussed in Note 2, the Company issued a letter to shareholders on February 11, 2021 stating that the Company will be notifying all clinical sites to discontinue following patients in the OPTIMA Study. As more fully discussed in Note 10, the Company collectively has sold 34.3 million shares of common stock for gross proceeds of $43.4 million in 2021 through the date that these statements are made available.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Subsidiaries of Celsion Corporation</w:t>
            </w:r>
          </w:p>
        </w:tc>
        <w:tc>
          <w:tcPr>
            <w:tcW w:w="5500" w:type="dxa"/>
            <w:vAlign w:val="bottom"/>
          </w:tcPr>
          <w:p>
            <w:pPr>
              <w:spacing w:after="0"/>
              <w:rPr>
                <w:sz w:val="20"/>
                <w:szCs w:val="20"/>
                <w:color w:val="auto"/>
              </w:rPr>
            </w:pPr>
          </w:p>
        </w:tc>
      </w:tr>
      <w:tr>
        <w:trPr>
          <w:trHeight w:val="414"/>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CLSN Laboratories,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9"/>
        </w:trPr>
        <w:tc>
          <w:tcPr>
            <w:tcW w:w="5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of Celsion Corporation on Form S-1 (333-221543, 333-219414, 333-217156, 333-214353 and 333-234603), Form S-3 (Nos. 333-174960, 333-183286, 333-198786, 333-193936, 333-205608, 333-206789 and 333-227236) and on Form S-8 (Nos. 33 139784, 333-145680, 333-183288, 333-207864) of our report dated March 19, 2021, relating to the consolidated financial statements,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these Registration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of Celsion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923" w:val="left"/>
        </w:tabs>
        <w:numPr>
          <w:ilvl w:val="1"/>
          <w:numId w:val="9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25"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CERTIFICATION OF THE CHIEF FINANCIAL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of Celsion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923" w:val="left"/>
        </w:tabs>
        <w:numPr>
          <w:ilvl w:val="1"/>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9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2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Celsion Corporation (the “Company”) for the year ended December 31, 2020, as filed with the Securities and Exchange Commission on or about March 19, 2021 (the “Report”), I, Michael H. Tardugno, President and Chief Executive Officer of the Company, certify, pursuant to 18 U.S.C. § 1350, as adopted pursuant to §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Celsion Corporation (the “Company”) for the year ended December 31, 2020, as filed with the Securities and Exchange Commission on or about March Date: March 19, 2021 (the “Report”), I, Jeffrey W. Church, Executive Vice President and Chief Financial Officer of the Company, certify, pursuant to 18 U.S.C. § 1350, as adopted pursuant to §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lowerRoman"/>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1"/>
      <w:numFmt w:val="upperLetter"/>
      <w:start w:val="6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lvl w:ilvl="1">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decimal"/>
      <w:start w:val="10"/>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lowerRoman"/>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lvl w:ilvl="1">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upperLetter"/>
      <w:start w:val="6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lvl w:ilvl="1">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upperLetter"/>
      <w:start w:val="6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2"/>
    </w:lvl>
  </w:abstractNum>
  <w:abstractNum w:abstractNumId="62">
    <w:nsid w:val="68EB2F63"/>
    <w:multiLevelType w:val="hybridMultilevel"/>
    <w:lvl w:ilvl="0">
      <w:lvlJc w:val="left"/>
      <w:lvlText w:val="(%1)"/>
      <w:numFmt w:val="lowerLetter"/>
      <w:start w:val="3"/>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2"/>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lvl w:ilvl="1">
      <w:lvlJc w:val="left"/>
      <w:lvlText w:val="%2."/>
      <w:numFmt w:val="decimal"/>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2"/>
    </w:lvl>
  </w:abstractNum>
  <w:abstractNum w:abstractNumId="82">
    <w:nsid w:val="68EBC550"/>
    <w:multiLevelType w:val="hybridMultilevel"/>
    <w:lvl w:ilvl="0">
      <w:lvlJc w:val="left"/>
      <w:lvlText w:val="(%1)"/>
      <w:numFmt w:val="decimal"/>
      <w:start w:val="9"/>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
      <w:numFmt w:val="bullet"/>
      <w:start w:val="1"/>
    </w:lvl>
    <w:lvl w:ilvl="1">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1."/>
      <w:numFmt w:val="decimal"/>
      <w:start w:val="8"/>
    </w:lvl>
  </w:abstractNum>
  <w:abstractNum w:abstractNumId="91">
    <w:nsid w:val="26F324BA"/>
    <w:multiLevelType w:val="hybridMultilevel"/>
    <w:lvl w:ilvl="0">
      <w:lvlJc w:val="left"/>
      <w:lvlText w:val="%1)"/>
      <w:numFmt w:val="lowerLetter"/>
      <w:start w:val="1"/>
    </w:lvl>
  </w:abstractNum>
  <w:abstractNum w:abstractNumId="92">
    <w:nsid w:val="7F01579B"/>
    <w:multiLevelType w:val="hybridMultilevel"/>
    <w:lvl w:ilvl="0">
      <w:lvlJc w:val="left"/>
      <w:lvlText w:val="(%1)"/>
      <w:numFmt w:val="lowerRoman"/>
      <w:start w:val="3"/>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3"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129" Type="http://schemas.openxmlformats.org/officeDocument/2006/relationships/hyperlink" Target="http://www.sec.gov/Archives/edgar/data/749647/000143774914014489/ex2-1.htm" TargetMode="External"/><Relationship Id="rId130" Type="http://schemas.openxmlformats.org/officeDocument/2006/relationships/hyperlink" Target="http://www.sec.gov/Archives/edgar/data/749647/000119312504133283/dex31.htm" TargetMode="External"/><Relationship Id="rId131" Type="http://schemas.openxmlformats.org/officeDocument/2006/relationships/hyperlink" Target="https://www.sec.gov/Archives/edgar/data/749647/000093173100000574/0000931731-00-000574-0004.txt" TargetMode="External"/><Relationship Id="rId132" Type="http://schemas.openxmlformats.org/officeDocument/2006/relationships/hyperlink" Target="http://www.sec.gov/Archives/edgar/data/749647/000119312506042024/dex31.htm" TargetMode="External"/><Relationship Id="rId134" Type="http://schemas.openxmlformats.org/officeDocument/2006/relationships/hyperlink" Target="http://www.sec.gov/Archives/edgar/data/749647/000143774913013524/ex3-1.htm" TargetMode="External"/><Relationship Id="rId135" Type="http://schemas.openxmlformats.org/officeDocument/2006/relationships/hyperlink" Target="http://www.sec.gov/Archives/edgar/data/749647/000143774916033902/ex3-1.htm" TargetMode="External"/><Relationship Id="rId136" Type="http://schemas.openxmlformats.org/officeDocument/2006/relationships/hyperlink" Target="http://www.sec.gov/Archives/edgar/data/749647/000143774917010183/ex3-1.htm" TargetMode="External"/><Relationship Id="rId137" Type="http://schemas.openxmlformats.org/officeDocument/2006/relationships/hyperlink" Target="http://www.sec.gov/Archives/edgar/data/749647/000149315220015690/ex3-1.htm" TargetMode="External"/><Relationship Id="rId138" Type="http://schemas.openxmlformats.org/officeDocument/2006/relationships/hyperlink" Target="https://www.sec.gov/Archives/edgar/data/749647/000093173100000574/0000931731-00-000574-0006.txt" TargetMode="External"/><Relationship Id="rId139" Type="http://schemas.openxmlformats.org/officeDocument/2006/relationships/hyperlink" Target="http://www.sec.gov/Archives/edgar/data/749647/000143774917017965/ex_98287.htm" TargetMode="External"/><Relationship Id="rId140" Type="http://schemas.openxmlformats.org/officeDocument/2006/relationships/hyperlink" Target="http://www.sec.gov/Archives/edgar/data/749647/000143774917012481/ex4-4.htm" TargetMode="External"/><Relationship Id="rId141" Type="http://schemas.openxmlformats.org/officeDocument/2006/relationships/hyperlink" Target="https://www.sec.gov/Archives/edgar/data/749647/000143774917002221/ex4-26.htm" TargetMode="External"/><Relationship Id="rId142" Type="http://schemas.openxmlformats.org/officeDocument/2006/relationships/hyperlink" Target="http://www.sec.gov/Archives/edgar/data/749647/000149315220017312/ex4-1.htm" TargetMode="External"/><Relationship Id="rId143" Type="http://schemas.openxmlformats.org/officeDocument/2006/relationships/hyperlink" Target="http://www.sec.gov/Archives/edgar/data/749647/000149315220003910/ex4-1.htm" TargetMode="External"/><Relationship Id="rId144" Type="http://schemas.openxmlformats.org/officeDocument/2006/relationships/hyperlink" Target="http://www.sec.gov/Archives/edgar/data/749647/000149315220004717/ex4-5.htm" TargetMode="External"/><Relationship Id="rId145" Type="http://schemas.openxmlformats.org/officeDocument/2006/relationships/hyperlink" Target="http://www.sec.gov/Archives/edgar/data/749647/000143774917009400/ex10-1.htm" TargetMode="External"/><Relationship Id="rId146" Type="http://schemas.openxmlformats.org/officeDocument/2006/relationships/hyperlink" Target="http://www.sec.gov/Archives/edgar/data/749647/000143774917019215/ex_99691.htm" TargetMode="External"/><Relationship Id="rId147" Type="http://schemas.openxmlformats.org/officeDocument/2006/relationships/hyperlink" Target="http://www.sec.gov/Archives/edgar/data/749647/000143774918010040/ex_114605.htm" TargetMode="External"/><Relationship Id="rId148" Type="http://schemas.openxmlformats.org/officeDocument/2006/relationships/hyperlink" Target="https://www.sec.gov/Archives/edgar/data/749647/000149315219007203/ex10-1.htm" TargetMode="External"/><Relationship Id="rId149" Type="http://schemas.openxmlformats.org/officeDocument/2006/relationships/hyperlink" Target="https://www.sec.gov/Archives/edgar/data/749647/000149315220011263/ex10-1.htm" TargetMode="External"/><Relationship Id="rId150" Type="http://schemas.openxmlformats.org/officeDocument/2006/relationships/hyperlink" Target="https://www.sec.gov/Archives/edgar/data/749647/000143774916028601/ex10-8.htm" TargetMode="External"/><Relationship Id="rId151" Type="http://schemas.openxmlformats.org/officeDocument/2006/relationships/hyperlink" Target="https://www.sec.gov/Archives/edgar/data/749647/000074964710000024/offerletter.htm" TargetMode="External"/><Relationship Id="rId152" Type="http://schemas.openxmlformats.org/officeDocument/2006/relationships/hyperlink" Target="https://www.sec.gov/Archives/edgar/data/749647/000093173199000517/0000931731-99-000517.txt" TargetMode="External"/><Relationship Id="rId153" Type="http://schemas.openxmlformats.org/officeDocument/2006/relationships/hyperlink" Target="https://www.sec.gov/Archives/edgar/data/749647/000100515003001416/ex10-1.txt" TargetMode="External"/><Relationship Id="rId154" Type="http://schemas.openxmlformats.org/officeDocument/2006/relationships/hyperlink" Target="https://www.sec.gov/Archives/edgar/data/749647/000104746909003319/a2191931zex-10_15.htm" TargetMode="External"/><Relationship Id="rId155" Type="http://schemas.openxmlformats.org/officeDocument/2006/relationships/hyperlink" Target="https://www.sec.gov/Archives/edgar/data/749647/000074964711000009/amend2yakult.htm" TargetMode="External"/><Relationship Id="rId156" Type="http://schemas.openxmlformats.org/officeDocument/2006/relationships/hyperlink" Target="https://www.sec.gov/Archives/edgar/data/749647/000074964711000106/exhibit99_1.htm" TargetMode="External"/><Relationship Id="rId157" Type="http://schemas.openxmlformats.org/officeDocument/2006/relationships/hyperlink" Target="https://www.sec.gov/Archives/edgar/data/749647/000143774917019215/ex_99690.htm" TargetMode="External"/><Relationship Id="rId158" Type="http://schemas.openxmlformats.org/officeDocument/2006/relationships/hyperlink" Target="https://www.sec.gov/Archives/edgar/data/749647/000143774912008356/ex10-2.htm" TargetMode="External"/><Relationship Id="rId159" Type="http://schemas.openxmlformats.org/officeDocument/2006/relationships/hyperlink" Target="https://www.sec.gov/Archives/edgar/data/749647/000143774913005568/ex10-1.htm" TargetMode="External"/><Relationship Id="rId160" Type="http://schemas.openxmlformats.org/officeDocument/2006/relationships/hyperlink" Target="https://www.sec.gov/Archives/edgar/data/749647/000143774915004805/ex10-27.htm" TargetMode="External"/><Relationship Id="rId161" Type="http://schemas.openxmlformats.org/officeDocument/2006/relationships/hyperlink" Target="https://www.sec.gov/Archives/edgar/data/749647/000143774916041670/ex10-1.htm" TargetMode="External"/><Relationship Id="rId162" Type="http://schemas.openxmlformats.org/officeDocument/2006/relationships/hyperlink" Target="https://www.sec.gov/Archives/edgar/data/749647/000143774916041670/ex10-2.htm" TargetMode="External"/><Relationship Id="rId163" Type="http://schemas.openxmlformats.org/officeDocument/2006/relationships/hyperlink" Target="https://www.sec.gov/Archives/edgar/data/749647/000143774916041670/ex10-3.htm" TargetMode="External"/><Relationship Id="rId164" Type="http://schemas.openxmlformats.org/officeDocument/2006/relationships/hyperlink" Target="https://www.sec.gov/Archives/edgar/data/749647/000143774916041670/ex10-4.htm" TargetMode="External"/><Relationship Id="rId165" Type="http://schemas.openxmlformats.org/officeDocument/2006/relationships/hyperlink" Target="https://www.sec.gov/Archives/edgar/data/749647/000143774917002221/ex10-33.htm" TargetMode="External"/><Relationship Id="rId166" Type="http://schemas.openxmlformats.org/officeDocument/2006/relationships/hyperlink" Target="https://www.sec.gov/Archives/edgar/data/749647/000143774918009535/ex_113795.htm" TargetMode="External"/><Relationship Id="rId167" Type="http://schemas.openxmlformats.org/officeDocument/2006/relationships/hyperlink" Target="https://www.sec.gov/Archives/edgar/data/749647/000149315218011631/ex10-0.htm" TargetMode="External"/><Relationship Id="rId168" Type="http://schemas.openxmlformats.org/officeDocument/2006/relationships/hyperlink" Target="https://www.sec.gov/Archives/edgar/data/749647/000149315220017312/ex10-1.htm" TargetMode="External"/><Relationship Id="rId169" Type="http://schemas.openxmlformats.org/officeDocument/2006/relationships/hyperlink" Target="https://www.sec.gov/Archives/edgar/data/749647/000143774918016495/ex_123283.htm" TargetMode="External"/><Relationship Id="rId170" Type="http://schemas.openxmlformats.org/officeDocument/2006/relationships/hyperlink" Target="https://www.sec.gov/Archives/edgar/data/749647/000149315218017054/ex10-1.htm" TargetMode="External"/><Relationship Id="rId171" Type="http://schemas.openxmlformats.org/officeDocument/2006/relationships/hyperlink" Target="https://www.sec.gov/Archives/edgar/data/749647/000149315219016060/ex10-1.htm" TargetMode="External"/><Relationship Id="rId172" Type="http://schemas.openxmlformats.org/officeDocument/2006/relationships/hyperlink" Target="https://www.sec.gov/Archives/edgar/data/749647/000149315221001760/ex1-1.htm" TargetMode="External"/><Relationship Id="rId173" Type="http://schemas.openxmlformats.org/officeDocument/2006/relationships/hyperlink" Target="https://www.sec.gov/Archives/edgar/data/749647/000149315221001760/ex10-1.htm" TargetMode="External"/><Relationship Id="rId174" Type="http://schemas.openxmlformats.org/officeDocument/2006/relationships/hyperlink" Target="https://www.sec.gov/Archives/edgar/data/749647/000149315220003271/ex10-1.htm" TargetMode="External"/><Relationship Id="rId175" Type="http://schemas.openxmlformats.org/officeDocument/2006/relationships/hyperlink" Target="https://www.sec.gov/Archives/edgar/data/749647/000149315220011263/ex10-2.htm" TargetMode="External"/><Relationship Id="rId176" Type="http://schemas.openxmlformats.org/officeDocument/2006/relationships/hyperlink" Target="https://www.sec.gov/Archives/edgar/data/749647/00014931522000391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2021-03-19T08:15:29Z</dcterms:created>
  <dcterms:modified xsi:type="dcterms:W3CDTF">2021-03-19T08:15:29Z</dcterms:modified>
</cp:coreProperties>
</file>