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11" w:lineRule="exact"/>
        <w:rPr>
          <w:sz w:val="24"/>
          <w:szCs w:val="24"/>
          <w:color w:val="auto"/>
        </w:rPr>
      </w:pPr>
    </w:p>
    <w:p>
      <w:pPr>
        <w:ind w:left="4020" w:right="2360" w:hanging="4012"/>
        <w:spacing w:after="0" w:line="501" w:lineRule="auto"/>
        <w:tabs>
          <w:tab w:leader="none" w:pos="38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2017</w:t>
      </w:r>
    </w:p>
    <w:p>
      <w:pPr>
        <w:ind w:left="55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5" w:lineRule="exact"/>
        <w:rPr>
          <w:rFonts w:ascii="MS PGothic" w:cs="MS PGothic" w:eastAsia="MS PGothic" w:hAnsi="MS PGothic"/>
          <w:sz w:val="18"/>
          <w:szCs w:val="18"/>
          <w:color w:val="auto"/>
        </w:rPr>
      </w:pPr>
    </w:p>
    <w:p>
      <w:pPr>
        <w:ind w:left="3420" w:right="2160" w:hanging="3367"/>
        <w:spacing w:after="0" w:line="501" w:lineRule="auto"/>
        <w:tabs>
          <w:tab w:leader="none" w:pos="555"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 to ____________</w:t>
      </w:r>
    </w:p>
    <w:p>
      <w:pPr>
        <w:ind w:left="434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001-15911</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1940"/>
              <w:spacing w:after="0"/>
              <w:rPr>
                <w:sz w:val="20"/>
                <w:szCs w:val="20"/>
                <w:color w:val="auto"/>
              </w:rPr>
            </w:pPr>
            <w:r>
              <w:rPr>
                <w:rFonts w:ascii="Arial" w:cs="Arial" w:eastAsia="Arial" w:hAnsi="Arial"/>
                <w:sz w:val="18"/>
                <w:szCs w:val="18"/>
                <w:b w:val="1"/>
                <w:bCs w:val="1"/>
                <w:color w:val="auto"/>
              </w:rPr>
              <w:t>Delaware</w:t>
            </w:r>
          </w:p>
        </w:tc>
        <w:tc>
          <w:tcPr>
            <w:tcW w:w="5800" w:type="dxa"/>
            <w:vAlign w:val="bottom"/>
            <w:gridSpan w:val="2"/>
          </w:tcPr>
          <w:p>
            <w:pPr>
              <w:jc w:val="right"/>
              <w:ind w:right="2790"/>
              <w:spacing w:after="0"/>
              <w:rPr>
                <w:sz w:val="20"/>
                <w:szCs w:val="20"/>
                <w:color w:val="auto"/>
              </w:rPr>
            </w:pPr>
            <w:r>
              <w:rPr>
                <w:rFonts w:ascii="Arial" w:cs="Arial" w:eastAsia="Arial" w:hAnsi="Arial"/>
                <w:sz w:val="18"/>
                <w:szCs w:val="18"/>
                <w:b w:val="1"/>
                <w:bCs w:val="1"/>
                <w:color w:val="auto"/>
              </w:rPr>
              <w:t>52-1256615</w:t>
            </w:r>
          </w:p>
        </w:tc>
      </w:tr>
      <w:tr>
        <w:trPr>
          <w:trHeight w:val="224"/>
        </w:trPr>
        <w:tc>
          <w:tcPr>
            <w:tcW w:w="562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(State or other jurisdiction of incorporation or organization)</w:t>
            </w:r>
          </w:p>
        </w:tc>
        <w:tc>
          <w:tcPr>
            <w:tcW w:w="160" w:type="dxa"/>
            <w:vAlign w:val="bottom"/>
          </w:tcPr>
          <w:p>
            <w:pPr>
              <w:spacing w:after="0"/>
              <w:rPr>
                <w:sz w:val="19"/>
                <w:szCs w:val="19"/>
                <w:color w:val="auto"/>
              </w:rPr>
            </w:pPr>
          </w:p>
        </w:tc>
        <w:tc>
          <w:tcPr>
            <w:tcW w:w="5640" w:type="dxa"/>
            <w:vAlign w:val="bottom"/>
            <w:tcBorders>
              <w:top w:val="single" w:sz="8" w:color="auto"/>
            </w:tcBorders>
          </w:tcPr>
          <w:p>
            <w:pPr>
              <w:jc w:val="right"/>
              <w:ind w:right="1570"/>
              <w:spacing w:after="0"/>
              <w:rPr>
                <w:sz w:val="20"/>
                <w:szCs w:val="20"/>
                <w:color w:val="auto"/>
              </w:rPr>
            </w:pPr>
            <w:r>
              <w:rPr>
                <w:rFonts w:ascii="Arial" w:cs="Arial" w:eastAsia="Arial" w:hAnsi="Arial"/>
                <w:sz w:val="18"/>
                <w:szCs w:val="18"/>
                <w:color w:val="auto"/>
              </w:rPr>
              <w:t>(I.R.S. Employer Identification Number)</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997 Lenox Drive, Suite 100 Lawrenceville</w:t>
      </w:r>
      <w:r>
        <w:rPr>
          <w:rFonts w:ascii="Arial" w:cs="Arial" w:eastAsia="Arial" w:hAnsi="Arial"/>
          <w:sz w:val="18"/>
          <w:szCs w:val="18"/>
          <w:color w:val="auto"/>
        </w:rPr>
        <w:t>,</w:t>
      </w:r>
      <w:r>
        <w:rPr>
          <w:rFonts w:ascii="Arial" w:cs="Arial" w:eastAsia="Arial" w:hAnsi="Arial"/>
          <w:sz w:val="18"/>
          <w:szCs w:val="18"/>
          <w:b w:val="1"/>
          <w:bCs w:val="1"/>
          <w:color w:val="auto"/>
        </w:rPr>
        <w:t xml:space="preserve"> NJ 08648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896-9100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2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both"/>
        <w:ind w:right="4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29" w:right="239" w:bottom="1440" w:gutter="0" w:footer="0" w:header="0"/>
        </w:sectPr>
      </w:pPr>
    </w:p>
    <w:p>
      <w:pPr>
        <w:spacing w:after="0" w:line="14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3">
            <w:col w:w="6640" w:space="720"/>
            <w:col w:w="1340" w:space="720"/>
            <w:col w:w="2000"/>
          </w:cols>
          <w:pgMar w:left="240" w:top="229"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540" w:space="260"/>
            <w:col w:w="4840" w:space="720"/>
            <w:col w:w="1980" w:space="360"/>
            <w:col w:w="1720"/>
          </w:cols>
          <w:pgMar w:left="240" w:top="229"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1980" w:space="180"/>
            <w:col w:w="9260"/>
          </w:cols>
          <w:pgMar w:left="240" w:top="229" w:right="239" w:bottom="1440" w:gutter="0" w:footer="0" w:header="0"/>
          <w:type w:val="continuous"/>
        </w:sectPr>
      </w:pPr>
    </w:p>
    <w:p>
      <w:pPr>
        <w:spacing w:after="0" w:line="4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As of May 10, 2017, the Registrant had 56,982,418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60" w:type="dxa"/>
            <w:vAlign w:val="bottom"/>
          </w:tcPr>
          <w:p>
            <w:pPr>
              <w:spacing w:after="0"/>
              <w:rPr>
                <w:sz w:val="20"/>
                <w:szCs w:val="20"/>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Page(s)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I: FINANCIAL INFORMATION</w:t>
            </w: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w:t>
            </w:r>
          </w:p>
        </w:tc>
        <w:tc>
          <w:tcPr>
            <w:tcW w:w="9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Financial Statements (Unaudited)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60" w:type="dxa"/>
            <w:vAlign w:val="bottom"/>
          </w:tcPr>
          <w:p>
            <w:pPr>
              <w:ind w:left="220"/>
              <w:spacing w:after="0"/>
              <w:rPr>
                <w:sz w:val="20"/>
                <w:szCs w:val="20"/>
                <w:color w:val="auto"/>
              </w:rPr>
            </w:pPr>
            <w:r>
              <w:rPr>
                <w:rFonts w:ascii="Arial" w:cs="Arial" w:eastAsia="Arial" w:hAnsi="Arial"/>
                <w:sz w:val="18"/>
                <w:szCs w:val="18"/>
                <w:color w:val="auto"/>
              </w:rPr>
              <w:t>Condensed Consolidated Balance Sheets</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Condensed Consolidated Statements of Operations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60" w:type="dxa"/>
            <w:vAlign w:val="bottom"/>
          </w:tcPr>
          <w:p>
            <w:pPr>
              <w:ind w:left="220"/>
              <w:spacing w:after="0"/>
              <w:rPr>
                <w:sz w:val="20"/>
                <w:szCs w:val="20"/>
                <w:color w:val="auto"/>
              </w:rPr>
            </w:pPr>
            <w:r>
              <w:rPr>
                <w:rFonts w:ascii="Arial" w:cs="Arial" w:eastAsia="Arial" w:hAnsi="Arial"/>
                <w:sz w:val="18"/>
                <w:szCs w:val="18"/>
                <w:color w:val="auto"/>
              </w:rPr>
              <w:t>Condensed Consolidated Statements of Comprehensive Loss</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Condensed Consolidated Statements of Cash Flows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60" w:type="dxa"/>
            <w:vAlign w:val="bottom"/>
          </w:tcPr>
          <w:p>
            <w:pPr>
              <w:ind w:left="220"/>
              <w:spacing w:after="0"/>
              <w:rPr>
                <w:sz w:val="20"/>
                <w:szCs w:val="20"/>
                <w:color w:val="auto"/>
              </w:rPr>
            </w:pPr>
            <w:r>
              <w:rPr>
                <w:rFonts w:ascii="Arial" w:cs="Arial" w:eastAsia="Arial" w:hAnsi="Arial"/>
                <w:sz w:val="18"/>
                <w:szCs w:val="18"/>
                <w:color w:val="auto"/>
              </w:rPr>
              <w:t>Notes to Condensed Consolidated Financial Statements</w:t>
            </w: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rPr>
              <w:t>Item 2.</w:t>
            </w:r>
          </w:p>
        </w:tc>
        <w:tc>
          <w:tcPr>
            <w:tcW w:w="9860" w:type="dxa"/>
            <w:vAlign w:val="bottom"/>
          </w:tcPr>
          <w:p>
            <w:pPr>
              <w:ind w:left="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rPr>
              <w:t>Item 3.</w:t>
            </w:r>
          </w:p>
        </w:tc>
        <w:tc>
          <w:tcPr>
            <w:tcW w:w="9860" w:type="dxa"/>
            <w:vAlign w:val="bottom"/>
          </w:tcPr>
          <w:p>
            <w:pPr>
              <w:ind w:left="60"/>
              <w:spacing w:after="0"/>
              <w:rPr>
                <w:sz w:val="20"/>
                <w:szCs w:val="20"/>
                <w:color w:val="auto"/>
              </w:rPr>
            </w:pPr>
            <w:r>
              <w:rPr>
                <w:rFonts w:ascii="Arial" w:cs="Arial" w:eastAsia="Arial" w:hAnsi="Arial"/>
                <w:sz w:val="18"/>
                <w:szCs w:val="18"/>
                <w:color w:val="auto"/>
              </w:rPr>
              <w:t>Quantitative and Qualitative Disclosures about Market Risk</w:t>
            </w: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rPr>
              <w:t>Item 4.</w:t>
            </w:r>
          </w:p>
        </w:tc>
        <w:tc>
          <w:tcPr>
            <w:tcW w:w="9860" w:type="dxa"/>
            <w:vAlign w:val="bottom"/>
          </w:tcPr>
          <w:p>
            <w:pPr>
              <w:ind w:left="60"/>
              <w:spacing w:after="0"/>
              <w:rPr>
                <w:sz w:val="20"/>
                <w:szCs w:val="20"/>
                <w:color w:val="auto"/>
              </w:rPr>
            </w:pPr>
            <w:r>
              <w:rPr>
                <w:rFonts w:ascii="Arial" w:cs="Arial" w:eastAsia="Arial" w:hAnsi="Arial"/>
                <w:sz w:val="18"/>
                <w:szCs w:val="18"/>
                <w:color w:val="auto"/>
              </w:rPr>
              <w:t>Controls and Procedures</w:t>
            </w: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720" w:type="dxa"/>
            <w:vAlign w:val="bottom"/>
            <w:gridSpan w:val="2"/>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rPr>
              <w:t>Item 1.</w:t>
            </w:r>
          </w:p>
        </w:tc>
        <w:tc>
          <w:tcPr>
            <w:tcW w:w="9860" w:type="dxa"/>
            <w:vAlign w:val="bottom"/>
          </w:tcPr>
          <w:p>
            <w:pPr>
              <w:ind w:left="60"/>
              <w:spacing w:after="0"/>
              <w:rPr>
                <w:sz w:val="20"/>
                <w:szCs w:val="20"/>
                <w:color w:val="auto"/>
              </w:rPr>
            </w:pPr>
            <w:r>
              <w:rPr>
                <w:rFonts w:ascii="Arial" w:cs="Arial" w:eastAsia="Arial" w:hAnsi="Arial"/>
                <w:sz w:val="18"/>
                <w:szCs w:val="18"/>
                <w:color w:val="auto"/>
              </w:rPr>
              <w:t>Legal Proceedings</w:t>
            </w: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1A.</w:t>
            </w:r>
          </w:p>
        </w:tc>
        <w:tc>
          <w:tcPr>
            <w:tcW w:w="9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Risk Factors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rPr>
              <w:t>Item 2.</w:t>
            </w:r>
          </w:p>
        </w:tc>
        <w:tc>
          <w:tcPr>
            <w:tcW w:w="9860" w:type="dxa"/>
            <w:vAlign w:val="bottom"/>
          </w:tcPr>
          <w:p>
            <w:pPr>
              <w:ind w:left="60"/>
              <w:spacing w:after="0"/>
              <w:rPr>
                <w:sz w:val="20"/>
                <w:szCs w:val="20"/>
                <w:color w:val="auto"/>
              </w:rPr>
            </w:pPr>
            <w:r>
              <w:rPr>
                <w:rFonts w:ascii="Arial" w:cs="Arial" w:eastAsia="Arial" w:hAnsi="Arial"/>
                <w:sz w:val="18"/>
                <w:szCs w:val="18"/>
                <w:color w:val="auto"/>
              </w:rPr>
              <w:t>Unregistered Sales of Equity Securities and Use of Proceeds</w:t>
            </w: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3.</w:t>
            </w:r>
          </w:p>
        </w:tc>
        <w:tc>
          <w:tcPr>
            <w:tcW w:w="9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Defaults Upon Senior Securities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rPr>
              <w:t>Item 4.</w:t>
            </w:r>
          </w:p>
        </w:tc>
        <w:tc>
          <w:tcPr>
            <w:tcW w:w="9860" w:type="dxa"/>
            <w:vAlign w:val="bottom"/>
          </w:tcPr>
          <w:p>
            <w:pPr>
              <w:ind w:left="60"/>
              <w:spacing w:after="0"/>
              <w:rPr>
                <w:sz w:val="20"/>
                <w:szCs w:val="20"/>
                <w:color w:val="auto"/>
              </w:rPr>
            </w:pPr>
            <w:r>
              <w:rPr>
                <w:rFonts w:ascii="Arial" w:cs="Arial" w:eastAsia="Arial" w:hAnsi="Arial"/>
                <w:sz w:val="18"/>
                <w:szCs w:val="18"/>
                <w:color w:val="auto"/>
              </w:rPr>
              <w:t>Mine Safety Disclosures</w:t>
            </w: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5.</w:t>
            </w:r>
          </w:p>
        </w:tc>
        <w:tc>
          <w:tcPr>
            <w:tcW w:w="9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Information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rPr>
              <w:t>Item 6.</w:t>
            </w:r>
          </w:p>
        </w:tc>
        <w:tc>
          <w:tcPr>
            <w:tcW w:w="9860" w:type="dxa"/>
            <w:vAlign w:val="bottom"/>
          </w:tcPr>
          <w:p>
            <w:pPr>
              <w:ind w:left="60"/>
              <w:spacing w:after="0"/>
              <w:rPr>
                <w:sz w:val="20"/>
                <w:szCs w:val="20"/>
                <w:color w:val="auto"/>
              </w:rPr>
            </w:pPr>
            <w:r>
              <w:rPr>
                <w:rFonts w:ascii="Arial" w:cs="Arial" w:eastAsia="Arial" w:hAnsi="Arial"/>
                <w:sz w:val="18"/>
                <w:szCs w:val="18"/>
                <w:color w:val="auto"/>
              </w:rPr>
              <w:t>Exhibits</w:t>
            </w: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720" w:type="dxa"/>
            <w:vAlign w:val="bottom"/>
            <w:gridSpan w:val="2"/>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0720" w:type="dxa"/>
            <w:vAlign w:val="bottom"/>
            <w:gridSpan w:val="2"/>
          </w:tcPr>
          <w:p>
            <w:pPr>
              <w:spacing w:after="0"/>
              <w:rPr>
                <w:sz w:val="20"/>
                <w:szCs w:val="20"/>
                <w:color w:val="auto"/>
              </w:rPr>
            </w:pPr>
            <w:r>
              <w:rPr>
                <w:rFonts w:ascii="Arial" w:cs="Arial" w:eastAsia="Arial" w:hAnsi="Arial"/>
                <w:sz w:val="18"/>
                <w:szCs w:val="18"/>
                <w:b w:val="1"/>
                <w:bCs w:val="1"/>
                <w:color w:val="auto"/>
              </w:rPr>
              <w:t>SIGNATURES</w:t>
            </w: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any statements concerning proposed drug candidates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any changes in approaches to medical treatment, any introduction of new products by others, any possible licenses or acquisitions of other technologies, assets or businesses, our ability to realize the full extent of the anticipated benefits of our acquisition of substantially all of the assets of EGEN, Inc., including achieving operational cost savings and synergies in light of any delays we may encounter in the integration process and additional unforeseen expenses, any possible actions by customers, suppliers, partners, competitors and regulatory authorities, compliance with listing standards of The NASDAQ Capital Market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future financial condition and results of operations, as well as any forward-looking statements, are subject to inherent risks and uncertainties, including, but not limited to, the risk factors set forth in Part II,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The discussion of risks and uncertainties set forth in this Quarterly Report on Form 10-Q is not necessarily a complete or exhaustive list of all risks facing us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where the context otherwise requires, in this Quarterly Report on Form 10-Q, the “Company,” “Celsion,” “we,” “us,” and “our” refer to Celsion Corporation, a Delaware corporation, its wholly-owned subsidiaries CLSN Laboratories, Inc., also a Delaware corporation, and Celsion GmbH, a limited liability company in Zug Switzerland.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Celsion brand and product names, including but not limited to Celsion® and ThermoDox®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ind w:left="416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ind w:left="4520"/>
              <w:spacing w:after="0"/>
              <w:rPr>
                <w:sz w:val="20"/>
                <w:szCs w:val="20"/>
                <w:color w:val="auto"/>
              </w:rPr>
            </w:pPr>
            <w:r>
              <w:rPr>
                <w:rFonts w:ascii="Arial" w:cs="Arial" w:eastAsia="Arial" w:hAnsi="Arial"/>
                <w:sz w:val="18"/>
                <w:szCs w:val="18"/>
                <w:b w:val="1"/>
                <w:bCs w:val="1"/>
                <w:color w:val="auto"/>
              </w:rPr>
              <w:t>CELSION CORPORATION</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00" w:type="dxa"/>
            <w:vAlign w:val="bottom"/>
          </w:tcPr>
          <w:p>
            <w:pPr>
              <w:ind w:left="4340"/>
              <w:spacing w:after="0"/>
              <w:rPr>
                <w:sz w:val="20"/>
                <w:szCs w:val="20"/>
                <w:color w:val="auto"/>
              </w:rPr>
            </w:pPr>
            <w:r>
              <w:rPr>
                <w:rFonts w:ascii="Arial" w:cs="Arial" w:eastAsia="Arial" w:hAnsi="Arial"/>
                <w:sz w:val="18"/>
                <w:szCs w:val="18"/>
                <w:b w:val="1"/>
                <w:bCs w:val="1"/>
                <w:color w:val="auto"/>
              </w:rPr>
              <w:t>CONDENSED CONSOLIDATED</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ind w:left="4880"/>
              <w:spacing w:after="0"/>
              <w:rPr>
                <w:sz w:val="20"/>
                <w:szCs w:val="20"/>
                <w:color w:val="auto"/>
              </w:rPr>
            </w:pPr>
            <w:r>
              <w:rPr>
                <w:rFonts w:ascii="Arial" w:cs="Arial" w:eastAsia="Arial" w:hAnsi="Arial"/>
                <w:sz w:val="18"/>
                <w:szCs w:val="18"/>
                <w:b w:val="1"/>
                <w:bCs w:val="1"/>
                <w:color w:val="auto"/>
              </w:rPr>
              <w:t>BALANCE SHEETS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March 31,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4,469,576</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2,624,162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 – available for sale, at fair value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Accrued interest receivable on investment securities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Advances, deposits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141,622</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204,408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Subtotal current assets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4,611,198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4,512,578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100" w:type="dxa"/>
            <w:vAlign w:val="bottom"/>
          </w:tcPr>
          <w:p>
            <w:pPr>
              <w:spacing w:after="0" w:line="201" w:lineRule="exact"/>
              <w:rPr>
                <w:sz w:val="20"/>
                <w:szCs w:val="20"/>
                <w:color w:val="auto"/>
              </w:rPr>
            </w:pPr>
            <w:r>
              <w:rPr>
                <w:rFonts w:ascii="Arial" w:cs="Arial" w:eastAsia="Arial" w:hAnsi="Arial"/>
                <w:sz w:val="18"/>
                <w:szCs w:val="18"/>
                <w:b w:val="1"/>
                <w:bCs w:val="1"/>
                <w:color w:val="auto"/>
                <w:w w:val="99"/>
              </w:rPr>
              <w:t xml:space="preserve">Property and equipment </w:t>
            </w:r>
            <w:r>
              <w:rPr>
                <w:rFonts w:ascii="Arial" w:cs="Arial" w:eastAsia="Arial" w:hAnsi="Arial"/>
                <w:sz w:val="18"/>
                <w:szCs w:val="18"/>
                <w:color w:val="auto"/>
                <w:w w:val="99"/>
              </w:rPr>
              <w:t>(at cost, less accumulated depreciation and amortization of $2,626,722 and</w:t>
            </w:r>
          </w:p>
        </w:tc>
        <w:tc>
          <w:tcPr>
            <w:tcW w:w="180" w:type="dxa"/>
            <w:vAlign w:val="bottom"/>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370,262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462,836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$2,513,022, respectively)</w:t>
            </w: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In-process research and development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22,766,491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22,766,491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Other intangible assets, net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966,095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1,022,924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1,976,101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Security deposit on letter of credit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Patent licensing fees and other assets, net</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8,761</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Subtotal other assets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25,817,448</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25,874,277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30,798,908</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30,849,691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rPr>
              <w:t>CELSION CORPORATION</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9"/>
              </w:rPr>
              <w:t>CONDENSED CONSOLIDATED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8"/>
              </w:rPr>
              <w:t>BALANCE SHEETS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3"/>
              </w:rPr>
              <w:t>(Continued)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Accounts payable ─ trade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4,051,099</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2,878,978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accrued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2,819,806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2,483,756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Notes payable - current portion</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1,471,846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2,560,553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 – current portion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Subtotal current liabilities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8,842,751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8,423,287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Earn-out milestone liability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13,471,977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13,188,226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 – non-current portion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Other liabilities – non-current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12,352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24,692,816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24,123,865</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160"/>
              <w:spacing w:after="0" w:line="201" w:lineRule="exact"/>
              <w:rPr>
                <w:sz w:val="20"/>
                <w:szCs w:val="20"/>
                <w:color w:val="auto"/>
              </w:rPr>
            </w:pPr>
            <w:r>
              <w:rPr>
                <w:rFonts w:ascii="Arial" w:cs="Arial" w:eastAsia="Arial" w:hAnsi="Arial"/>
                <w:sz w:val="18"/>
                <w:szCs w:val="18"/>
                <w:color w:val="auto"/>
                <w:w w:val="92"/>
              </w:rPr>
              <w:t>Preferred Stock - $0.01 par value (100,000 shares authorized and no shares issued or outstanding at March</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31, 2017 and December 31, 2016, respectively)</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Common stock - $0.01 par value (112,500,000 shares authorized; 55,471,171 and 31,226,336 shares issued</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at March 31, 2017 and December 31, 2016, respectively and 55,466,492 and 31,221,657 shares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outstanding at March 31, 2017 and December 31, 2016, respectively)</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554,712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252,176,416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247,878,463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(246,539,848)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(241,379,712)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Subtotal</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6,191,280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6,811,014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 at cost (4,679 shares March 31, 2017 and December 31, 2016)</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(85,188)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(85,188)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6,106,092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6,725,826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30,798,908</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30,849,691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60" w:type="dxa"/>
            <w:vAlign w:val="bottom"/>
          </w:tcPr>
          <w:p>
            <w:pPr>
              <w:jc w:val="center"/>
              <w:ind w:left="3730"/>
              <w:spacing w:after="0"/>
              <w:rPr>
                <w:sz w:val="20"/>
                <w:szCs w:val="20"/>
                <w:color w:val="auto"/>
              </w:rPr>
            </w:pPr>
            <w:r>
              <w:rPr>
                <w:rFonts w:ascii="Arial" w:cs="Arial" w:eastAsia="Arial" w:hAnsi="Arial"/>
                <w:sz w:val="18"/>
                <w:szCs w:val="18"/>
                <w:b w:val="1"/>
                <w:bCs w:val="1"/>
                <w:color w:val="auto"/>
              </w:rPr>
              <w:t>CELSION CORPORATION</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560" w:type="dxa"/>
            <w:vAlign w:val="bottom"/>
          </w:tcPr>
          <w:p>
            <w:pPr>
              <w:jc w:val="center"/>
              <w:ind w:left="3730"/>
              <w:spacing w:after="0"/>
              <w:rPr>
                <w:sz w:val="20"/>
                <w:szCs w:val="20"/>
                <w:color w:val="auto"/>
              </w:rPr>
            </w:pPr>
            <w:r>
              <w:rPr>
                <w:rFonts w:ascii="Arial" w:cs="Arial" w:eastAsia="Arial" w:hAnsi="Arial"/>
                <w:sz w:val="18"/>
                <w:szCs w:val="18"/>
                <w:b w:val="1"/>
                <w:bCs w:val="1"/>
                <w:color w:val="auto"/>
                <w:w w:val="99"/>
              </w:rPr>
              <w:t>CONDENSED CONSOLIDATED</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jc w:val="center"/>
              <w:ind w:left="3750"/>
              <w:spacing w:after="0"/>
              <w:rPr>
                <w:sz w:val="20"/>
                <w:szCs w:val="20"/>
                <w:color w:val="auto"/>
              </w:rPr>
            </w:pPr>
            <w:r>
              <w:rPr>
                <w:rFonts w:ascii="Arial" w:cs="Arial" w:eastAsia="Arial" w:hAnsi="Arial"/>
                <w:sz w:val="18"/>
                <w:szCs w:val="18"/>
                <w:b w:val="1"/>
                <w:bCs w:val="1"/>
                <w:color w:val="auto"/>
                <w:w w:val="98"/>
              </w:rPr>
              <w:t>STATEMENTS OF OPERATIONS</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tcPr>
          <w:p>
            <w:pPr>
              <w:jc w:val="center"/>
              <w:ind w:left="3730"/>
              <w:spacing w:after="0"/>
              <w:rPr>
                <w:sz w:val="20"/>
                <w:szCs w:val="20"/>
                <w:color w:val="auto"/>
              </w:rPr>
            </w:pPr>
            <w:r>
              <w:rPr>
                <w:rFonts w:ascii="Arial" w:cs="Arial" w:eastAsia="Arial" w:hAnsi="Arial"/>
                <w:sz w:val="18"/>
                <w:szCs w:val="18"/>
                <w:b w:val="1"/>
                <w:bCs w:val="1"/>
                <w:color w:val="auto"/>
                <w:w w:val="93"/>
              </w:rPr>
              <w:t>(Unaudited)</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3,475,276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3,441,171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1,468,122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1,862,525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800"/>
              <w:spacing w:after="0"/>
              <w:rPr>
                <w:sz w:val="20"/>
                <w:szCs w:val="20"/>
                <w:color w:val="auto"/>
              </w:rPr>
            </w:pPr>
            <w:r>
              <w:rPr>
                <w:rFonts w:ascii="Arial" w:cs="Arial" w:eastAsia="Arial" w:hAnsi="Arial"/>
                <w:sz w:val="18"/>
                <w:szCs w:val="18"/>
                <w:b w:val="1"/>
                <w:bCs w:val="1"/>
                <w:color w:val="auto"/>
              </w:rPr>
              <w:t>Total operating expenses</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4,943,398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5,303,696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(4,818,398)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(5,178,696)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Loss from change in valuation of earn-out milestone liability</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(283,751)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Arial" w:cs="Arial" w:eastAsia="Arial" w:hAnsi="Arial"/>
                <w:sz w:val="18"/>
                <w:szCs w:val="18"/>
                <w:color w:val="auto"/>
              </w:rPr>
              <w:t>Investment income, net</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(62,340)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Arial" w:cs="Arial" w:eastAsia="Arial" w:hAnsi="Arial"/>
                <w:sz w:val="18"/>
                <w:szCs w:val="18"/>
                <w:color w:val="auto"/>
              </w:rPr>
              <w:t>Other income (expense)</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Total other (expense) income, net</w:t>
            </w:r>
          </w:p>
        </w:tc>
        <w:tc>
          <w:tcPr>
            <w:tcW w:w="5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(341,738)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(537,771)</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58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(5,160,136)</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(5,716,467)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common share</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960"/>
              <w:spacing w:after="0"/>
              <w:rPr>
                <w:sz w:val="20"/>
                <w:szCs w:val="20"/>
                <w:color w:val="auto"/>
              </w:rPr>
            </w:pPr>
            <w:r>
              <w:rPr>
                <w:rFonts w:ascii="Arial" w:cs="Arial" w:eastAsia="Arial" w:hAnsi="Arial"/>
                <w:sz w:val="18"/>
                <w:szCs w:val="18"/>
                <w:b w:val="1"/>
                <w:bCs w:val="1"/>
                <w:color w:val="auto"/>
              </w:rPr>
              <w:t>Basic and diluted</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7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60" w:type="dxa"/>
            <w:vAlign w:val="bottom"/>
            <w:shd w:val="clear" w:color="auto" w:fill="CCEEFF"/>
          </w:tcPr>
          <w:p>
            <w:pPr>
              <w:ind w:left="960"/>
              <w:spacing w:after="0"/>
              <w:rPr>
                <w:sz w:val="20"/>
                <w:szCs w:val="20"/>
                <w:color w:val="auto"/>
              </w:rPr>
            </w:pPr>
            <w:r>
              <w:rPr>
                <w:rFonts w:ascii="Arial" w:cs="Arial" w:eastAsia="Arial" w:hAnsi="Arial"/>
                <w:sz w:val="18"/>
                <w:szCs w:val="18"/>
                <w:b w:val="1"/>
                <w:bCs w:val="1"/>
                <w:color w:val="auto"/>
              </w:rPr>
              <w:t>Basic and diluted</w:t>
            </w:r>
          </w:p>
        </w:tc>
        <w:tc>
          <w:tcPr>
            <w:tcW w:w="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42,424,957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23,388,152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jc w:val="center"/>
        <w:ind w:left="78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80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p>
      <w:pPr>
        <w:ind w:left="8660"/>
        <w:spacing w:after="0"/>
        <w:tabs>
          <w:tab w:leader="none" w:pos="1034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-130810</wp:posOffset>
            </wp:positionV>
            <wp:extent cx="20237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23745" cy="889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14605</wp:posOffset>
            </wp:positionV>
            <wp:extent cx="20237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gain</w:t>
            </w: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investment securities</w:t>
            </w: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gain</w:t>
            </w: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(5,160,136)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(5,716,467)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5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(5,160,136)</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(5,712,609)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165"/>
              <w:spacing w:after="0"/>
              <w:rPr>
                <w:sz w:val="20"/>
                <w:szCs w:val="20"/>
                <w:color w:val="auto"/>
              </w:rPr>
            </w:pPr>
            <w:r>
              <w:rPr>
                <w:rFonts w:ascii="Arial" w:cs="Arial" w:eastAsia="Arial" w:hAnsi="Arial"/>
                <w:sz w:val="18"/>
                <w:szCs w:val="18"/>
                <w:b w:val="1"/>
                <w:bCs w:val="1"/>
                <w:color w:val="auto"/>
              </w:rPr>
              <w:t>March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(5,160,136)</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(5,716,467)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Non-cash items included in net loss: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Change in fair value of earn-out milestone liability</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283,751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302,656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Stock-based compensation costs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117,466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615,014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Shares issued out of treasury</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Amortization of deferred finance charges and debt discount associated with notes payable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85,192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deferred rent liability</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(9,264)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Loss realized on sale of investment securities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changes in:</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Accrued interest on short term investments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Advances, deposits and other current assets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1,172,121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(65,286)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Accrued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336,050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177,272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960"/>
              <w:spacing w:after="0"/>
              <w:rPr>
                <w:sz w:val="20"/>
                <w:szCs w:val="20"/>
                <w:color w:val="auto"/>
              </w:rPr>
            </w:pPr>
            <w:r>
              <w:rPr>
                <w:rFonts w:ascii="Arial" w:cs="Arial" w:eastAsia="Arial" w:hAnsi="Arial"/>
                <w:sz w:val="18"/>
                <w:szCs w:val="18"/>
                <w:b w:val="1"/>
                <w:bCs w:val="1"/>
                <w:color w:val="auto"/>
              </w:rPr>
              <w:t>Net cash (used in) operating activities:</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(3,130,004)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(4,744,121)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 and maturity of investment securities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10,799,890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(21,126)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(21,878)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b w:val="1"/>
                <w:bCs w:val="1"/>
                <w:color w:val="auto"/>
              </w:rPr>
              <w:t>Net cash provided by investing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1,658,874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10,778,012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Proceeds from sale of common stock equity, net of issuance costs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4,284,373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common stock warrants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Principal payments on notes payable</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(1,106,392)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(988,493)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3,316,544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(988,493)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1,845,414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5,045,398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2,624,162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9,265,144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4,469,576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14,310,542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Interest paid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44,655</w:t>
            </w:r>
          </w:p>
        </w:tc>
        <w:tc>
          <w:tcPr>
            <w:tcW w:w="140" w:type="dxa"/>
            <w:vAlign w:val="bottom"/>
          </w:tcPr>
          <w:p>
            <w:pPr>
              <w:spacing w:after="0"/>
              <w:rPr>
                <w:sz w:val="18"/>
                <w:szCs w:val="18"/>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165,527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THE CONDENSED CONSOLIDATED</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FINANCIAL STATEMENTS (UNAUDITED)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Celsion Corporation, a Delaware corporation based in Lawrenceville, New Jersey, its wholly-owned subsidiaries CLSN Laboratories, Inc., also a Delaware corporation, and Celsion GmbH, a limited liability company in Zug Switzerland, referred to herein as “Celsion”, “we”, or “the Company”, as the context requires, is a fully-integrated development stage oncology drug company focused on developing a portfolio of innovative cancer treatments, including directed chemotherapies, DNA-mediated immunotherapy and RNA based therapies. Our lead product candidate is ThermoDox®, a proprietary dosage form of doxorubicin based on a heat-activated liposomal platform technology, currently in a Phase III clinical trial for the treatment of non-resectable hepatocellular carcinoma (“HCC”) also known as primary liver cancer, and a Phase II clinical trial for recurrent chest wall breast cancer. Our pipeline also includes GEN-1, a DNA-based immunotherapy currently in a Phase I clinical trial for the localized treatment of ovarian cancer and pre-clinical development for brain cancer. GEN-1 is based on a platform technology for the development of treatments using novel nucleic acid-based immunotherapies and other anti-cancer DNA or RNA therapies. We are working to develop and commercialize more efficient, effective and targeted oncology therapies based on our technologies, with the goal of developing novel therapeutics that maximize efficacy while minimizing side-effects common to cancer treatments.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which include the accounts of Celsion Corporation, CLSN Laboratories, Inc. and Celsion GmbH, have been prepared in accordance with generally accepted accounting principles in the United States (GAAP) for interim financial information and with the instructions to Form 10-Q and Article 10 of Regulation S-X. All intercompany balances and transactions have been eliminated. Certain information and disclosures normally included in financial statements prepared in accordance with GAAP have been condensed or omitted pursuant to such rules and regulations.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 month period ended March 31, 2017 are not necessarily indicative of the results that may be expected for any other interim period(s) or for any full year. For further information, refer to the financial statements and notes thereto included in the Company’s Annual Report on Form 10-K for the fiscal year ended December 31, 2016 filed with the Securities and Exchange Commission (SEC) on March 24, 2017.</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 Events and conditions arising subsequent to the most recent balance sheet date have been evaluated for their possible impact on the financial statements and accompanying notes. No events and conditions would give rise to any information that required accounting recognition or disclosure in the financial statements other than those arising in the ordinary course of business.</w:t>
      </w:r>
    </w:p>
    <w:p>
      <w:pPr>
        <w:spacing w:after="0" w:line="1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Financial Condition and Going Concern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Food and Drug Administration. We have not generated significant revenue and have incurred significant net losses in each year since our inception. We have incurred approximately $247 million of cumulated net losses. As of March 31, 2017, we had approximately $4.5 million in cash and cash equivalents.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both"/>
        <w:spacing w:after="0" w:line="272"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produce, and market and sell its new product candidates. There can be no assurance that the Company will be able to commercialize its technology successfully or that profitability will ever be achieved. The Company expects that its operating results will fluctuate significantly in the future and will depend on a number of factors, many of which are outside the Company’s control. The Company will need substantial additional funding in order to complete the development, testing and commercialization of its oncology product candidates and we have made a significant commitment to heat-activated liposome research and development projects. It is our intention at least to maintain the pace and scope of these development activities.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have been prepared on the going concern basis. In making this assessment, management conducted a comprehensive review of the Company’s business plan including, but not limited to:</w:t>
      </w:r>
    </w:p>
    <w:p>
      <w:pPr>
        <w:spacing w:after="0" w:line="170" w:lineRule="exact"/>
        <w:rPr>
          <w:sz w:val="20"/>
          <w:szCs w:val="20"/>
          <w:color w:val="auto"/>
        </w:rPr>
      </w:pPr>
    </w:p>
    <w:p>
      <w:pPr>
        <w:ind w:left="820" w:hanging="407"/>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financial position for the quarter ended March 31, 2017;</w:t>
      </w:r>
    </w:p>
    <w:p>
      <w:pPr>
        <w:spacing w:after="0" w:line="23" w:lineRule="exact"/>
        <w:rPr>
          <w:rFonts w:ascii="Arial" w:cs="Arial" w:eastAsia="Arial" w:hAnsi="Arial"/>
          <w:sz w:val="18"/>
          <w:szCs w:val="18"/>
          <w:color w:val="auto"/>
        </w:rPr>
      </w:pPr>
    </w:p>
    <w:p>
      <w:pPr>
        <w:ind w:left="820" w:hanging="407"/>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events and transaction the Company has entered into since December 31, 2016;</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remaining payments of the note payable totaling $1.5 million at March 31, 2017;</w:t>
      </w:r>
    </w:p>
    <w:p>
      <w:pPr>
        <w:spacing w:after="0" w:line="9" w:lineRule="exact"/>
        <w:rPr>
          <w:rFonts w:ascii="Arial" w:cs="Arial" w:eastAsia="Arial" w:hAnsi="Arial"/>
          <w:sz w:val="18"/>
          <w:szCs w:val="18"/>
          <w:color w:val="auto"/>
        </w:rPr>
      </w:pPr>
    </w:p>
    <w:p>
      <w:pPr>
        <w:ind w:left="820" w:right="280" w:hanging="407"/>
        <w:spacing w:after="0" w:line="250"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capitalization structure including common stock outstanding and common stock issuable on exercise of warrants and equity awards, and other common stock issuable under equity plans; and</w:t>
      </w:r>
    </w:p>
    <w:p>
      <w:pPr>
        <w:ind w:left="820" w:hanging="407"/>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support of the Company’s stockholders and lender.</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uncertainties involved in our business, we are unable to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 Our estimated future capital requirements are uncertain and could change materially as a result of many factors, including the progress of our research, development, clinical, manufacturing, and commercialization activities.</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Management has determined the Company has suffered recurring losses from operations and has an accumulated deficit that raises substantial doubt about our ability to continue as a going concern for the next twelve months from our issuance date</w:t>
      </w:r>
      <w:r>
        <w:rPr>
          <w:rFonts w:ascii="Arial" w:cs="Arial" w:eastAsia="Arial" w:hAnsi="Arial"/>
          <w:sz w:val="19"/>
          <w:szCs w:val="19"/>
          <w:color w:val="auto"/>
        </w:rPr>
        <w:t>. The financial statements do not include any adjustments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that might result from the outcome of the uncertainty.</w:t>
      </w:r>
    </w:p>
    <w:p>
      <w:pPr>
        <w:spacing w:after="0" w:line="2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fundamental component of the ability to continue as a going concern is the Company’s ability to raise capital as required, as to which no assurances can be provided. To address the additional funding requirements of the Company, management has undertaken the following initiatives:</w:t>
      </w:r>
    </w:p>
    <w:p>
      <w:pPr>
        <w:spacing w:after="0" w:line="147" w:lineRule="exact"/>
        <w:rPr>
          <w:sz w:val="20"/>
          <w:szCs w:val="20"/>
          <w:color w:val="auto"/>
        </w:rPr>
      </w:pPr>
    </w:p>
    <w:p>
      <w:pPr>
        <w:ind w:left="820" w:hanging="407"/>
        <w:spacing w:after="0" w:line="258"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February 14, 2017, the Company raised approximately $5.0 million in gross proceeds through a public offering of its common stock and warrants to purchase common stock;</w:t>
      </w:r>
    </w:p>
    <w:p>
      <w:pPr>
        <w:spacing w:after="0" w:line="1" w:lineRule="exact"/>
        <w:rPr>
          <w:rFonts w:ascii="Arial" w:cs="Arial" w:eastAsia="Arial" w:hAnsi="Arial"/>
          <w:sz w:val="18"/>
          <w:szCs w:val="18"/>
          <w:color w:val="auto"/>
        </w:rPr>
      </w:pPr>
    </w:p>
    <w:p>
      <w:pPr>
        <w:ind w:left="820" w:hanging="407"/>
        <w:spacing w:after="0" w:line="25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requested an increase of its authorized shares sufficient to allow for the funding of its clinical programs at its next Annual Meeting of Stockholders on May 16, 2017;</w:t>
      </w: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has $7.5 million under a controlled equity offering facility;</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 assessed its current expenditures and has reduced the current spending requirements where necessary;</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 will pursue additional capital funding in the public and private markets through equity sales and/or debt facilities;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 will pursue possible partnerships and collaborations; and</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 will pursue potential out licensing for its drug candidates.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ability to continue as a going concern may depend on our ability to raise additional capital, attain further operating efficiencies, reduce expenditures, and, ultimately, to generate revenue. There are no assurances that these future funding and operating efforts will be successful. If management is unsuccessful in these efforts, our current capital is not sufficient to fund our operations for the next twelve months.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New Accounting Pronouncements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Financial Accounting Standards Board (FASB) and are adopted by us as of the specified effective date. Unless otherwise discussed, we believe that the impact of recently issued accounting pronouncements will not have a material impact on the Company’s consolidated financial position, results of operations, and cash flows, or do not apply to our operations.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jc w:val="both"/>
        <w:spacing w:after="0" w:line="286" w:lineRule="auto"/>
        <w:rPr>
          <w:sz w:val="20"/>
          <w:szCs w:val="20"/>
          <w:color w:val="auto"/>
        </w:rPr>
      </w:pPr>
      <w:r>
        <w:rPr>
          <w:rFonts w:ascii="Arial" w:cs="Arial" w:eastAsia="Arial" w:hAnsi="Arial"/>
          <w:sz w:val="16"/>
          <w:szCs w:val="16"/>
          <w:color w:val="auto"/>
        </w:rPr>
        <w:t>In May 2014, the FASB issued Accounting Standards Update No. 2014-09 “Revenue from Contracts with Customers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ASU 2014-09 was originally going to be effective on January 1, 2017; however, the FASB issued ASU 2015-14, “Revenue from Contracts with Customers (Topic</w:t>
      </w:r>
    </w:p>
    <w:p>
      <w:pPr>
        <w:spacing w:after="0" w:line="2" w:lineRule="exact"/>
        <w:rPr>
          <w:sz w:val="20"/>
          <w:szCs w:val="20"/>
          <w:color w:val="auto"/>
        </w:rPr>
      </w:pPr>
    </w:p>
    <w:p>
      <w:pPr>
        <w:jc w:val="both"/>
        <w:ind w:firstLine="8"/>
        <w:spacing w:after="0" w:line="268" w:lineRule="auto"/>
        <w:tabs>
          <w:tab w:leader="none" w:pos="381" w:val="left"/>
        </w:tabs>
        <w:numPr>
          <w:ilvl w:val="0"/>
          <w:numId w:val="4"/>
        </w:numPr>
        <w:rPr>
          <w:rFonts w:ascii="Arial" w:cs="Arial" w:eastAsia="Arial" w:hAnsi="Arial"/>
          <w:sz w:val="17"/>
          <w:szCs w:val="17"/>
          <w:color w:val="auto"/>
        </w:rPr>
      </w:pPr>
      <w:r>
        <w:rPr>
          <w:rFonts w:ascii="Arial" w:cs="Arial" w:eastAsia="Arial" w:hAnsi="Arial"/>
          <w:sz w:val="17"/>
          <w:szCs w:val="17"/>
          <w:color w:val="auto"/>
        </w:rPr>
        <w:t>— Deferral of the Effective Date,” which deferred the effective date of ASU 2014-09 by one year to January 1, 2018. In March 2016, the FASB issued ASU No. 2016-8, “Revenue from Contracts with Customers (Topic 606): Principal versus Agent Considerations. The amendments in this ASU do not change the core principle of ASU No. 2014-09 but the amendments clarify the implementation guidance on reporting revenue gross versus net. The effective date for the amendments in this ASU is the same as the effective date of ASU No. 2014-09. In April 2016, the FASB issued ASU No. 2016-10, “Revenue from Contracts with Customers (Identifying Performance Obligations and Licensing),” to clarify the implementation guidance on identifying performance obligations and licensing. The standard allows for either “full retrospective” adoption, meaning the standard is applied to all of the periods presented, or “modified retrospective” adoption, meaning the standard is applied only to the most current period presented in the financial statements. The Company is currently evaluating the impact of adopting these standards and at this point, nothing has come to the Company’s attention that would indicate the adoption of these standards will have a material impact on the Company’s consolidated financial statements.</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January 2016, the FASB issued Accounting Standards Update No. 2016-01, Recognition and Measurement of Financial Assets and Financial Liabilities, which requires that most equity investments be measured at fair value, with subsequent changes in fair value recognized in net income (other than those accounted for under the equity method of accounting). This guidance is effective for fiscal years, and interim periods within those years, beginning after December 15, 2017. The Company is currently assessing the impact of the adoption of this guidance on its consolidated financial statements and disclosures.</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Accounting Standards Update No. 2016-02, Leases (Topic 842), which requires that lessees recognize assets and liabilities for leases with lease terms greater than twelve months in the statement of financial position. Leases will be classified as either finance or operating, with classification affecting the pattern of expense recognition in the income statement. This update also requires improved disclosures to help users of financial statements better understand the amount, timing and uncertainty of cash flows arising from leases. The update is effective for fiscal years beginning after December 15, 2018, including interim reporting periods within that reporting period. Early adoption is permitted. The Company is currently evaluating the impact the adoption of this guidance will have on its consolidated financial statements and disclosures.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2016, the FASB issued Accounting Standards Update No. 2016-09, Compensation – Stock Compensation (Topic 718). The new standard simplifies several aspects of the accounting for employee share-based payment transactions, including the accounting for income taxes, forfeitures, and statutory tax withholding requirements, as well as classification in the statement of cash flows. The new standard is effective for public companies for annual reporting periods beginning after December 15, 2016, including interim periods within those annual reporting periods; however, early adoption is allowed. The Company adopted this standard in January 2017 and made the election to account for award forfeitures as they occur. The adoption of this standard did not have a material impact on the Company’s consolidated financial statements.</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2016, the FASB issued Accounting Standard Update No. 2016-15, Statement of Cash Flows (Topic 230): Classification of Certain Cash Receipts and Cash Payments. This update clarifies how certain cash receipts and payments should be presented in the statement of cash flows and is effective for interim and annual reporting periods beginning after December 15, 2017, with early adoption pem1itted. The Company does not believe that this guidance will have an impact on the consolidated financial statements and related disclosures.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2016, the FASB issued Accounting Standard Update No. 2016-18, Statement of Cash Flows (Topic 230): Restricted Cash. This update amends the guidance in ASC 230, including providing additional guidance related to transfers between cash and restricted cash and how entities present, in their statement of cash flows, the cash receipts and cash payments that directly affect the restricted cash accounts. This guidance is effective for annual reporting periods beginning after December 15, 2017, and interim periods within those years, with early adoption permitted. The Company is currently evaluating the impact of adoption on its consolidated financial statements.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2017, the FASB issued Accounting Standard Update No. 2017-01, Business Combinations (Topic 805): Clarifying the Definition of a Business, which clarifies the definition of a business with the objective of adding guidance to assist entities with evaluating whether transactions should be accounted for as acquisitions (or disposals) of assets or businesses. This guidance is effective for annual reporting periods beginning after December 15, 2018, and interim periods within those years, with early adoption permitted. The Company is currently evaluating the impact of adoption on its consolidated financial statements.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January 2017, the FASB issued Accounting Standard Update No. 2017-04, Intangibles-Goodwill and Other, Simplifying the Test for Goodwill impairment, which eliminates Step 2 from the goodwill impairment test. Under the revised test,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This ASU is effective for any interim or annual impairment tests for fiscal years beginning after December 15, 2019, with early adoption permitted. The Company is currently evaluating the impact of adoption on its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share is calculated based upon the net income (loss) available to common shareholders divided by the weighted average number of common shares outstanding during the period. Diluted earnings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 periods ended March 31, 2017 and 2016, diluted loss attributable to common shareholders per common share was the same as basic loss attributable to common shareholders per common share as all options and warrants that were convertible into shares of the Company’s common stock were excluded from the calculation of diluted earnings attributable to common shareholders per common share as their effect would have been anti-dilutive. The total number of shares of common stock issuable upon exercise of warrants and equity awards were 37,587,775 and 8,627,832 for the three month periods ended March 31, 2017 and 2016, respectively.</w:t>
      </w: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59"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6.  Investment Securities - Available For Sale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Short term investments available for sale of $1,680,000 as of December 31, 2016 consisted of certificates of deposit. These were valued at estimated fair value. 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 The fair value of Company’s investment securities as of December 31, 2016 did not have gross unrealized gains or losses.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cost, fair value and maturities of the Company’s short-term investments as of December 31, 2016 is as follows:</w:t>
      </w: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December 31, 2016</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Short-term investments</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deposit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1,680,000</w:t>
            </w:r>
          </w:p>
        </w:tc>
        <w:tc>
          <w:tcPr>
            <w:tcW w:w="8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1,680,000</w:t>
            </w: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December 31, 2016</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Short-term investment maturities</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Within 3 months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1,680,000</w:t>
            </w:r>
          </w:p>
        </w:tc>
        <w:tc>
          <w:tcPr>
            <w:tcW w:w="8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1,680,000</w:t>
            </w: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Investment income, which includes net realized losses on sales of available for sale securities and investment income interest and dividends, is summarized as follows: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Description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17145</wp:posOffset>
            </wp:positionV>
            <wp:extent cx="4776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2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and dividends accrued and paid</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Accretion of investment premium</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Realized losses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 income, net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Fair Value of Measurements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p>
      <w:pPr>
        <w:ind w:left="1140"/>
        <w:spacing w:after="0"/>
        <w:tabs>
          <w:tab w:leader="none" w:pos="286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01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2101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18" w:lineRule="exact"/>
        <w:rPr>
          <w:sz w:val="20"/>
          <w:szCs w:val="20"/>
          <w:color w:val="auto"/>
        </w:rPr>
      </w:pPr>
    </w:p>
    <w:p>
      <w:pPr>
        <w:spacing w:after="0"/>
        <w:tabs>
          <w:tab w:leader="none" w:pos="1140" w:val="left"/>
          <w:tab w:leader="none" w:pos="1760" w:val="left"/>
          <w:tab w:leader="none" w:pos="2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1,991</w:t>
        <w:tab/>
        <w:t>$</w:t>
      </w:r>
      <w:r>
        <w:rPr>
          <w:sz w:val="20"/>
          <w:szCs w:val="20"/>
          <w:color w:val="auto"/>
        </w:rPr>
        <w:tab/>
      </w:r>
      <w:r>
        <w:rPr>
          <w:rFonts w:ascii="Arial" w:cs="Arial" w:eastAsia="Arial" w:hAnsi="Arial"/>
          <w:sz w:val="16"/>
          <w:szCs w:val="16"/>
          <w:color w:val="auto"/>
        </w:rPr>
        <w:t>18,987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-121920</wp:posOffset>
            </wp:positionV>
            <wp:extent cx="702373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23735" cy="137160"/>
                    </a:xfrm>
                    <a:prstGeom prst="rect">
                      <a:avLst/>
                    </a:prstGeom>
                    <a:noFill/>
                  </pic:spPr>
                </pic:pic>
              </a:graphicData>
            </a:graphic>
          </wp:anchor>
        </w:drawing>
      </w:r>
    </w:p>
    <w:p>
      <w:pPr>
        <w:spacing w:after="0" w:line="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(5,788)</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(3,858)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-130810</wp:posOffset>
            </wp:positionV>
            <wp:extent cx="702373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23735" cy="146050"/>
                    </a:xfrm>
                    <a:prstGeom prst="rect">
                      <a:avLst/>
                    </a:prstGeom>
                    <a:noFill/>
                  </pic:spPr>
                </pic:pic>
              </a:graphicData>
            </a:graphic>
          </wp:anchor>
        </w:drawing>
      </w:r>
    </w:p>
    <w:p>
      <w:pPr>
        <w:spacing w:after="0"/>
        <w:tabs>
          <w:tab w:leader="none" w:pos="1140" w:val="left"/>
          <w:tab w:leader="none" w:pos="1760" w:val="left"/>
          <w:tab w:leader="none" w:pos="2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1,991</w:t>
        <w:tab/>
        <w:t>$</w:t>
      </w:r>
      <w:r>
        <w:rPr>
          <w:sz w:val="20"/>
          <w:szCs w:val="20"/>
          <w:color w:val="auto"/>
        </w:rPr>
        <w:tab/>
      </w:r>
      <w:r>
        <w:rPr>
          <w:rFonts w:ascii="Arial" w:cs="Arial" w:eastAsia="Arial" w:hAnsi="Arial"/>
          <w:sz w:val="16"/>
          <w:szCs w:val="16"/>
          <w:color w:val="auto"/>
        </w:rPr>
        <w:t>9,341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01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01215" cy="26035"/>
                    </a:xfrm>
                    <a:prstGeom prst="rect">
                      <a:avLst/>
                    </a:prstGeom>
                    <a:noFill/>
                  </pic:spPr>
                </pic:pic>
              </a:graphicData>
            </a:graphic>
          </wp:anchor>
        </w:drawing>
      </w:r>
    </w:p>
    <w:p>
      <w:pPr>
        <w:spacing w:after="0" w:line="656" w:lineRule="exact"/>
        <w:rPr>
          <w:sz w:val="20"/>
          <w:szCs w:val="20"/>
          <w:color w:val="auto"/>
        </w:rPr>
      </w:pPr>
    </w:p>
    <w:p>
      <w:pPr>
        <w:sectPr>
          <w:pgSz w:w="11900" w:h="16838" w:orient="portrait"/>
          <w:cols w:equalWidth="0" w:num="2">
            <w:col w:w="7100" w:space="720"/>
            <w:col w:w="3600"/>
          </w:cols>
          <w:pgMar w:left="240" w:top="580" w:right="239" w:bottom="1440" w:gutter="0" w:footer="0" w:header="0"/>
          <w:type w:val="continuous"/>
        </w:sectPr>
      </w:pPr>
    </w:p>
    <w:p>
      <w:pPr>
        <w:spacing w:after="0" w:line="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FASB Accounting Standards Codification (ASC) Section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three 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77"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Quoted prices (unadjusted) or identical assets or liabilities in active markets that the entity has the ability to access as of the measurement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w:t>
      </w:r>
    </w:p>
    <w:p>
      <w:pPr>
        <w:spacing w:after="0" w:line="162"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Significant other observable inputs other than Level 1 prices such as quoted prices for similar assets or liabilities; quoted prices in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not active; or other inputs that are observable or can be corroborated by observable market data; and</w:t>
      </w:r>
    </w:p>
    <w:p>
      <w:pPr>
        <w:spacing w:after="0" w:line="162"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Significant unobservable inputs that reflect a reporting entity’s own assumptions that market participants would use in pricing an asset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securities available for sale are determined by obtaining quoted prices on nationally recognized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and cash equivalents, other current assets, accounts payable and other accrued liabilities are reflected in the balance sheet at their estimated fair values primarily due to their short-term nature. There were no transfers of assets of liabilities between Level 1 and Level 2 and no transfers in or out of Level 3 during the three months ended March 31, 2017 except for the change in the earn-out milestone liability included in earnings (Note 13).</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color w:val="auto"/>
        </w:rPr>
        <w:t>Assets and liabilities measured at fair value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jc w:val="right"/>
        <w:ind w:right="2160"/>
        <w:spacing w:after="0" w:line="376" w:lineRule="auto"/>
        <w:rPr>
          <w:sz w:val="20"/>
          <w:szCs w:val="20"/>
          <w:color w:val="auto"/>
        </w:rPr>
      </w:pPr>
      <w:r>
        <w:rPr>
          <w:rFonts w:ascii="Arial" w:cs="Arial" w:eastAsia="Arial" w:hAnsi="Arial"/>
          <w:sz w:val="16"/>
          <w:szCs w:val="16"/>
          <w:color w:val="auto"/>
        </w:rPr>
        <w:t>Recurring items as of December 31, 2016 Investment securities, available for sale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Recurring items as of March 31, 2017</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Earn-out milestone liability (Note 13)</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Recurring items as of December 31, 2016</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Earn-out milestone liability (Note 13)</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Acquisition of EGEN,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3"/>
              </w:rPr>
              <w:t>Quoted Prices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Total Fair</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In Active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Significant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Value on</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Markets For</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7"/>
              </w:rPr>
              <w:t>Significant</w:t>
            </w:r>
          </w:p>
        </w:tc>
      </w:tr>
      <w:tr>
        <w:trPr>
          <w:trHeight w:val="216"/>
        </w:trPr>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the</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Identical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5"/>
              </w:rPr>
              <w:t>Observable</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Unobservable</w:t>
            </w:r>
          </w:p>
        </w:tc>
      </w:tr>
      <w:tr>
        <w:trPr>
          <w:trHeight w:val="216"/>
        </w:trPr>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Balance</w:t>
            </w: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w w:val="88"/>
              </w:rPr>
              <w:t>Assets/Liabilities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Inputs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Inputs</w:t>
            </w:r>
          </w:p>
        </w:tc>
      </w:tr>
      <w:tr>
        <w:trPr>
          <w:trHeight w:val="234"/>
        </w:trPr>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Sheet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r>
      <w:tr>
        <w:trPr>
          <w:trHeight w:val="642"/>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1,680,000</w:t>
            </w:r>
          </w:p>
        </w:tc>
        <w:tc>
          <w:tcPr>
            <w:tcW w:w="2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1,680,000</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845"/>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13,471,977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13,471,977</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13,188,226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13,188,226</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-1448435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-1174115</wp:posOffset>
            </wp:positionV>
            <wp:extent cx="72466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-874395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-599440</wp:posOffset>
            </wp:positionV>
            <wp:extent cx="72466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-299720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5180" w:space="720"/>
            <w:col w:w="5520"/>
          </w:cols>
          <w:pgMar w:left="240" w:top="584" w:right="239" w:bottom="1440" w:gutter="0" w:footer="0" w:header="0"/>
        </w:sectPr>
      </w:pPr>
    </w:p>
    <w:p>
      <w:pPr>
        <w:spacing w:after="0" w:line="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20, 2014, we completed the acquisition of substantially all of the assets of EGEN, Inc., an Alabama Corporation (EGEN) pursuant to an Asset Purchase Agreement (EGEN Purchase Agreement).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we assumed certain specified liabilities of EGEN, including the liabilities arising out of the acquired contracts and other assets relating to periods after the closing date.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aggregate purchase price for the acquisition is up to $44.4 million, which includes potential future payments of up to $30.4 million contingent upon achievement of certain milestones set forth in the EGEN Purchase Agreement (Earn-out Payments). At the closing, we paid approximately $3.0 million in cash after expense adjustment and issued 2,712,188 shares of its common stock to EGEN. In addition, 670,070 shares of common stock are currently issuable to EGEN pending satisfactory resolution of any post-closing adjustments of expenses and EGEN’s indemnification obligations under the EGEN Purchase Agreement (Holdback Shares).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Earn-out payments of up to $30.4 million will become payable, in cash, shares of Celsion common stock or a combination thereof, at Celsion’s option, as follows:</w:t>
      </w:r>
    </w:p>
    <w:p>
      <w:pPr>
        <w:spacing w:after="0" w:line="170" w:lineRule="exact"/>
        <w:rPr>
          <w:sz w:val="20"/>
          <w:szCs w:val="20"/>
          <w:color w:val="auto"/>
        </w:rPr>
      </w:pPr>
    </w:p>
    <w:p>
      <w:pPr>
        <w:ind w:left="1100" w:right="460" w:hanging="436"/>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to be conducted by the Company or its subsidiary;</w:t>
      </w:r>
    </w:p>
    <w:p>
      <w:pPr>
        <w:spacing w:after="0" w:line="170" w:lineRule="exact"/>
        <w:rPr>
          <w:rFonts w:ascii="Arial" w:cs="Arial" w:eastAsia="Arial" w:hAnsi="Arial"/>
          <w:sz w:val="18"/>
          <w:szCs w:val="18"/>
          <w:color w:val="auto"/>
        </w:rPr>
      </w:pPr>
    </w:p>
    <w:p>
      <w:pPr>
        <w:ind w:left="1100" w:right="460" w:hanging="436"/>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GEN-1 glioblastoma multiforme brain cancer study to be conducted by us or our subsidiary; and</w:t>
      </w:r>
    </w:p>
    <w:p>
      <w:pPr>
        <w:spacing w:after="0" w:line="170" w:lineRule="exact"/>
        <w:rPr>
          <w:rFonts w:ascii="Arial" w:cs="Arial" w:eastAsia="Arial" w:hAnsi="Arial"/>
          <w:sz w:val="18"/>
          <w:szCs w:val="18"/>
          <w:color w:val="auto"/>
        </w:rPr>
      </w:pPr>
    </w:p>
    <w:p>
      <w:pPr>
        <w:ind w:left="1100" w:right="440" w:hanging="436"/>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 to $6.0 million will become payable upon achieving certain specified milestones relating to the TheraSilence TM technology acquired from EGEN in the acquisition.</w:t>
      </w:r>
    </w:p>
    <w:p>
      <w:pPr>
        <w:spacing w:after="0" w:line="170" w:lineRule="exact"/>
        <w:rPr>
          <w:sz w:val="20"/>
          <w:szCs w:val="20"/>
          <w:color w:val="auto"/>
        </w:rPr>
      </w:pPr>
    </w:p>
    <w:p>
      <w:pPr>
        <w:ind w:right="680"/>
        <w:spacing w:after="0" w:line="291" w:lineRule="auto"/>
        <w:rPr>
          <w:sz w:val="20"/>
          <w:szCs w:val="20"/>
          <w:color w:val="auto"/>
        </w:rPr>
      </w:pPr>
      <w:r>
        <w:rPr>
          <w:rFonts w:ascii="Arial" w:cs="Arial" w:eastAsia="Arial" w:hAnsi="Arial"/>
          <w:sz w:val="16"/>
          <w:szCs w:val="16"/>
          <w:color w:val="auto"/>
        </w:rPr>
        <w:t>The acquisition of EGEN was accounted for under the acquisition method of accounting which required the Company to perform an allocation of the purchase price to the assets acquired and liabilities assumed. The fair value of the consideration transferred for the acquisition was approximately</w:t>
      </w:r>
    </w:p>
    <w:p>
      <w:pPr>
        <w:ind w:right="120"/>
        <w:spacing w:after="0" w:line="261" w:lineRule="auto"/>
        <w:rPr>
          <w:sz w:val="20"/>
          <w:szCs w:val="20"/>
          <w:color w:val="auto"/>
        </w:rPr>
      </w:pPr>
      <w:r>
        <w:rPr>
          <w:rFonts w:ascii="Arial" w:cs="Arial" w:eastAsia="Arial" w:hAnsi="Arial"/>
          <w:sz w:val="18"/>
          <w:szCs w:val="18"/>
          <w:color w:val="auto"/>
        </w:rPr>
        <w:t>$27.6 million. Under the acquisition method of accounting, the total purchase price was allocated to EGEN’s net tangible and intangible assets and liabilities based on their estimated fair values as of the acquisition date.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9160" w:type="dxa"/>
            <w:vAlign w:val="bottom"/>
            <w:gridSpan w:val="2"/>
          </w:tcPr>
          <w:p>
            <w:pPr>
              <w:spacing w:after="0"/>
              <w:rPr>
                <w:sz w:val="20"/>
                <w:szCs w:val="20"/>
                <w:color w:val="auto"/>
              </w:rPr>
            </w:pPr>
            <w:r>
              <w:rPr>
                <w:rFonts w:ascii="Arial" w:cs="Arial" w:eastAsia="Arial" w:hAnsi="Arial"/>
                <w:sz w:val="18"/>
                <w:szCs w:val="18"/>
                <w:color w:val="auto"/>
                <w:w w:val="95"/>
              </w:rPr>
              <w:t>The following table summarizes the fair values of these assets acquired and liabilities assumed related to the acquisition.</w:t>
            </w: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24,211,000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(Covenant not to compete)</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27,813,000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(235,000)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4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27,578,000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Acquired In-Process Research and Development (IPR&amp;D) consists of EGEN's drug technology platforms: TheraPlas and TheraSilence. The fair value of the IPR&amp;D drug technology platforms was estimated to be $25.8 million as of the acquisition date. As of the closing of the acquisition, the IPR&amp;D is considered indefinite lived intangible assets and will not be amortized. IPR&amp;D is reviewed for impairment at least annually as of our third quarter ended September 30, and whenever events or changes in circumstances indicate that the carrying value of the assets might not be recoverable.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September 30, 2016, after our assessment of the totality of the events that could impair IPR&amp;D, it was the Company’s conclusion “it is not more likely than not” that the indefinite-lived intangible assets were impaired. At December 31, 2016, the Company determined one of the IPR&amp;D assets related to the development of its RNA delivery system being developed with collaborators using their RNA product candidates, valued at $1.4 million, was impaired. Therefore, the Company wrote off the value of this IPR&amp;D asset incurring a non-cash charge of $1.4 million in the fourth quarter of 2016. In connection with the writeoff of this IPR&amp;D asset, the Company concluded there was no probability of payments of the earn-out milestones associated with this asset and therefore reduced the earn-out milestone liability by $0.7 million at the same time. The Company concluded none of the other IPR&amp;D assets were impaired at December 31, 2016. No events have occurred as of March 31, 2017 that would affect the Company’s conclusion as of the December 31, 2016 assessment date.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will it contact, solicit or approach any of the employees of the Company for purposes of offering employment.</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the end of 2016, the Company concluded the Covenant Not To Compete which was valued at approximately $1.6 million at the date of the EGEN acquisition had a definitive life and should be amortized on a straight line basis over its life of 7 years. Therefore, in the fourth quarter of 2016, the Company recorded a non-cash adjustment of $568,290 representing the cumulative amount of amortization expense from the date of acquisition through the end of 2016. Amortization expense was $56,829 during the first quarter of 2017. The carrying value of the Covenant Not To Compete was $966,095, net of $625,119 accumulated amortization, as of March 31, 2017 and was $1,022,924, net of $568,290 accumulated amortization, as of December 31, 2016.</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our third quarter ended September 30 or sooner if we believe indicators of impairment exist.</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September 30, 2016, after our assessment of the totality of the events that could impair goodwill, it was the Company’s conclusion “it is not more likely than not” that the Goodwill was impaired. Therefore, the Company was not required to conduct a two-step quantitative goodwill impairment test. At December 31, 2016, as a result of the substantial doubt in the Company’s ability to continue as a going concern, we again reviewed Goodwill for impairment by comparing the Company’s fair value to see if it exceeded its carrying value, known as the Step 1 approach. We concluded that the Company’s fair value exceeded its carrying value, and that measurement for an amount of an impairment loss, known as Step 2, was not required as Goodwill is considered not to be impaired. No events have occurred as of March 31, 2017 that would affect the Company’s conclusion as of the December 31, 2016 assessment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Note 9. Accrued Liabilities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120" w:type="dxa"/>
            <w:vAlign w:val="bottom"/>
          </w:tcPr>
          <w:p>
            <w:pPr>
              <w:spacing w:after="0"/>
              <w:rPr>
                <w:sz w:val="20"/>
                <w:szCs w:val="20"/>
                <w:color w:val="auto"/>
              </w:rPr>
            </w:pPr>
            <w:r>
              <w:rPr>
                <w:rFonts w:ascii="Arial" w:cs="Arial" w:eastAsia="Arial" w:hAnsi="Arial"/>
                <w:sz w:val="18"/>
                <w:szCs w:val="18"/>
                <w:color w:val="auto"/>
              </w:rPr>
              <w:t>Other accrued liabilities at March 31, 2017 and December 31, 2016 include the following:</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8"/>
              </w:rPr>
              <w:t>March 31, 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contract research organizations and other contractual agreements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958,270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1,115,193</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Accrued payroll and related benefits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1,676,035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1,066,751</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259,550</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Accrued interest on notes payable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22,241</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20,021</w:t>
            </w:r>
          </w:p>
        </w:tc>
      </w:tr>
      <w:tr>
        <w:trPr>
          <w:trHeight w:val="20"/>
        </w:trPr>
        <w:tc>
          <w:tcPr>
            <w:tcW w:w="8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12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2,819,806</w:t>
            </w:r>
          </w:p>
        </w:tc>
        <w:tc>
          <w:tcPr>
            <w:tcW w:w="120" w:type="dxa"/>
            <w:vAlign w:val="bottom"/>
          </w:tcPr>
          <w:p>
            <w:pPr>
              <w:spacing w:after="0"/>
              <w:rPr>
                <w:sz w:val="18"/>
                <w:szCs w:val="18"/>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2,483,756</w:t>
            </w:r>
          </w:p>
        </w:tc>
      </w:tr>
      <w:tr>
        <w:trPr>
          <w:trHeight w:val="20"/>
        </w:trPr>
        <w:tc>
          <w:tcPr>
            <w:tcW w:w="8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Note Payable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2013, the Company entered into a loan agreement with Hercules Technology Growth Capital, Inc. (Hercules) which permits up to $20 million in capital to be distributed in multiple tranches (the Hercules Credit Agreement). The Company drew the first tranche of $5 million upon closing of the Hercules Credit Agreement in November 2013 and used approximately $4 million of the proceeds to repay the outstanding obligations under its loan agreement with Oxford Finance LLC and Horizon Technology Finance Corporation as discussed further below. On June 10, 2014, the Company closed the second $5 million tranche under the Hercules Credit Agreement. The proceeds were used to fund the $3.0 million upfront cash payment associated with Celsion's acquisition of EGEN, as well as the Company’s transaction costs associated with the EGEN acquisition. Upon the closing of this second tranche, the Company has drawn down a total of $10 million under the Hercules Credit Agreement.</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obligations under the Hercules Credit Agreement are in the form of secured indebtedness bearing interest at a calculated prime-based variable rate (11.25% per annum since inception through December 17, 2015 and 11.50% since). Payments under the loan agreement were interest only for the first twelve months after loan closing, followed by a 30-month amortization period of principal and interest through the scheduled maturity date of June 1, 2017.</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Hercules Credit Agreement, the Company incurred cash expenses of $122,378. Also in connection with the Hercules Credit Facility, the Company paid loan origination fees of $230,000. Collectively, these deferred fees have been classified as a direct deduction from the debt liability consistent with the presentation of a debt discount and are being amortized as interest expense using the effective interest method over the life of the loan.</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fee in connection with the Hercules Credit Agreement, the Company issued Hercules a warrant for a total of 97,493 shares of the Company’s common stock (the Hercules Warrant) at a per share exercise price of $3.59, exercisable for cash or by net exercise from November 25, 2013. Upon the closing of the second tranche on June 10, 2014, this warrant became exercisable for an additional 97,493 shares of the Company’s common stock. The Hercules Warrant will expire November 25, 2018. Hercules has certain rights to register the common stock underlying the Hercules Warrant pursuant to a Registration Rights Agreement with the Company dated November 25, 2013. The registration rights expire on the date when such stock may be sold under Rule 144 without restriction or upon the first year anniversary of the registration statement for such stock, whichever is earlier. The common stock issuable pursuant to the Hercules Warrant was filed pursuant to Rule 415 under the Securities Act of 1933 on the Prospectus for Registration Statement No. 333-193936 and was declared effective on September 30, 2014. The Company valued the Hercules Warrants issued using the Black-Scholes option pricing model and recorded a total of $476,261 as a direct deductions from the debt liability consistent with the presentation of a debt discount and are being amortized as interest expense using the effective interest method over the life of the loan. Also in connection with each of the $5.0 million tranches, the Company is required to pay an end of term charge equal to 3.5% of each original loan amount at time of maturity. Therefore, these amounts totaling $350,000 are being amortized as interest expense using the effective interest method over the life of the loan.</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 periods ended March 31, 2017 and 2016, the Company incurred $44,655 and $165,176 in interest expense, respectively, and amortized $17,685 and $78,671, respectively as interest expense for deferred fees, debt discount and end of term charges in connection with the Hercules Credit Agreement.</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Hercules Credit Agreement contains customary covenants, including covenants that limit or restrict the Company’s ability to grant liens, incur indebtedness, make certain restricted payments, merge or consolidate and make dispositions of assets. Upon the occurrence of an event of default under the Hercules Credit Agreement, the lenders may cease making loans, terminate the Hercules Credit Agreement, declare all amounts outstanding to be immediately due and payable and foreclose on or liquidate the Company’s assets that comprise the lenders’ collateral. The Hercules Credit Agreement specifies a number of events of default (some of which are subject to applicable grace or cure periods), including, among other things, non-payment defaults, covenant defaults, a material adverse effect on the Company or its assets, cross-defaults to other material indebtedness, bankruptcy and insolvency defaults and material judgment defaults. The Company has maintained compliance with these covenants.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The remaining future principle payments and end of term fees net of debt discounts of $1,471,846 on the Hercules Credit Agreement is due in June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9"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September 2015, the Company filed with the Securities and Exchange Commission (the SEC) a $75 million shelf registration statement on Form S-3 (the 2015 Shelf Registration Statement) (File No. 333-206789) that allows the Company to issue any combination of common stock, preferred stock or warrants to purchase common stock or preferred stock. This shelf registration was declared effective on September 25, 2015.</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2016 Annual Meeting of Stockholders of the Company in June 2016, the Company’s stockholders of the Company approved an increase in the number of the authorized shares of the Company’s common stock from 75,000,000 shares to 112,500,000 shares. The number of the authorized shares of preferred stock remains 100,000 shares. The aggregate number of shares of all classes of stock that the Company may issue, after giving effect to such amendment as approved by the stockholders, will be 112,600,000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February 14, 2017 Public Offering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14, 2017, the Company entered into a securities purchase agreement whereby it sold, in a public offering (the February 14, 2017 Public Offering), an aggregate of 19,385,869 shares of common stock of the Company at an offering price of $0.23 per share. In addition, the Company sold Series</w:t>
      </w:r>
    </w:p>
    <w:p>
      <w:pPr>
        <w:jc w:val="both"/>
        <w:ind w:firstLine="8"/>
        <w:spacing w:after="0" w:line="269" w:lineRule="auto"/>
        <w:tabs>
          <w:tab w:leader="none" w:pos="307" w:val="left"/>
        </w:tabs>
        <w:numPr>
          <w:ilvl w:val="0"/>
          <w:numId w:val="7"/>
        </w:numPr>
        <w:rPr>
          <w:rFonts w:ascii="Arial" w:cs="Arial" w:eastAsia="Arial" w:hAnsi="Arial"/>
          <w:sz w:val="17"/>
          <w:szCs w:val="17"/>
          <w:color w:val="auto"/>
        </w:rPr>
      </w:pPr>
      <w:r>
        <w:rPr>
          <w:rFonts w:ascii="Arial" w:cs="Arial" w:eastAsia="Arial" w:hAnsi="Arial"/>
          <w:sz w:val="17"/>
          <w:szCs w:val="17"/>
          <w:color w:val="auto"/>
        </w:rPr>
        <w:t>Warrants (the Series AA Warrants) to purchase up to 16,489,402 shares of common stock and Pre-Funded Series BB Warrants (the Pre-Funded Series BB Warrants) to purchase up to 2,600,000 shares of common stock. The Series AA Warrants have an exercise price of $0.23 per share, have a five year life and are immediately exercisable. The Pre-Funded Series BB Warrants were offered at $0.22 per share, are immediately exercisable for $0.01 per share of common stock, do not have an expiration date and were issued in lieu of shares of common stock to the extent that the purchase of common stock would cause the beneficial ownership of the purchaser of such shares, together with its affiliates and certain related parties, to exceed 9.99% of our common stock. The Company received approximately $5.0 million in gross proceeds before the deduction of the placement agent fees and offering expenses (excluding any proceeds from the exercise of the warrants) in the February 14, 2017 Public Offering.</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the February 14, 2017 Public Offering, the Company filed with the Securities and Exchange Commission a registration statement on Form S-1 (Registration No. 333-215321) on December 23, 2016, as amended by Pre-Effective Amendment No. 1 filed with the Commission on January 20, 2017, as further amended by Pre-Effective Amendment No. 2 filed with the Commission on February 13, 2017, as further amended by Pre-Effective Amendment No. 3 filed with the Commission on February 13, 2017 and as further amended by Pre-Effective Amendment No. 4 filed with the Commission on February 14, 2017 for the registration of the securities issued and sold under the Securities Act of 1933, as amended.</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first quarter of 2017, all 2,600,000 of the Series BB Pre-Funded warrants were exercised in full. During the first quarter of 2017, we received $94,062 from the exercise of Series AA Warrants to purchase 408,966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December 2016 Common Stock Offering</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20, 2016, Company, entered into a securities purchase agreement (the December 2016 Purchase Agreement) with several investors, pursuant to which the Company sold, in a registered direct offering (the December 2016 Offering), an aggregate of 5,142,843 shares of common stock of the Company at an offering price of $0.35 per share for gross proceeds of approximately $1.8 million before the deduction of the placement agent fee and offering expenses. The shares were offered by the Company pursuant to the 2015 Shelf Registration Statement.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 concurrent private placement (the December 2016 Private Placement), the Company agreed to issue to the investors warrants, each to purchase one share of common stock (the December 2016 Warrants). The December 2016 Warrants are initially exercisable six months following issuance, and terminate five and one-half years following issuance. The December 2016 Warrants have an exercise price of $0.46 per share and are exercisable to purchase an aggregate of 5,142,843 shares of common stock. Subject to limited exceptions, a holder of a December 2016 Warrant will not have the right to exercise any portion of its warrants if the holder, together with its affiliates, would beneficially own in excess of 9.99% of the Beneficial Ownership Limitation; provided, however, that upon 61 days’ prior notice to the Company, the holder may increase or decrease the Beneficial Ownership Limitation, provided that in no event shall the Beneficial Ownership Limitation exceed 9.99%.</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jc w:val="both"/>
        <w:spacing w:after="0" w:line="271" w:lineRule="auto"/>
        <w:rPr>
          <w:sz w:val="20"/>
          <w:szCs w:val="20"/>
          <w:color w:val="auto"/>
        </w:rPr>
      </w:pPr>
      <w:r>
        <w:rPr>
          <w:rFonts w:ascii="Arial" w:cs="Arial" w:eastAsia="Arial" w:hAnsi="Arial"/>
          <w:sz w:val="17"/>
          <w:szCs w:val="17"/>
          <w:color w:val="auto"/>
        </w:rPr>
        <w:t>The December 2016 Warrants and the shares of our common stock issuable upon the exercise of the December 2016 Warrants were not registered pursuant to the Securities Act, were not offered pursuant to the 2015 Shelf Registration Statement and were offered pursuant to the exemption provided in Section 4(a)(2) under the Securities Act and Rule 506(b) promulgated thereunder. On April 18, 2017, we filed a registration statement on Form S-1 to provide for the resale of the shares of common stock issuable upon the exercise of the December 2016 Warrants and we will be obligated to use our commercially reasonable efforts to keep such registration statement effective until the earliest of (i) the date on which all of the shares of common stock issuable upon the exercise of the December 2016 Warrants have been sold under the registration statement or Rule 144 under the Securities Act, (ii) the date on which the shares of common stock issuable upon the exercise of the December 2016 Warrants may be sold without volume or manner-of-sale restrictions pursuant to Rule 144 under the Securities Act and (iii) the termination of the December 2016 Warrants.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December 2016 Purchase Agreement, the Company was prohibited, for a period of three months after the closing, from effecting or entering into an agreement to issue common stock or any other securities that are at any time convertible into, or exercisable or exchangeable for, or otherwise entitle the holder thereof to receive, common stock to the extent such issuance or sale involves certain variable conversion, exercise or exchange prices or such agreement provides for sale of securities at a price to be determined in the future except for the filing of and conducting a financing, pursuant to a registration statement on a Form S-1.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June 2016 Common Stock Offering</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13, 2016, the Company entered into a securities purchase agreement (the June 2016 Purchase Agreement) with an investor, pursuant to which the Company issued and sold, in a registered direct offering (the June 2016 Offering), an aggregate of 2,311,764 shares of common stock of the Company at an offering price of $1.36 per share. In addition, the Company sold Pre-Funded Series B Warrants (the Pre-Funded Series B Warrants) to purchase 2,100,000 shares of common stock in lieu of shares of common stock to the extent that the purchase of common stock would cause the beneficial ownership of the purchaser of such shares of common stock, together with its affiliates and certain related parties, to exceed 9.99% of our common stock. The Company offered these shares and warrants under the June 2016 Purchase Agreement pursuant to the 2015 Shelf Registration Statement. The Company received gross proceeds of approximately $6.0 million before the deduction of placement agent fees and offering expenses in the June 2016 Offering. During the third quarter of 2016, 250,000 shares of common stock were issued in connection with the exercise of some of the Pre-Funded Series B Warrants. During the first quarter of 2017, the remaining 1,850,000 Series B Pre-Funded warrants were exercised in full.</w:t>
      </w:r>
    </w:p>
    <w:p>
      <w:pPr>
        <w:spacing w:after="0" w:line="18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 concurrent private placement (the June 2016 Private Placement), the Company issued to the investor Series A warrants (the June 2016 Series A Warrants), each to purchase 0.5 share of common stock, Series C warrants (the June 2016 Series C Warrants), each to purchase one share of common stock, and Series D warrants (the June 2016 Series D Warrants), each to purchase 0.5 share of common stock (collectively the June 2016 Warrants). The June 2016 Series A Warrants are initially exercisable six months following issuance and terminate five and one-half years following issuance. The June 2016 Series C Warrants are initially exercisable six months following issuance and terminate one year following issuance. The June 2016 Series D Warrants only become exercisable ratably upon the exercise of the June 2016 Series C Warrants, are initially exercisable six months following issuance, and terminate five and one-half years following issuance. The June 2016 Warrants have an exercise price of $1.40 per share and are exercisable to purchase an aggregate of 8,823,528 shares of common stock. Subject to limited exceptions, a holder of a June 2016 Warrant will not have the right to exercise any portion of its warrants if the holder, together with its affiliates, would beneficially own in excess of 4.99% of the number of shares of common stock outstanding immediately after giving effect to such exercise (the “Beneficial Ownership Limitation”); provided, however, that upon 61 days’ prior notice to the Company, the holder may increase or decrease the Beneficial Ownership Limitation, provided that in no event shall the Beneficial Ownership Limitation exceed 9.99%. The June 2016 Warrants and the shares of our common stock issuable upon the exercise of the June 2016 Warrants are not being registered under the Securities Act of 1933, as amended (the “Securities Act”), are not being offered pursuant to the 2015 Shelf Registration Statement and are being offered pursuant to the exemption provided in Section 4(a)(2) under the Securities Act and Rule 506(b) promulgated thereunder. On October 31, 2016 we filed a registration statement on Form S-1 to provide for the resale of the shares of common stock issuable upon the exercise of the June 2016 Warrants and will be obligated to use our commercially reasonable efforts to keep such registration statement effective until the earliest of (i) the date on which all of the shares of commons stock issuable upon the exercise of the June 2016 Warrants have been sold under the registration statement or Rule 144 under the Securities Act, (ii) the date on which the shares of common stock issuable upon the exercise of the June 2016 Warrants may be sold without volume or manner-of-sale restrictions pursuant to Rule 144 under the Securities Act and (iii) the termination of the June 2016 Warrants.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June 2016 Purchase Agreement, the Company was prohibited, for a period of six months after the closing, from effecting or entering into an agreement to issue common stock or any other securities that are at any time convertible into, or exercisable or exchangeable for, or otherwise entitle the holder thereof to receive, common stock to the extent such issuance or sale involves certain variable conversion, exercise or exchange prices or such agreement provides for sale of securities at a price to be determined in the future.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auto"/>
        </w:rPr>
        <w:t>Controlled Equity Offering</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On February 1, 2013, the Company entered into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(the “ATM Agreement”) with Cantor Fitzgerald &amp; Co., as sales agent (“Cantor”), pursuant to which Celsion may offer and sell, from time to time, through Cantor, shares of our common stock having an aggregate offering price of up to $25.0 million (the “ATM Shares”) pursuant to the Company’s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From February 1, 2013 through March 31, 2017, the Company sold and issued an aggregate of 1,479,535 shares of common stock under the ATM Agreement, receiving approximately $7.6 million in gross proceeds.</w:t>
      </w:r>
    </w:p>
    <w:p>
      <w:pPr>
        <w:spacing w:after="0" w:line="19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not obligated to sell any ATM Shares under the ATM Agreement. Subject to the terms and conditions of the ATM Agreement, Cantor will use commercially reasonable efforts, consistent with its normal trading and sales practices and applicable state and federal law, rules and regulations and the rules of The NASDAQ Capital Market, to sell ATM Shares from time to time based upon the Company’s instructions, including any price, time or size limits or other customary parameters or conditions the Company may impose. In addition, pursuant to the terms and conditions of the ATM Agreement and subject to the instructions of the Company, Cantor may sell ATM Shares by any other method permitted by law, including in privately negotiated transactions.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ATM Agreement will terminate upon the earlier of (i) the sale of ATM Shares under the ATM Agreement having an aggregate offering price of $25 million and (ii) the termination of the ATM Agreement by Cantor or the Company. The ATM Agreement may be terminated by Cantor or the Company at any time upon 10 days' notice to the other party, or by Cantor at any time in certain circumstances, including the occurrence of a material adverse change in the Company. The Company pays Cantor a commission of 3.0% of the aggregate gross proceeds from each sale of ATM Shares and has agreed to provide Cantor with customary indemnification and contribution rights. The Company also reimbursed Cantor for legal fees and disbursements of $50,000 in connection with entering into the ATM Agreement. In connection with the February common stock offering, the Company agreed to not sell any ATM Shares until June 23, 2017.</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 2015, we filed a prospectus supplement to the base prospectus that forms a part of the 2015 Shelf Registration Statement, pursuant to which we may offer and sell up to $7.5 million of shares of common stock from time to time under the ATM Agreement of the $17.4 million remaining under the ATM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Plans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long-term compensation plans that permit the granting of incentive awards in the form of stock options. Generally, the terms of these plans require that the exercise price of the options may not be less than the fair market value of Celsion’s common stock on the date the options are granted. Options granted generally vest over various time frames or upon milestone accomplishments. The Company’s options generally expire ten years from the date of the grant.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Celsion Corporation 2007 Stock Incentive Plan (the 2007 Plan), as adopted and amended, permits the granting of 3,444,444 shares of stock as equity awards in the form of incentive stock options, nonqualified stock options, restricted stock, restricted stock units, stock appreciation rights, phantom stock, and performance awards, or in any combination of the foregoing. Prior to the adoption of the 2007 Plan, the Company adopted two stock plans for directors, officers and employees (one in 2001 and another in 2004) under which 148,148 shares were reserved for future issuance under each of these plans. As these plans have been superseded by the 2007 Plan, any options previously granted which expire, forfeit, or cancel under these plans will be rolled into the 2007 Plan.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A summary of the Company’s stock option and restricted stock awards for the three months ended March 31, 2017 is as follows: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jc w:val="right"/>
              <w:ind w:right="1140"/>
              <w:spacing w:after="0"/>
              <w:rPr>
                <w:sz w:val="20"/>
                <w:szCs w:val="20"/>
                <w:color w:val="auto"/>
              </w:rPr>
            </w:pPr>
            <w:r>
              <w:rPr>
                <w:rFonts w:ascii="Arial" w:cs="Arial" w:eastAsia="Arial" w:hAnsi="Arial"/>
                <w:sz w:val="18"/>
                <w:szCs w:val="18"/>
                <w:b w:val="1"/>
                <w:bCs w:val="1"/>
                <w:color w:val="auto"/>
                <w:w w:val="98"/>
              </w:rPr>
              <w:t>Restricted Stock</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w w:val="99"/>
              </w:rPr>
              <w:t>Stock Options</w:t>
            </w:r>
          </w:p>
        </w:tc>
        <w:tc>
          <w:tcPr>
            <w:tcW w:w="9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Awards</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91"/>
        </w:trPr>
        <w:tc>
          <w:tcPr>
            <w:tcW w:w="4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rPr>
              <w:t>Weighted</w:t>
            </w:r>
          </w:p>
        </w:tc>
        <w:tc>
          <w:tcPr>
            <w:tcW w:w="220" w:type="dxa"/>
            <w:vAlign w:val="bottom"/>
          </w:tcPr>
          <w:p>
            <w:pPr>
              <w:spacing w:after="0"/>
              <w:rPr>
                <w:sz w:val="16"/>
                <w:szCs w:val="16"/>
                <w:color w:val="auto"/>
              </w:rPr>
            </w:pPr>
          </w:p>
        </w:tc>
        <w:tc>
          <w:tcPr>
            <w:tcW w:w="1240" w:type="dxa"/>
            <w:vAlign w:val="bottom"/>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Weighted</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Non-vested</w:t>
            </w: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Average</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Terms of</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Restricted</w:t>
            </w: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Grant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Options</w:t>
            </w:r>
          </w:p>
        </w:tc>
        <w:tc>
          <w:tcPr>
            <w:tcW w:w="1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Exercise</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Date</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Awards</w:t>
            </w: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Equity Awards</w:t>
            </w:r>
          </w:p>
        </w:tc>
        <w:tc>
          <w:tcPr>
            <w:tcW w:w="11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4"/>
              </w:rPr>
              <w:t>Outstanding</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Price</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2"/>
              </w:rPr>
              <w:t>Outstanding</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(in years)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Equity awards outstanding at December 31, 2016</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2,932,663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Equity awards forfeited, cancelled or expired</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(454,207)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spacing w:after="0"/>
              <w:rPr>
                <w:sz w:val="18"/>
                <w:szCs w:val="18"/>
                <w:color w:val="auto"/>
              </w:rPr>
            </w:pPr>
          </w:p>
        </w:tc>
        <w:tc>
          <w:tcPr>
            <w:tcW w:w="124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Equity awards outstanding at March 31, 2017</w:t>
            </w:r>
          </w:p>
        </w:tc>
        <w:tc>
          <w:tcPr>
            <w:tcW w:w="2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2,478,456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7"/>
        </w:trPr>
        <w:tc>
          <w:tcPr>
            <w:tcW w:w="46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Aggregate intrinsic value of outstanding awards at March 31,</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13,630</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2017</w:t>
            </w:r>
          </w:p>
        </w:tc>
        <w:tc>
          <w:tcPr>
            <w:tcW w:w="260" w:type="dxa"/>
            <w:vAlign w:val="bottom"/>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6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Equity awards exercisable at March 31, 2017</w:t>
            </w:r>
          </w:p>
        </w:tc>
        <w:tc>
          <w:tcPr>
            <w:tcW w:w="2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2,033,373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7"/>
        </w:trPr>
        <w:tc>
          <w:tcPr>
            <w:tcW w:w="46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Aggregate intrinsic value of awards exercisable at March 31,</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w:t>
            </w:r>
          </w:p>
        </w:tc>
        <w:tc>
          <w:tcPr>
            <w:tcW w:w="26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Company used the following assumptions for determining the fair value of options granted during the three months period of 2016 under the Black-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There were no option grants during the same period of 2017:</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Three</w:t>
            </w:r>
          </w:p>
        </w:tc>
      </w:tr>
      <w:tr>
        <w:trPr>
          <w:trHeight w:val="216"/>
        </w:trPr>
        <w:tc>
          <w:tcPr>
            <w:tcW w:w="856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Months Ended</w:t>
            </w:r>
          </w:p>
        </w:tc>
      </w:tr>
      <w:tr>
        <w:trPr>
          <w:trHeight w:val="234"/>
        </w:trPr>
        <w:tc>
          <w:tcPr>
            <w:tcW w:w="8560" w:type="dxa"/>
            <w:vAlign w:val="bottom"/>
          </w:tcPr>
          <w:p>
            <w:pPr>
              <w:spacing w:after="0"/>
              <w:rPr>
                <w:sz w:val="20"/>
                <w:szCs w:val="20"/>
                <w:color w:val="auto"/>
              </w:rPr>
            </w:pPr>
          </w:p>
        </w:tc>
        <w:tc>
          <w:tcPr>
            <w:tcW w:w="15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March 31, 2016</w:t>
            </w:r>
          </w:p>
        </w:tc>
        <w:tc>
          <w:tcPr>
            <w:tcW w:w="180" w:type="dxa"/>
            <w:vAlign w:val="bottom"/>
          </w:tcPr>
          <w:p>
            <w:pPr>
              <w:spacing w:after="0"/>
              <w:rPr>
                <w:sz w:val="20"/>
                <w:szCs w:val="20"/>
                <w:color w:val="auto"/>
              </w:rPr>
            </w:pPr>
          </w:p>
        </w:tc>
      </w:tr>
      <w:tr>
        <w:trPr>
          <w:trHeight w:val="210"/>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Expected volatility</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89.1%</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The risk free interest rate is derived from values assigned to U.S. Treasury bonds with terms that approximate the expected option lives in effect at the time of grant. The model incorporates exercise, pre-vesting and post-vesting forfeiture assumptions based on analysis of historical data. The expiration of each option granted in fiscal 2016 was used as the expected life.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compensation cost related to employee stock options and restricted stock awards totaled $117,466 and $615,014 for the three months ended March 31, 2017 and 2016, respectively. No compensation cost related to share-based payments arrangements was capitalized as part of the cost of any asset as of March 31, 2017 and 2016.</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jc w:val="both"/>
        <w:ind w:right="40"/>
        <w:spacing w:after="0" w:line="259" w:lineRule="auto"/>
        <w:rPr>
          <w:sz w:val="20"/>
          <w:szCs w:val="20"/>
          <w:color w:val="auto"/>
        </w:rPr>
      </w:pPr>
      <w:r>
        <w:rPr>
          <w:rFonts w:ascii="Arial" w:cs="Arial" w:eastAsia="Arial" w:hAnsi="Arial"/>
          <w:sz w:val="18"/>
          <w:szCs w:val="18"/>
          <w:color w:val="auto"/>
        </w:rPr>
        <w:t>As of March 31, 2017, there was $0.2 million of total unrecognized compensation cost related to non-vested share-based compensation arrangements. That cost is expected to be recognized over a weighted-average period of 0.9 years. The weighted average grant-date fair value was $1.14 per share for the options granted during the three months ended March 31, 2016. The weighted average grant-date fair value was $1.33 for the restricted stock awards granted during three months ended March 31, 2016.</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Collectively, for all of the Company’s stock option plans there were a total of 912,741 equity awards available for future issuance as of March 31, 2017.</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Earn-out Milestone Liability</w:t>
      </w:r>
    </w:p>
    <w:p>
      <w:pPr>
        <w:spacing w:after="0" w:line="229"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The total aggregate purchase price for the EGEN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(10% to 67%) and utilizing a discount rate based on the estimated time to achieve the milestone (1.5 to 2.5 years). The earn-out milestone liability will be fair valued at the end of each quarter and any change in their value will be recognized in the financial statements.</w:t>
      </w:r>
    </w:p>
    <w:p>
      <w:pPr>
        <w:spacing w:after="0" w:line="188"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As of March 31, 2017 and December 31, 2016, the Company fair valued these milestones at $13.5 million and $13.2 million, respectively, and recognized a non-cash charge of $283,751 during the three months ended March 31, 2017 as a result of the change in the fair value of these milestones from December 31, 2016. As of March 31, 2016 and December 31, 2015, the Company fair valued these milestones at $14.2 million and $13.9 million, respectively, and recognized a non-cash charge of $302,656 during the three months ended March 31, 2016 as a result of the change in the fair value of these milestones from December 31,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the earn-out milestone liability for 2017:</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13,188,226</w:t>
            </w:r>
          </w:p>
        </w:tc>
        <w:tc>
          <w:tcPr>
            <w:tcW w:w="100" w:type="dxa"/>
            <w:vAlign w:val="bottom"/>
            <w:shd w:val="clear" w:color="auto" w:fill="CCEEFF"/>
          </w:tcPr>
          <w:p>
            <w:pPr>
              <w:spacing w:after="0"/>
              <w:rPr>
                <w:sz w:val="18"/>
                <w:szCs w:val="18"/>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Non-cash charge from the adjustment for the change in fair value included in net loss</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283,751</w:t>
            </w:r>
          </w:p>
        </w:tc>
        <w:tc>
          <w:tcPr>
            <w:tcW w:w="100" w:type="dxa"/>
            <w:vAlign w:val="bottom"/>
          </w:tcPr>
          <w:p>
            <w:pPr>
              <w:spacing w:after="0"/>
              <w:rPr>
                <w:sz w:val="18"/>
                <w:szCs w:val="18"/>
                <w:color w:val="auto"/>
              </w:rPr>
            </w:pPr>
          </w:p>
        </w:tc>
      </w:tr>
      <w:tr>
        <w:trPr>
          <w:trHeight w:val="250"/>
        </w:trPr>
        <w:tc>
          <w:tcPr>
            <w:tcW w:w="9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2017</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13,471,977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00" w:type="dxa"/>
            <w:vAlign w:val="bottom"/>
            <w:gridSpan w:val="6"/>
          </w:tcPr>
          <w:p>
            <w:pPr>
              <w:ind w:left="20"/>
              <w:spacing w:after="0"/>
              <w:rPr>
                <w:sz w:val="20"/>
                <w:szCs w:val="20"/>
                <w:color w:val="auto"/>
              </w:rPr>
            </w:pPr>
            <w:r>
              <w:rPr>
                <w:rFonts w:ascii="Arial" w:cs="Arial" w:eastAsia="Arial" w:hAnsi="Arial"/>
                <w:sz w:val="18"/>
                <w:szCs w:val="18"/>
                <w:color w:val="auto"/>
              </w:rPr>
              <w:t>The following is a schedule of the Company’s risk-adjustment assessment of each milestone:</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91"/>
              </w:rPr>
              <w:t>Estimated Time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tcPr>
          <w:p>
            <w:pPr>
              <w:jc w:val="center"/>
              <w:ind w:right="650"/>
              <w:spacing w:after="0"/>
              <w:rPr>
                <w:sz w:val="20"/>
                <w:szCs w:val="20"/>
                <w:color w:val="auto"/>
              </w:rPr>
            </w:pPr>
            <w:r>
              <w:rPr>
                <w:rFonts w:ascii="Arial" w:cs="Arial" w:eastAsia="Arial" w:hAnsi="Arial"/>
                <w:sz w:val="18"/>
                <w:szCs w:val="18"/>
                <w:b w:val="1"/>
                <w:bCs w:val="1"/>
                <w:color w:val="auto"/>
                <w:w w:val="87"/>
              </w:rPr>
              <w:t>Risk-adjustment Assessment</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90"/>
              </w:rPr>
              <w:t>to Achieve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Date</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jc w:val="center"/>
              <w:ind w:right="670"/>
              <w:spacing w:after="0"/>
              <w:rPr>
                <w:sz w:val="20"/>
                <w:szCs w:val="20"/>
                <w:color w:val="auto"/>
              </w:rPr>
            </w:pPr>
            <w:r>
              <w:rPr>
                <w:rFonts w:ascii="Arial" w:cs="Arial" w:eastAsia="Arial" w:hAnsi="Arial"/>
                <w:sz w:val="18"/>
                <w:szCs w:val="18"/>
                <w:b w:val="1"/>
                <w:bCs w:val="1"/>
                <w:color w:val="auto"/>
                <w:w w:val="88"/>
              </w:rPr>
              <w:t>of each Milestone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Discount Rate</w:t>
            </w:r>
          </w:p>
        </w:tc>
        <w:tc>
          <w:tcPr>
            <w:tcW w:w="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left="870"/>
              <w:spacing w:after="0"/>
              <w:rPr>
                <w:sz w:val="20"/>
                <w:szCs w:val="20"/>
                <w:color w:val="auto"/>
              </w:rPr>
            </w:pPr>
            <w:r>
              <w:rPr>
                <w:rFonts w:ascii="Arial" w:cs="Arial" w:eastAsia="Arial" w:hAnsi="Arial"/>
                <w:sz w:val="18"/>
                <w:szCs w:val="18"/>
                <w:b w:val="1"/>
                <w:bCs w:val="1"/>
                <w:color w:val="auto"/>
                <w:w w:val="91"/>
              </w:rPr>
              <w:t>(years)</w:t>
            </w: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3"/>
          </w:tcPr>
          <w:p>
            <w:pPr>
              <w:spacing w:after="0"/>
              <w:rPr>
                <w:sz w:val="18"/>
                <w:szCs w:val="18"/>
                <w:color w:val="auto"/>
              </w:rPr>
            </w:pPr>
          </w:p>
        </w:tc>
        <w:tc>
          <w:tcPr>
            <w:tcW w:w="3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2017</w:t>
            </w:r>
          </w:p>
        </w:tc>
        <w:tc>
          <w:tcPr>
            <w:tcW w:w="3140" w:type="dxa"/>
            <w:vAlign w:val="bottom"/>
            <w:shd w:val="clear" w:color="auto" w:fill="CCEEFF"/>
          </w:tcPr>
          <w:p>
            <w:pPr>
              <w:jc w:val="center"/>
              <w:ind w:right="650"/>
              <w:spacing w:after="0"/>
              <w:rPr>
                <w:sz w:val="20"/>
                <w:szCs w:val="20"/>
                <w:color w:val="auto"/>
              </w:rPr>
            </w:pPr>
            <w:r>
              <w:rPr>
                <w:rFonts w:ascii="Arial" w:cs="Arial" w:eastAsia="Arial" w:hAnsi="Arial"/>
                <w:sz w:val="18"/>
                <w:szCs w:val="18"/>
                <w:color w:val="auto"/>
                <w:w w:val="90"/>
              </w:rPr>
              <w:t>50% to 80%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40" w:type="dxa"/>
            <w:vAlign w:val="bottom"/>
            <w:gridSpan w:val="5"/>
            <w:shd w:val="clear" w:color="auto" w:fill="CCEEFF"/>
          </w:tcPr>
          <w:p>
            <w:pPr>
              <w:jc w:val="center"/>
              <w:ind w:right="170"/>
              <w:spacing w:after="0"/>
              <w:rPr>
                <w:sz w:val="20"/>
                <w:szCs w:val="20"/>
                <w:color w:val="auto"/>
              </w:rPr>
            </w:pPr>
            <w:r>
              <w:rPr>
                <w:rFonts w:ascii="Arial" w:cs="Arial" w:eastAsia="Arial" w:hAnsi="Arial"/>
                <w:sz w:val="18"/>
                <w:szCs w:val="18"/>
                <w:color w:val="auto"/>
                <w:w w:val="90"/>
              </w:rPr>
              <w:t>1.75 to 2.25</w:t>
            </w:r>
          </w:p>
        </w:tc>
        <w:tc>
          <w:tcPr>
            <w:tcW w:w="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rPr>
              <w:t>December 31, 2016</w:t>
            </w:r>
          </w:p>
        </w:tc>
        <w:tc>
          <w:tcPr>
            <w:tcW w:w="3140" w:type="dxa"/>
            <w:vAlign w:val="bottom"/>
          </w:tcPr>
          <w:p>
            <w:pPr>
              <w:jc w:val="center"/>
              <w:ind w:right="650"/>
              <w:spacing w:after="0"/>
              <w:rPr>
                <w:sz w:val="20"/>
                <w:szCs w:val="20"/>
                <w:color w:val="auto"/>
              </w:rPr>
            </w:pPr>
            <w:r>
              <w:rPr>
                <w:rFonts w:ascii="Arial" w:cs="Arial" w:eastAsia="Arial" w:hAnsi="Arial"/>
                <w:sz w:val="18"/>
                <w:szCs w:val="18"/>
                <w:color w:val="auto"/>
                <w:w w:val="90"/>
              </w:rPr>
              <w:t>50% to 80%</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gridSpan w:val="5"/>
          </w:tcPr>
          <w:p>
            <w:pPr>
              <w:jc w:val="center"/>
              <w:ind w:right="170"/>
              <w:spacing w:after="0"/>
              <w:rPr>
                <w:sz w:val="20"/>
                <w:szCs w:val="20"/>
                <w:color w:val="auto"/>
              </w:rPr>
            </w:pPr>
            <w:r>
              <w:rPr>
                <w:rFonts w:ascii="Arial" w:cs="Arial" w:eastAsia="Arial" w:hAnsi="Arial"/>
                <w:sz w:val="18"/>
                <w:szCs w:val="18"/>
                <w:color w:val="auto"/>
                <w:w w:val="90"/>
              </w:rPr>
              <w:t>2.00 to 2.50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2016</w:t>
            </w:r>
          </w:p>
        </w:tc>
        <w:tc>
          <w:tcPr>
            <w:tcW w:w="3140" w:type="dxa"/>
            <w:vAlign w:val="bottom"/>
            <w:shd w:val="clear" w:color="auto" w:fill="CCEEFF"/>
          </w:tcPr>
          <w:p>
            <w:pPr>
              <w:jc w:val="center"/>
              <w:ind w:right="650"/>
              <w:spacing w:after="0"/>
              <w:rPr>
                <w:sz w:val="20"/>
                <w:szCs w:val="20"/>
                <w:color w:val="auto"/>
              </w:rPr>
            </w:pPr>
            <w:r>
              <w:rPr>
                <w:rFonts w:ascii="Arial" w:cs="Arial" w:eastAsia="Arial" w:hAnsi="Arial"/>
                <w:sz w:val="18"/>
                <w:szCs w:val="18"/>
                <w:color w:val="auto"/>
                <w:w w:val="90"/>
              </w:rPr>
              <w:t>10% to 75%</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40" w:type="dxa"/>
            <w:vAlign w:val="bottom"/>
            <w:gridSpan w:val="5"/>
            <w:shd w:val="clear" w:color="auto" w:fill="CCEEFF"/>
          </w:tcPr>
          <w:p>
            <w:pPr>
              <w:jc w:val="center"/>
              <w:ind w:right="170"/>
              <w:spacing w:after="0"/>
              <w:rPr>
                <w:sz w:val="20"/>
                <w:szCs w:val="20"/>
                <w:color w:val="auto"/>
              </w:rPr>
            </w:pPr>
            <w:r>
              <w:rPr>
                <w:rFonts w:ascii="Arial" w:cs="Arial" w:eastAsia="Arial" w:hAnsi="Arial"/>
                <w:sz w:val="18"/>
                <w:szCs w:val="18"/>
                <w:color w:val="auto"/>
                <w:w w:val="90"/>
              </w:rPr>
              <w:t>0.25 to 2.25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rPr>
              <w:t>December 31, 2015</w:t>
            </w:r>
          </w:p>
        </w:tc>
        <w:tc>
          <w:tcPr>
            <w:tcW w:w="3140" w:type="dxa"/>
            <w:vAlign w:val="bottom"/>
          </w:tcPr>
          <w:p>
            <w:pPr>
              <w:jc w:val="center"/>
              <w:ind w:right="650"/>
              <w:spacing w:after="0"/>
              <w:rPr>
                <w:sz w:val="20"/>
                <w:szCs w:val="20"/>
                <w:color w:val="auto"/>
              </w:rPr>
            </w:pPr>
            <w:r>
              <w:rPr>
                <w:rFonts w:ascii="Arial" w:cs="Arial" w:eastAsia="Arial" w:hAnsi="Arial"/>
                <w:sz w:val="18"/>
                <w:szCs w:val="18"/>
                <w:color w:val="auto"/>
                <w:w w:val="90"/>
              </w:rPr>
              <w:t>10% to 75%</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gridSpan w:val="5"/>
          </w:tcPr>
          <w:p>
            <w:pPr>
              <w:jc w:val="center"/>
              <w:ind w:right="170"/>
              <w:spacing w:after="0"/>
              <w:rPr>
                <w:sz w:val="20"/>
                <w:szCs w:val="20"/>
                <w:color w:val="auto"/>
              </w:rPr>
            </w:pPr>
            <w:r>
              <w:rPr>
                <w:rFonts w:ascii="Arial" w:cs="Arial" w:eastAsia="Arial" w:hAnsi="Arial"/>
                <w:sz w:val="18"/>
                <w:szCs w:val="18"/>
                <w:color w:val="auto"/>
                <w:w w:val="90"/>
              </w:rPr>
              <w:t>0.50 to 2.50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3"/>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980" w:type="dxa"/>
            <w:vAlign w:val="bottom"/>
            <w:gridSpan w:val="5"/>
          </w:tcPr>
          <w:p>
            <w:pPr>
              <w:spacing w:after="0"/>
              <w:rPr>
                <w:sz w:val="20"/>
                <w:szCs w:val="20"/>
                <w:color w:val="auto"/>
              </w:rPr>
            </w:pPr>
            <w:r>
              <w:rPr>
                <w:rFonts w:ascii="Arial" w:cs="Arial" w:eastAsia="Arial" w:hAnsi="Arial"/>
                <w:sz w:val="18"/>
                <w:szCs w:val="18"/>
                <w:b w:val="1"/>
                <w:bCs w:val="1"/>
                <w:color w:val="auto"/>
              </w:rPr>
              <w:t>Note 14. Warrants</w:t>
            </w:r>
          </w:p>
        </w:tc>
        <w:tc>
          <w:tcPr>
            <w:tcW w:w="3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98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Common Stock Warrants</w:t>
            </w:r>
          </w:p>
        </w:tc>
        <w:tc>
          <w:tcPr>
            <w:tcW w:w="3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20" w:type="dxa"/>
            <w:vAlign w:val="bottom"/>
            <w:gridSpan w:val="7"/>
          </w:tcPr>
          <w:p>
            <w:pPr>
              <w:spacing w:after="0"/>
              <w:rPr>
                <w:sz w:val="20"/>
                <w:szCs w:val="20"/>
                <w:color w:val="auto"/>
              </w:rPr>
            </w:pPr>
            <w:r>
              <w:rPr>
                <w:rFonts w:ascii="Arial" w:cs="Arial" w:eastAsia="Arial" w:hAnsi="Arial"/>
                <w:sz w:val="18"/>
                <w:szCs w:val="18"/>
                <w:color w:val="auto"/>
              </w:rPr>
              <w:t>Following is a summary of all warrant activity for the three months ended March 31, 2017:</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Weighted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Warrants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Average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gridSpan w:val="5"/>
          </w:tcPr>
          <w:p>
            <w:pPr>
              <w:spacing w:after="0"/>
              <w:rPr>
                <w:sz w:val="20"/>
                <w:szCs w:val="20"/>
                <w:color w:val="auto"/>
              </w:rPr>
            </w:pPr>
            <w:r>
              <w:rPr>
                <w:rFonts w:ascii="Arial" w:cs="Arial" w:eastAsia="Arial" w:hAnsi="Arial"/>
                <w:sz w:val="18"/>
                <w:szCs w:val="18"/>
                <w:b w:val="1"/>
                <w:bCs w:val="1"/>
                <w:color w:val="auto"/>
              </w:rPr>
              <w:t>Warrants</w:t>
            </w:r>
          </w:p>
        </w:tc>
        <w:tc>
          <w:tcPr>
            <w:tcW w:w="3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Issued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w w:val="92"/>
              </w:rPr>
              <w:t>Exercise Price</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00" w:type="dxa"/>
            <w:vAlign w:val="bottom"/>
            <w:gridSpan w:val="5"/>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34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Warrants outstanding at December 31, 2016</w:t>
            </w: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20,831,883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5"/>
          </w:tcPr>
          <w:p>
            <w:pPr>
              <w:spacing w:after="0"/>
              <w:rPr>
                <w:sz w:val="20"/>
                <w:szCs w:val="20"/>
                <w:color w:val="auto"/>
              </w:rPr>
            </w:pPr>
            <w:r>
              <w:rPr>
                <w:rFonts w:ascii="Arial" w:cs="Arial" w:eastAsia="Arial" w:hAnsi="Arial"/>
                <w:sz w:val="18"/>
                <w:szCs w:val="18"/>
                <w:color w:val="auto"/>
                <w:w w:val="97"/>
              </w:rPr>
              <w:t>Warrants issued during the three months ended March 31, 2017 (see Note 11)</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19,089,402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Warrants exercised during the three months ended March 31, 2017 (see Note 11)</w:t>
            </w: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(4,858,966)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60" w:type="dxa"/>
            <w:vAlign w:val="bottom"/>
            <w:tcBorders>
              <w:top w:val="single" w:sz="8" w:color="CCEEFF"/>
            </w:tcBorders>
            <w:gridSpan w:val="4"/>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gridSpan w:val="2"/>
          </w:tcPr>
          <w:p>
            <w:pPr>
              <w:spacing w:after="0"/>
              <w:rPr>
                <w:sz w:val="18"/>
                <w:szCs w:val="18"/>
                <w:color w:val="auto"/>
              </w:rPr>
            </w:pPr>
          </w:p>
        </w:tc>
        <w:tc>
          <w:tcPr>
            <w:tcW w:w="1340" w:type="dxa"/>
            <w:vAlign w:val="bottom"/>
            <w:tcBorders>
              <w:top w:val="single" w:sz="8" w:color="CCEEFF"/>
            </w:tcBorders>
            <w:gridSpan w:val="3"/>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1"/>
              </w:rPr>
              <w:t>Warrants outstanding at March 31, 2017</w:t>
            </w:r>
          </w:p>
        </w:tc>
        <w:tc>
          <w:tcPr>
            <w:tcW w:w="3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35,062,319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gridSpan w:val="5"/>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Aggregate intrinsic value of outstanding warrants at March 31, 2017</w:t>
            </w:r>
          </w:p>
        </w:tc>
        <w:tc>
          <w:tcPr>
            <w:tcW w:w="17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964,827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100" w:type="dxa"/>
            <w:vAlign w:val="bottom"/>
            <w:tcBorders>
              <w:top w:val="single" w:sz="8" w:color="CCEEFF"/>
            </w:tcBorders>
            <w:gridSpan w:val="5"/>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Weighted average remaining contractual terms at March 31, 2017 (in years)</w:t>
            </w: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14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rPr>
              <w:t>17</w:t>
            </w:r>
          </w:p>
        </w:tc>
        <w:tc>
          <w:tcPr>
            <w:tcW w:w="17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4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14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15. Contingent Liabilities and Commitments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July 2011, the Company executed a lease (the “Lease”) with Brandywine Operating Partnership, L.P. (Brandywine), a Delaware limited partnership for a 10,870 square foot premises located in Lawrenceville, New Jersey. In October 2011, the Company relocated its offices to Lawrenceville, New Jersey from Columbia, Maryland. The lease has a term of 66 months and provides for 6 months of rent free, with the first monthly rent payment of approximately $23,000 due and paid in April 2012. Also, as required by the Lease, the Company provided Brandywine with an irrevocable and unconditional standby letter of credit for $250,000, which the Company secured with an escrow deposit at its banking institution of this same amount. The standby letter of credit will be reduced by $50,000 on each of the 19th, 31st and 43rd months from the initial term, with the remaining $100,000 amount remaining until the Lease term has expired. In connection with three $50,000 reductions of the standby letter of credit in April 2013 and 2014 and 2015, the Company reduced the escrow deposit by $50,000 each time. In late 2015, Lenox Drive Office Park LLC, purchased the real estate and office building and assumed the lease. This lease was set to expire on April 30, 2017. In April 2017, the Company and the landlord amended the Lease effective May 1, 2017. The Lease amendment extended the term for an additional 64 months, reduced the premises to 7,565 square feet, reduced the monthly rent, provided four months free rent and reduced the escrow deposit to $50,000. The monthly rent will range from approximately $18,900 in the first year to approximately $20,500 in the final year of the amendment. The Company also has a one-time option to cancel the lease as of the 40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month after the commencement date of the Lease amendment.</w:t>
      </w:r>
    </w:p>
    <w:p>
      <w:pPr>
        <w:spacing w:after="0" w:line="3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connection with the EGEN Asset Purchase agreement in June 2014, the Company assumed the existing lease with another landlord for an 11,500 square foot premises located in Huntsville Alabama. This lease has a remaining term of 10 months with rent payments of approximately $23,200 per month.</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Technology Development and Licensing Agreements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7, 2012 the Company entered into a long term commercial supply agreement with Zhejiang Hisun Pharmaceutical Co. Ltd. (Hisun) for the production of ThermoDox®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 the manufacture of ThermoDox®. Celsion will repay Hisun for the aggregate amount of these development costs and fees commencing on the successful completion of three registration batches of ThermoDox®. Hisun is also obligated to certain performance requirements under the agreement. The agreement will initially be limited to a percentage of the production requirements of ThermoDox® in the China territory with Hisun retaining an option for additional global supply after local regulatory approval in the China territory. In addition, Hisun will collaborate with Celsion around the regulatory approval activities for ThermoDox® with the China State Food and Drug Administration (CHINA FDA). During the first quarter of 2015, Hisun completed the successful manufacture of three registration batches of ThermoDox® and the Company accrued $685,787 for the aggregate development costs and fees associated with these batches in March 2015. This amount was paid in April 2015.</w:t>
      </w:r>
    </w:p>
    <w:p>
      <w:pPr>
        <w:spacing w:after="0" w:line="183"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On January 18, 2013, we entered into a technology development contract with Hisun, pursuant to which Hisun paid us a non-refundable research and development fee of $5 million to support our development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 which include the sub-group analysis of patients in the Phase III HEAT Study for the hepatocellular carcinoma clinical indication and other activities to further the development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the Greater China market. The $5.0 million received as a non-refundable payment from Hisun in the first quarter 2013 has been recorded to deferred revenue and will continue to be amortized over the 10 year term of the agreement, until such time as the parties find a mutually acceptable path forward on the development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based on findings of the ongoing post-study analysis of the HEAT Study data.</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19, 2013, the Company and Hisun entered into a Memorandum of Understanding to pursue ongoing collaborations for the continued clinical development of ThermoDox® as well as the technology transfer relating to the commercial manufacture of ThermoDox® for the China territory. This expanded collaboration includes development of the next generation liposomal formulation with the goal of creating safer, more efficacious versions of marketed cancer chemotherapeutics.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Among the key provisions of the Celsion-Hisun Memorandum of Understanding are:</w:t>
      </w:r>
    </w:p>
    <w:p>
      <w:pPr>
        <w:spacing w:after="0" w:line="225" w:lineRule="exact"/>
        <w:rPr>
          <w:sz w:val="20"/>
          <w:szCs w:val="20"/>
          <w:color w:val="auto"/>
        </w:rPr>
      </w:pPr>
    </w:p>
    <w:p>
      <w:pPr>
        <w:ind w:left="620" w:right="1160" w:hanging="396"/>
        <w:spacing w:after="0" w:line="277" w:lineRule="auto"/>
        <w:tabs>
          <w:tab w:leader="none" w:pos="6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Hisun will provide the Company with non-dilutive financing and the investment necessary to complete the technology transfer of its proprietary manufacturing process and the production of registration batches for the China territory;</w:t>
      </w:r>
    </w:p>
    <w:p>
      <w:pPr>
        <w:spacing w:after="0" w:line="170" w:lineRule="exact"/>
        <w:rPr>
          <w:rFonts w:ascii="Arial" w:cs="Arial" w:eastAsia="Arial" w:hAnsi="Arial"/>
          <w:sz w:val="18"/>
          <w:szCs w:val="18"/>
          <w:b w:val="1"/>
          <w:bCs w:val="1"/>
          <w:color w:val="auto"/>
        </w:rPr>
      </w:pPr>
    </w:p>
    <w:p>
      <w:pPr>
        <w:ind w:left="620" w:right="1180" w:hanging="396"/>
        <w:spacing w:after="0" w:line="277" w:lineRule="auto"/>
        <w:tabs>
          <w:tab w:leader="none" w:pos="6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Hisun will collaborate with the Company around the clinical and regulatory approval activities for ThermoDox® as well as other liposomal formations with the CHINA FDA; and</w:t>
      </w:r>
    </w:p>
    <w:p>
      <w:pPr>
        <w:spacing w:after="0" w:line="170" w:lineRule="exact"/>
        <w:rPr>
          <w:rFonts w:ascii="Arial" w:cs="Arial" w:eastAsia="Arial" w:hAnsi="Arial"/>
          <w:sz w:val="18"/>
          <w:szCs w:val="18"/>
          <w:b w:val="1"/>
          <w:bCs w:val="1"/>
          <w:color w:val="auto"/>
        </w:rPr>
      </w:pPr>
    </w:p>
    <w:p>
      <w:pPr>
        <w:ind w:left="620" w:right="1160" w:hanging="396"/>
        <w:spacing w:after="0" w:line="277" w:lineRule="auto"/>
        <w:tabs>
          <w:tab w:leader="none" w:pos="6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Hisun will be granted a right of first offer for a commercial license to ThermoDox® for the sale and distribution of ThermoDox® in the China territory.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8, 2016, we signed a Technology Transfer, Manufacturing and Commercial Supply Agreement (“GEN-1 Agreement”) with Hisun to pursue an expanded partnership for the technology transfer relating to the clinical and commercial manufacture and supply of GEN-1, Celsion’s proprietary gene mediated, IL-12 immunotherapy, for the greater China territory, with the option to expand into other countries in the rest of the world after all necessary regulatory approvals are in effect. The GEN-1 Agreement will help to support supply for both ongoing and planned clinical studies in the U.S., and for potential future studies of GEN-1 in China. GEN-1 is currently being evaluated by Celsion in first line ovarian cancer patients.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Key provisions of the GEN-1 Agreement are as follows:</w:t>
      </w:r>
    </w:p>
    <w:p>
      <w:pPr>
        <w:spacing w:after="0" w:line="225" w:lineRule="exact"/>
        <w:rPr>
          <w:sz w:val="20"/>
          <w:szCs w:val="20"/>
          <w:color w:val="auto"/>
        </w:rPr>
      </w:pPr>
    </w:p>
    <w:p>
      <w:pPr>
        <w:ind w:left="620" w:right="1200" w:hanging="396"/>
        <w:spacing w:after="0" w:line="277" w:lineRule="auto"/>
        <w:tabs>
          <w:tab w:leader="none" w:pos="6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GEN-1 Agreement has targeted unit costs for clinical supplies of GEN-1 that are substantially competitive with the Company’s current suppliers;</w:t>
      </w:r>
    </w:p>
    <w:p>
      <w:pPr>
        <w:spacing w:after="0" w:line="170" w:lineRule="exact"/>
        <w:rPr>
          <w:rFonts w:ascii="Arial" w:cs="Arial" w:eastAsia="Arial" w:hAnsi="Arial"/>
          <w:sz w:val="18"/>
          <w:szCs w:val="18"/>
          <w:b w:val="1"/>
          <w:bCs w:val="1"/>
          <w:color w:val="auto"/>
        </w:rPr>
      </w:pPr>
    </w:p>
    <w:p>
      <w:pPr>
        <w:ind w:left="620" w:hanging="396"/>
        <w:spacing w:after="0"/>
        <w:tabs>
          <w:tab w:leader="none" w:pos="6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once approved, the cost structure for GEN-1 will support rapid market adoption and significant gross margins across global markets;</w:t>
      </w:r>
    </w:p>
    <w:p>
      <w:pPr>
        <w:spacing w:after="0" w:line="225" w:lineRule="exact"/>
        <w:rPr>
          <w:rFonts w:ascii="Arial" w:cs="Arial" w:eastAsia="Arial" w:hAnsi="Arial"/>
          <w:sz w:val="18"/>
          <w:szCs w:val="18"/>
          <w:b w:val="1"/>
          <w:bCs w:val="1"/>
          <w:color w:val="auto"/>
        </w:rPr>
      </w:pPr>
    </w:p>
    <w:p>
      <w:pPr>
        <w:ind w:left="620" w:right="1200" w:hanging="396"/>
        <w:spacing w:after="0" w:line="277" w:lineRule="auto"/>
        <w:tabs>
          <w:tab w:leader="none" w:pos="6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Celsion will provide Hisun a certain percentage of China’s commercial unit demand, and separately of global commercial unit demand, subject to regulatory approval;</w:t>
      </w:r>
    </w:p>
    <w:p>
      <w:pPr>
        <w:spacing w:after="0" w:line="170" w:lineRule="exact"/>
        <w:rPr>
          <w:rFonts w:ascii="Arial" w:cs="Arial" w:eastAsia="Arial" w:hAnsi="Arial"/>
          <w:sz w:val="18"/>
          <w:szCs w:val="18"/>
          <w:b w:val="1"/>
          <w:bCs w:val="1"/>
          <w:color w:val="auto"/>
        </w:rPr>
      </w:pPr>
    </w:p>
    <w:p>
      <w:pPr>
        <w:ind w:left="620" w:right="1200" w:hanging="396"/>
        <w:spacing w:after="0" w:line="277" w:lineRule="auto"/>
        <w:tabs>
          <w:tab w:leader="none" w:pos="6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Hisun and Celsion will commence technology transfer activities relating to the manufacture of GEN-1, including all studies required by CFDA for site approval; and</w:t>
      </w:r>
    </w:p>
    <w:p>
      <w:pPr>
        <w:spacing w:after="0" w:line="170" w:lineRule="exact"/>
        <w:rPr>
          <w:rFonts w:ascii="Arial" w:cs="Arial" w:eastAsia="Arial" w:hAnsi="Arial"/>
          <w:sz w:val="18"/>
          <w:szCs w:val="18"/>
          <w:b w:val="1"/>
          <w:bCs w:val="1"/>
          <w:color w:val="auto"/>
        </w:rPr>
      </w:pPr>
    </w:p>
    <w:p>
      <w:pPr>
        <w:ind w:left="620" w:right="1200" w:hanging="396"/>
        <w:spacing w:after="0" w:line="308" w:lineRule="auto"/>
        <w:tabs>
          <w:tab w:leader="none" w:pos="62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Hisun will collaborate with Celsion around the regulatory approval activities for GEN-1 with the CFDA. A local China partner affords Celsion access to accelerated CFDA review and potential regulatory exclusivity for the approved indication.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Statements and terms such as “expect”, “anticipate”, “estimate”, “plan”, “believe” and words of similar import regarding our expectations as to the development and effectiveness of our technologies, the potential demand for our products, and other aspects of our present and future business operations, constitute forward-looking statements within the meaning of the Private Securities Litigation Reform Act of 1995.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readers should specifically consider the various factors contained in the Company’s Annual Report on Form 10-K for the fiscal year ended December 31, 2016 filed with the Securities and Exchange Commission (SEC) on March 24, 2017, which factors include, without limitation, plans and objectives of management for future operations or programs or proposed new products or services; changes in the course of research and development activities and in clinical trials; possible changes in cost and timing of development and testing; possible changes in capital structure, financial condition, working capital needs and other financial items; changes in approaches to medical treatment; clinical trial analysis and future plans relating thereto; our ability to realize the full extent of the anticipated benefits of our acquisition of substantially all of the assets of EGEN, Inc., including achieving operational cost savings and synergies in light of any delays we may encounter in the integration process and additional unforeseen expenses; introduction of new products by others; possible licenses or acquisitions of other technologies, assets or businesses; and possible actions by customers, suppliers, partners, competitors and regulatory authorities. These and other risks and uncertainties could cause actual results to differ materially from those indicated by forward-looking statements.</w:t>
      </w:r>
    </w:p>
    <w:p>
      <w:pPr>
        <w:spacing w:after="0" w:line="1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discussion of risks and uncertainties set forth in this Quarterly Report on Form 10-Q and in our most recent Annual Report on Form 10-K, as well as in other filings with the SEC, is not a complete or exhaustive list of all risks facing the Company at any particular point in time. We operate in a highly competitive, highly regulated and rapidly changing environment and our business is constantly evolving.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We disclaim any obligation to revise or update any forward-looking statement that may be made from time to time by us or on our behalf.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Clinical Overview</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Celsion is a fully-integrated oncology drug development stage company focused on advancing a portfolio of innovative cancer treatments, including directed chemotherapies, DNA-mediated immunotherapy and RNA based therapies. Our lead product candidate is ThermoDox® , a proprietary heat-activated liposomal encapsulation of doxorubicin, currently in a Phase III clinical trial for the treatment of primary liver cancer (the OPTIMA Study) and a Phase II clinical trial for the treatment of recurrent chest wall breast cancer (the DIGNITY Study). Second in our pipeline is GEN-1, a DNA-mediated immunotherapy for the localized treatment of ovarian and brain cancers. We have three platform technologies providing the basis for the future development of a range of therapeutics for difficult-to-treat forms of cancer including: Lysolipid Thermally Sensitive Liposomes, a heat sensitive liposomal based dosage form that targets disease with known therapeutics in the presence of mild heat, TheraPlas, a novel nucleic acid-based treatment for local transfection of therapeutic plasmids, and TheraSilence, a systemic dosage form for lung directed anti-cancer RNA. With these technologies we are working to develop and commercialize more efficient, effective and targeted oncology therapies that maximize efficacy while minimizing side-effects common to cancer treatments.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ThermoDox®</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ThermoDox ® is being evaluated in a Phase III clinical trial for primary liver cancer (the OPTIMA Study) which was initiated in 2014 and a Phase II clinical trial for recurrent chest wall breast cancer (the DIGNITY Study). ThermoDox® is a liposomal encapsulation of doxorubicin, an approved and frequently used oncology drug for the treatment of a wide range of cancers. Localized heat at hyperthermia temperatures (greater than 40° Celsius) releases the encapsulated doxorubicin from the liposome enabling high concentrations of doxorubicin to be deposited preferentially in and around the targeted tumor.</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The OPTIMA Study. </w:t>
      </w:r>
      <w:r>
        <w:rPr>
          <w:rFonts w:ascii="Arial" w:cs="Arial" w:eastAsia="Arial" w:hAnsi="Arial"/>
          <w:sz w:val="18"/>
          <w:szCs w:val="18"/>
          <w:color w:val="auto"/>
        </w:rPr>
        <w:t>The OPTIMA Study represents an evaluation of ThermoDox® in combination with a first line therapy, RFA, for newly diagnosed,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intermediate stage HCC patients. HCC incidence globally is approximately 850,000 new cases per year and is the third largest cancer indication globally. Approximately 30% of newly diagnosed patients can be addressed with RFA alone.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color w:val="auto"/>
        </w:rPr>
        <w:t>On February 24, 2014, we announced that the United States Food and Drug Administration (the “FDA”), after its customary 30-day review period, provided clearance for the OPTIMA Study, which is a pivotal, double-blind, placebo-controlled Phase III trial of ThermoDox®, in combination with standardized RFA, for the treatment of primary liver cancer. The trial design of the OPTIMA Study is based on the comprehensive analysis of data from an earlier clinical trial called the HEAT Study, which is described below. The OPTIMA Study is supported by a hypothesis developed from an overall survival analysis of a large subgroup of patients from the HEAT Study.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initiated the OPTIMA Study in the first half of 2014. The OPTIMA Study was designed with extensive input from globally recognized hepatocellular carcinoma (“HCC”) researchers and expert clinicians and after receiving formal written consultation from the FDA. The OPTIMA Study is expected to enroll up to 550 patients globally at up to 65 sites in the United States, Canada, Europe Union, China and other countries in the Asia-Pacific region, and will evaluate ThermoDox® in combination with standardized RFA, which will require a minimum of 45 minutes across all investigators and clinical sites for treating lesions three to seven centimeters, versus standardized RFA alone. The primary endpoint for this clinical trial is overall survival (“OS”), and the secondary endpoints are progression free survival and safety. The statistical plan calls for two interim efficacy analyses by an independent Data Monitoring Committee.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16, 2015, we announced that we had received the clinical trial application approval from the China Food and Drug Administration (the “CFDA”) to conduct the OPTIMA Study in China. This clinical trial application approval will allow Celsion to enroll patients at up to 20 clinical sites in China. With the addition of these Chinese clinical sites, the Company expects to complete enrollment in the OPTIMA Study during the first half of 2018. On April 26, 2016, we announced that the first patient in China had been enrolled in the OPTIMA Study. Results from the OPTIMA Study, if successful, will provide the basis for a global registration filing and marketing approval.</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Post-hoc data analysis from the Company’s earlier Phase III HEAT Study suggest that ThermoDox® may substantially improve OS, when compared to the control group, in patients if their lesions undergo a 45 minute RFA procedure standardized for a lesion greater than 3 cm in diameter. Data from nine OS sweeps have been conducted since the top line progression free survival (“PFS”) data from the HEAT Study were announced in January 2013, with each data set demonstrating substantial improvement in clinical benefit over the control group with statistical significance. On August 15, 2016, the Company announced updated results from its final retrospective OS analysis of the data from the HEAT Study. These results demonstrated that in a large, well bounded, subgroup of patients with a single lesion (n=285, 41% of the HEAT Study patients), treatment with a combination of ThermoDox® and optimized RFA provided an average 54% risk improvement in OS compared to optimized RFA alone. The Hazard Ratio (“HR”) at this analysis is 0.65 (95% CI 0.45 - 0.94) with a p-value of 0.02. Median OS for the ThermoDox® group has been reached which translates into a two year survival benefit over the optimized RFA group (projected to be greater than 80 months for the ThermoDox® plus optimized RFA group compared to less than 60 months projection for the optimized RFA only group).</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Additional findings from this most recent analysis specific to the Chinese patient cohort of 223 patients are summarized below:</w:t>
      </w:r>
    </w:p>
    <w:p>
      <w:pPr>
        <w:spacing w:after="0" w:line="225" w:lineRule="exact"/>
        <w:rPr>
          <w:sz w:val="20"/>
          <w:szCs w:val="20"/>
          <w:color w:val="auto"/>
        </w:rPr>
      </w:pPr>
    </w:p>
    <w:p>
      <w:pPr>
        <w:ind w:left="560" w:right="560" w:hanging="214"/>
        <w:spacing w:after="0" w:line="277"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population of 154 patients with a single lesion who received optimized RFA treatment for 45 minutes or more showed a 53% risk improvement in OS (HR = 0.66) when treated with ThermoDox® plus optimized RFA.</w:t>
      </w:r>
    </w:p>
    <w:p>
      <w:pPr>
        <w:spacing w:after="0" w:line="170" w:lineRule="exact"/>
        <w:rPr>
          <w:rFonts w:ascii="Arial" w:cs="Arial" w:eastAsia="Arial" w:hAnsi="Arial"/>
          <w:sz w:val="18"/>
          <w:szCs w:val="18"/>
          <w:color w:val="auto"/>
        </w:rPr>
      </w:pPr>
    </w:p>
    <w:p>
      <w:pPr>
        <w:jc w:val="both"/>
        <w:ind w:left="560" w:right="540" w:hanging="214"/>
        <w:spacing w:after="0" w:line="259"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data continue to support and further strengthen ThermoDox®’s potential to significantly improve OS compared to an RFA control in patients with lesions that undergo optimized RFA treatment for 45 minutes or more. The clinical benefit seen in the intent-to-treat Chinese patient cohort further confirms the importance of RFA heating time as 72% of patients in this large patient cohort in China received an optimized RFA treatment.</w:t>
      </w:r>
    </w:p>
    <w:p>
      <w:pPr>
        <w:spacing w:after="0" w:line="187"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While this information should be viewed with caution since it is based on a retrospective analysis of a subgroup, we also conducted additional analyses that further strengthen the evidence for the HEAT Study sub-group. We commissioned an independent computational model at the University of South Carolina Medical School. The results indicate that longer RFA heating times correlate with significant increases in doxorubicin concentration around the RFA treated tissue. In addition, we conducted a prospective preclinical study in 21 pigs using two different manufacturers of RFA and human equivalent doses of ThermoDox® that clearly support the relationship between increased heating duration and doxorubicin concentrations.</w:t>
      </w:r>
    </w:p>
    <w:p>
      <w:pPr>
        <w:spacing w:after="0" w:line="173"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On November 29, 2016, the Company announced the results of an independent analysis conducted by the National Institutes of Health (the “NIH”) from the HEAT Study which reaffirmed the correlation between increased RFA burn time per tumor volume and improvements in overall survival. The NIH analysis, which sought to evaluate the correlation between RFA burn time per tumor volume (min/ml) and clinical outcome, concluded that increased burn time per tumor volume significantly improved overall survival in patients treated with RFA plus ThermoDox® compared to patients treated with RFA alone.</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jc w:val="both"/>
        <w:spacing w:after="0" w:line="273" w:lineRule="auto"/>
        <w:rPr>
          <w:sz w:val="20"/>
          <w:szCs w:val="20"/>
          <w:color w:val="auto"/>
        </w:rPr>
      </w:pPr>
      <w:r>
        <w:rPr>
          <w:rFonts w:ascii="Arial" w:cs="Arial" w:eastAsia="Arial" w:hAnsi="Arial"/>
          <w:sz w:val="17"/>
          <w:szCs w:val="17"/>
          <w:b w:val="1"/>
          <w:bCs w:val="1"/>
          <w:i w:val="1"/>
          <w:iCs w:val="1"/>
          <w:color w:val="auto"/>
        </w:rPr>
        <w:t>The HEAT Study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January 31, 2013, the Company announced that the HEAT Study, ThermoDox® in combination with RFA, did not meet the primary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endpoint, PFS, of a Phase III clinical trial enrolling 701 patients with primary liver cancer. This determination was made after conferring with the HEAT Study independent Data Monitoring Committee, that the HEAT Study did not meet the goal of demonstrating a clinically meaningful improvement in progression free survival. In the trial, ThermoDox® was well-tolerated with no unexpected serious adverse events. Following the announcement of the HEAT Study results, we continued to follow patients for OS, the secondary endpoint of the HEAT Study. We have conducted a comprehensive analysis of the data from the HEAT Study to assess the future strategic value and development strategy for ThermoDox®.</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The DIGNITY Study. </w:t>
      </w:r>
      <w:r>
        <w:rPr>
          <w:rFonts w:ascii="Arial" w:cs="Arial" w:eastAsia="Arial" w:hAnsi="Arial"/>
          <w:sz w:val="18"/>
          <w:szCs w:val="18"/>
          <w:color w:val="auto"/>
        </w:rPr>
        <w:t>On December 14, 2015, we announced final data from our ongoing DIGNITY study, which is an open-label, dose-escalating Phase II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trial of ThermoDox® in patients with recurrent chest wall (“RCW”) breast cancer. The DIGNITY Study was designed to establish a safe therapeutic dose in Phase I, and to demonstrate local control in Phase II, including complete and partial responses, and stable disease as its primary endpoint. The DIGNITY Study was also designed to evaluate kinetics in ThermoDox® produced from more than one manufacturing site. Of the 28 patients enrolled and treated, 21 patients were eligible for evaluation of efficacy. Approximately 62% of evaluable patients experienced a local response, including six complete responses and seven partial responses.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The Euro-DIGNITY Study. </w:t>
      </w:r>
      <w:r>
        <w:rPr>
          <w:rFonts w:ascii="Arial" w:cs="Arial" w:eastAsia="Arial" w:hAnsi="Arial"/>
          <w:sz w:val="18"/>
          <w:szCs w:val="18"/>
          <w:color w:val="auto"/>
        </w:rPr>
        <w:t>We anticipate that a Phase II study of RadioTherapy, HyperThermia and ThermoDox® to treat patients with local-regional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recurrent chest wall breast cancer will be initiated by five to six clinical sites located in Italy, Israel, Poland and the Czech Republic (the “Euro-DIGNITY Study”). The Euro-DIGNITY Study is expected to commence in the second half of 2017 and should enroll up to 70 patients affected by recurrent breast adenocarcinoma on the chest wall with/without nodes over a period of two years.</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primary objectives of the Euro-DIGNITY Study will be (i) to evaluate efficacy in patients after 3 cycles of ThermoDox® plus Hyperthermia measuring tumor diameter as a response to therapy and (ii) to evaluate loco-regional breast tumor control in patients who undergo ThermoDox®/hyperthermia/radiotherapy as measured by target lesion clinical response rate combining a RECIST criteria with digital photography to gauge response.</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Secondary objectives of the Euro-DIGNITY Study will be (i) to evaluate the safety of the combination of ThermoDox/Hyperthermia/Radiotherapy among patients with local-regional recurrence (“LRR”) breast cancer, (ii) to evaluate the duration of local control complete response, partial response and stable disease following treatment with ThermoDox/Hyperthermia/Radiotherapy up to 24 months among patients with LRR breast cancer and (iii) to assess Patient Reported Quality of Life using the FACT-B and Brief Pain Inventory following treatment with ThermoDox/Hyperthermia/Radiotherapy among patients with LRR breast cancer.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EGEN Assets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20, 2014, we completed the acquisition of substantially all of the assets of Egen, Inc., an Alabama corporation, which has changed its company name to EGWU, Inc. after the closing of the acquisition (“EGEN”), pursuant to an asset purchase agreement dated as of June 6, 2014, by and between EGEN and Celsion (the “Asset Purchase Agreement”).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total purchase price for the asset acquisition is up to $44.4 million, including potential future earnout payments of up to $30.4 million contingent upon achievement of certain earnout milestones set forth in the Asset Purchase Agreement. At the closing, we paid approximately $3.0 million in cash after the expense adjustment and issued 2,712,188 shares of our common stock to EGEN. The shares of common stock were issued in a private transaction exempt from registration under the Securities Act, pursuant to Section 4(2) thereof. In addition, 670,070 shares of common stock were held back by us at the closing and are issuable to EGEN pending certain potential adjustments for expenses or in relation to EGEN’s indemnification obligations under the Asset Purchase Agreement.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earnout payments of up to $30.4 million will become payable, in cash, shares of our common stock or a combination thereof, at our option upon achievement of three major milestone events as follows:</w:t>
      </w:r>
    </w:p>
    <w:p>
      <w:pPr>
        <w:spacing w:after="0" w:line="170" w:lineRule="exact"/>
        <w:rPr>
          <w:sz w:val="20"/>
          <w:szCs w:val="20"/>
          <w:color w:val="auto"/>
        </w:rPr>
      </w:pPr>
    </w:p>
    <w:p>
      <w:pPr>
        <w:ind w:left="560" w:right="360" w:hanging="214"/>
        <w:spacing w:after="0" w:line="258"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(formerly known as EGEN-001) to be conducted by us or our subsidiary;</w:t>
      </w:r>
    </w:p>
    <w:p>
      <w:pPr>
        <w:spacing w:after="0" w:line="1" w:lineRule="exact"/>
        <w:rPr>
          <w:rFonts w:ascii="Arial" w:cs="Arial" w:eastAsia="Arial" w:hAnsi="Arial"/>
          <w:sz w:val="18"/>
          <w:szCs w:val="18"/>
          <w:color w:val="auto"/>
        </w:rPr>
      </w:pPr>
    </w:p>
    <w:p>
      <w:pPr>
        <w:ind w:left="560" w:right="360" w:hanging="214"/>
        <w:spacing w:after="0" w:line="250"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GEN-1 glioblastoma multiforme brain cancer study to be conducted by us or our subsidiary; and</w:t>
      </w:r>
    </w:p>
    <w:p>
      <w:pPr>
        <w:ind w:left="560" w:right="360" w:hanging="214"/>
        <w:spacing w:after="0" w:line="261"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 to $6.0 million will become payable upon achieving certain specified milestones relating to the TheraSilence technology acquired from EGEN in the acquisition.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Our obligations to make the earnout payments will terminate on the seventh anniversary of the closing date. In the acquisition, we purchased GEN-1, a DNA-based immunotherapy for the localized treatment of ovarian and brain cancers, and two platform technologies for the development of treatments for those suffering with difficult-to-treat forms of cancer, novel nucleic acid-based immunotherapies and other anti-cancer DNA or RNA therapies, including TheraPlas and TheraSilence.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GEN-1</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GEN-1 is a DNA-based immunotherapeutic product for the localized treatment of ovarian and brain cancers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GEN-1 OVATION Study. </w:t>
      </w:r>
      <w:r>
        <w:rPr>
          <w:rFonts w:ascii="Arial" w:cs="Arial" w:eastAsia="Arial" w:hAnsi="Arial"/>
          <w:sz w:val="18"/>
          <w:szCs w:val="18"/>
          <w:color w:val="auto"/>
        </w:rPr>
        <w:t>In February 2015, we announced that the FDA accepted, without objection, the Phase I dose-escalation clinical trial of GEN-1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with the standard of care in neo-adjuvant ovarian cancer (the “OVATION Study”). On September 30, 2015, we announced enrollment of the first patient in the OVATION Study. The OVATION Study will seek to identify a safe, tolerable and potentially therapeutically active dose of GEN-1 by recruiting and maximizing an immune response and is designed to enroll three to six patients per dose level and will evaluate safety and efficacy and attempt to define an optimal dose for a follow-on Phase I/II study combining GEN-1 with Avastin® and Doxil®. In addition, the OVATION Study establishes a unique opportunity to assess how cytokine-based compounds such as GEN-1, directly affect ovarian cancer cells and the tumor microenvironment in newly diagnosed patients. The study is designed to characterize the nature of the immune response triggered by GEN-1 at various levels of the patients’ immune system, including:</w:t>
      </w:r>
    </w:p>
    <w:p>
      <w:pPr>
        <w:spacing w:after="0" w:line="192" w:lineRule="exact"/>
        <w:rPr>
          <w:sz w:val="20"/>
          <w:szCs w:val="20"/>
          <w:color w:val="auto"/>
        </w:rPr>
      </w:pPr>
    </w:p>
    <w:p>
      <w:pPr>
        <w:ind w:left="560" w:right="360" w:hanging="214"/>
        <w:spacing w:after="0" w:line="258" w:lineRule="auto"/>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 w:lineRule="exact"/>
        <w:rPr>
          <w:rFonts w:ascii="Arial" w:cs="Arial" w:eastAsia="Arial" w:hAnsi="Arial"/>
          <w:sz w:val="18"/>
          <w:szCs w:val="18"/>
          <w:color w:val="auto"/>
        </w:rPr>
      </w:pPr>
    </w:p>
    <w:p>
      <w:pPr>
        <w:ind w:left="560" w:right="360" w:hanging="214"/>
        <w:spacing w:after="0" w:line="250" w:lineRule="auto"/>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ind w:left="560" w:hanging="214"/>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initiated the OVATION Study at four clinical sites at the University of Alabama at Birmingham, Oklahoma University Medical Center, Washington University in St. Louis and the Medical College of Wisconsin. During 2016 and 2017, we announced data from the first four cohorts of patients in the OVATION Study, respectively. The first four cohorts each enrolled three patients. Enrollment of three additional patients in the fourth cohort is ongoing, and Celsion expects to complete the OVATION Study in the first half of 2017. Future studies of GEN-1 may include a Phase I/II study combining GEN-1 with Avastin® and Doxil®. The results of the OVATION Study to date are as follows: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Totality of Results in the First Four Cohorts</w:t>
      </w:r>
    </w:p>
    <w:p>
      <w:pPr>
        <w:spacing w:after="0" w:line="225" w:lineRule="exact"/>
        <w:rPr>
          <w:sz w:val="20"/>
          <w:szCs w:val="20"/>
          <w:color w:val="auto"/>
        </w:rPr>
      </w:pPr>
    </w:p>
    <w:p>
      <w:pPr>
        <w:jc w:val="both"/>
        <w:ind w:left="560" w:right="360" w:hanging="214"/>
        <w:spacing w:after="0" w:line="256"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 the first twelve patients dosed, one (1) patient demonstrated a complete response (“CR”), eight (8) patients demonstrated partial response (“PR”) and three patients demonstrated stable disease (“SD”), as measured by RECIST criteria. This translates to a 100% disease control rate (“DCR”) and 75% objective response rate (“ORR”).</w:t>
      </w:r>
    </w:p>
    <w:p>
      <w:pPr>
        <w:jc w:val="both"/>
        <w:ind w:left="560" w:right="360" w:hanging="214"/>
        <w:spacing w:after="0" w:line="265" w:lineRule="auto"/>
        <w:tabs>
          <w:tab w:leader="none" w:pos="5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Eleven patients had successful resections of their tumors, with six (6) patients having an R0 resection, which indicates a microscopically margin-negative resection in which no gross or microscopic tumor remains in the tumor bed, and four (4) patients with a R1 resection, indicating microscopic residual tumor. One patient had an R2, indicating macroscopic residual tumor. One patient in the second cohort was ineligible for debulking surgery due to a medical complication unrelated to the study or the study drug.</w:t>
      </w:r>
    </w:p>
    <w:p>
      <w:pPr>
        <w:jc w:val="both"/>
        <w:ind w:left="560" w:right="360" w:hanging="214"/>
        <w:spacing w:after="0" w:line="250"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 the eleven surgically treated and evaluable patients, one patient demonstrated a complete pathological response (“cPR”), five (5) patients demonstrated a micro pathological response (“microPR”), and five (5) patients demonstrated a macroPR. These data compare favorably to historical data, which indicate that cPRs are typically seen in less than 7% of patients receiving neoadjuvant chemotherapy followed by surgical resection. cPRs have been associated with a median overall survival of 72 months, which is more than three years longer than those who do not experience a cPR. In addition, microPRs are seen in approximately 30% of patients, and are associated with a median overall survival of 38 months.</w:t>
      </w:r>
    </w:p>
    <w:p>
      <w:pPr>
        <w:spacing w:after="0" w:line="2" w:lineRule="exact"/>
        <w:rPr>
          <w:rFonts w:ascii="Arial" w:cs="Arial" w:eastAsia="Arial" w:hAnsi="Arial"/>
          <w:sz w:val="18"/>
          <w:szCs w:val="18"/>
          <w:color w:val="auto"/>
        </w:rPr>
      </w:pPr>
    </w:p>
    <w:p>
      <w:pPr>
        <w:jc w:val="both"/>
        <w:ind w:left="560" w:right="360" w:hanging="214"/>
        <w:spacing w:after="0" w:line="255"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eleven patients who completed treatment follow-up experienced a dramatic (greater than 90%) drop in their CA-125 protein levels as of their most recent study visit. CA-125 is used to monitor certain cancers during and after treatment. CA-125 is present in greater concentrations in ovarian cancer cells than in other cells. A 50% reduction in CA-125 levels is considered meaningful.</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Top Line Translational Data from First Two Cohorts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Celsion also reported initial translational data from the first two cohorts of patients. Tumor and blood samples collected before the start of the neoadjuvant chemotherapy (“NACT”) and after the completion of GEN-1 treatment at debulking surgery are being analyzed for immune cell populations. Top line data demonstrates intriguing immunological changes in the tumor that are consistent with the activation of the immune system. Specifically:</w:t>
      </w:r>
    </w:p>
    <w:p>
      <w:pPr>
        <w:spacing w:after="0" w:line="166" w:lineRule="exact"/>
        <w:rPr>
          <w:sz w:val="20"/>
          <w:szCs w:val="20"/>
          <w:color w:val="auto"/>
        </w:rPr>
      </w:pPr>
    </w:p>
    <w:p>
      <w:pPr>
        <w:jc w:val="both"/>
        <w:ind w:left="700" w:right="120" w:hanging="233"/>
        <w:spacing w:after="0" w:line="293" w:lineRule="auto"/>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tumor tissue, there was an increase in cytotoxic CD8+ T-cell density in three out of four evaluable patients at debulking surgery. There was a decrease in immunosuppressive FoxP3+ T-cells in two out of those 4 patients. The ratio of CD8+/FoxP3+ cells was increased in all four evaluable patients. High tumor infiltrating CD8+ T-cell density, low FoxP3+ T-cell density or high CD8+/FoxP3+ ratio demonstrate a potential shift in tumor environment to favoring immune stimulation following NACT + GEN-1 therapy. For the remaining two patients the post-treatment tumor tissue was not available. In one of those two patients there was complete pathological response hence no tumor tissue was present to provide a post-treatment comparison. In the other patient the debulking surgery was not performed due to disease related complications.</w:t>
      </w:r>
    </w:p>
    <w:p>
      <w:pPr>
        <w:spacing w:after="0" w:line="164" w:lineRule="exact"/>
        <w:rPr>
          <w:rFonts w:ascii="Arial" w:cs="Arial" w:eastAsia="Arial" w:hAnsi="Arial"/>
          <w:sz w:val="16"/>
          <w:szCs w:val="16"/>
          <w:color w:val="auto"/>
        </w:rPr>
      </w:pPr>
    </w:p>
    <w:p>
      <w:pPr>
        <w:ind w:left="700" w:right="120" w:hanging="233"/>
        <w:spacing w:after="0" w:line="308" w:lineRule="auto"/>
        <w:tabs>
          <w:tab w:leader="none" w:pos="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plasma samples, there was no significant change in T-cell density following the treatment. The density of myeloid derived suppressor cells that are associated with immunosuppression in ovarian cancer were either decreased or did not increase in post-treatment samples.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immune analysis of biological tissue including cytokine ELISA from the first two patient cohorts and a complete analysis of the two higher dose cohorts is in progress. We expect to report the final clinical and translational data from the OVATION Study in mid-2017.</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GEN-1 Plus Doxil® and Avastin® Trial. </w:t>
      </w:r>
      <w:r>
        <w:rPr>
          <w:rFonts w:ascii="Arial" w:cs="Arial" w:eastAsia="Arial" w:hAnsi="Arial"/>
          <w:sz w:val="18"/>
          <w:szCs w:val="18"/>
          <w:color w:val="auto"/>
        </w:rPr>
        <w:t>On April 29, 2015, we announced the expansion of our ovarian cancer development program to include a Phase 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dose escalating trial to evaluate GEN-1 in combination with Avastin® and Doxil® in platinum-resistant ovarian cancer patients. This new combination study in platinum-resistant ovarian cancer is supported by three preclinical studies indicating that the combination of GEN-1 with Avastin® may result in significant clinical benefit with a favorable safety profile. Specifically:</w:t>
      </w:r>
    </w:p>
    <w:p>
      <w:pPr>
        <w:spacing w:after="0" w:line="187" w:lineRule="exact"/>
        <w:rPr>
          <w:sz w:val="20"/>
          <w:szCs w:val="20"/>
          <w:color w:val="auto"/>
        </w:rPr>
      </w:pPr>
    </w:p>
    <w:p>
      <w:pPr>
        <w:jc w:val="both"/>
        <w:ind w:left="580" w:hanging="221"/>
        <w:spacing w:after="0" w:line="259"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two preclinical studies using an animal model of disseminated ovarian cancer, GEN-1 in combination with Avastin® led to a significant reduction in tumor burden and disease progression. The effectiveness of the combined treatment was seen when GEN-1 was combined with various dose levels of Avastin® (low-medium-high). Additionally, it was shown that GEN-1 treatment alone resulted in anti-tumor activity that was as good as or better than Avastin® treatment alone.</w:t>
      </w:r>
    </w:p>
    <w:p>
      <w:pPr>
        <w:spacing w:after="0" w:line="186" w:lineRule="exact"/>
        <w:rPr>
          <w:rFonts w:ascii="Arial" w:cs="Arial" w:eastAsia="Arial" w:hAnsi="Arial"/>
          <w:sz w:val="18"/>
          <w:szCs w:val="18"/>
          <w:color w:val="auto"/>
        </w:rPr>
      </w:pPr>
    </w:p>
    <w:p>
      <w:pPr>
        <w:jc w:val="both"/>
        <w:ind w:left="580" w:right="20" w:hanging="221"/>
        <w:spacing w:after="0" w:line="312"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preclinical studies indicated that no obvious overt toxicities were associated with the combined treatments of GEN-1 and Avastin®. The preclinical data are also consistent with the mechanism of action for GEN-1, which exhibits certain anti-angiogenic properties and suggests that combining GEN-1 with lower doses of Avastin® may enhance efficacy and help reduce the known toxicities associated with this anti-VEGF drug.</w:t>
      </w:r>
    </w:p>
    <w:p>
      <w:pPr>
        <w:spacing w:after="0" w:line="146" w:lineRule="exact"/>
        <w:rPr>
          <w:rFonts w:ascii="Arial" w:cs="Arial" w:eastAsia="Arial" w:hAnsi="Arial"/>
          <w:sz w:val="16"/>
          <w:szCs w:val="16"/>
          <w:color w:val="auto"/>
        </w:rPr>
      </w:pPr>
    </w:p>
    <w:p>
      <w:pPr>
        <w:jc w:val="both"/>
        <w:ind w:left="580" w:hanging="221"/>
        <w:spacing w:after="0" w:line="259"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distinct biological activities of GEN-1 (immune stimulation) and Avastin® (inhibition of tumor blood vessel formation) also suggest scientific rationale for this combination approach. Additionally, the anti-angiogenic activity of GEN-1 mediated through up regulation of the interferon gamma (“IFN-g”) pathway may help to explain the synergy between GEN-1 and Avastin® and potentially addresses the VEGF escape mechanisms associated with resistance to Avastin® therapy.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TheraPlas Technology Platform. </w:t>
      </w:r>
      <w:r>
        <w:rPr>
          <w:rFonts w:ascii="Arial" w:cs="Arial" w:eastAsia="Arial" w:hAnsi="Arial"/>
          <w:sz w:val="17"/>
          <w:szCs w:val="17"/>
          <w:color w:val="auto"/>
        </w:rPr>
        <w:t>TheraPlas is a technology platform for the delivery of DNA and messenger RNA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DNA/RNA from degradation and promote trafficking into cells and through intracellular compartments. We designed the delivery system of TheraPlas by chemically modifying the low molecular weight polymer to improve its gene transfer activity without increasing toxicity. We believe TheraPlas is a viable alternative to current approaches to gene delivery due to several distinguishing characteristics, including enhanced molecular versatility that allows for complex modifications to improve activity and safety.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Technology Development and Licensing Agreements. </w:t>
      </w:r>
      <w:r>
        <w:rPr>
          <w:rFonts w:ascii="Arial" w:cs="Arial" w:eastAsia="Arial" w:hAnsi="Arial"/>
          <w:sz w:val="18"/>
          <w:szCs w:val="18"/>
          <w:color w:val="auto"/>
        </w:rPr>
        <w:t>Our current efforts and resources are applied on the development and commercialization of cancer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drugs including tumor-targeting chemotherapy treatments using focused heat energy in combination with heat-activated drug delivery systems, immunotherapies and RNA-based therapies.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jc w:val="both"/>
        <w:spacing w:after="0" w:line="276" w:lineRule="auto"/>
        <w:rPr>
          <w:sz w:val="20"/>
          <w:szCs w:val="20"/>
          <w:color w:val="auto"/>
        </w:rPr>
      </w:pPr>
      <w:r>
        <w:rPr>
          <w:rFonts w:ascii="Arial" w:cs="Arial" w:eastAsia="Arial" w:hAnsi="Arial"/>
          <w:sz w:val="17"/>
          <w:szCs w:val="17"/>
          <w:color w:val="auto"/>
        </w:rPr>
        <w:t>On August 8, 2016, we signed a Technology Transfer, Manufacturing and Commercial Supply Agreement (the “GEN-1 Agreement”) with Hisun to pursue an expanded partnership for the technology transfer relating to the clinical and commercial manufacture and supply of GEN-1, Celsion’s proprietary gene mediated, IL-12 immunotherapy, for the greater China territory, with the option to expand into other countries in the rest of the world after all necessary regulatory approvals are obtained. The GEN-1 Agreement will help to support supply for both ongoing and planned clinical studies in the United States, and for potential future studies of GEN-1 in China. GEN-1 is currently being evaluated by Celsion in first line ovarian cancer patients.</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2012, Celsion and Zhejiand Hisun Pharmaceutical Co. Ltd. (“Hisun”) signed a long-term commercial supply agreement for the production of ThermoDox®. Hisun is one the largest manufacturers of chemotherapy agents globally, including doxorubicin. In July 2013, the ThermoDox® collaboration was expanded to focus on next generation liposomal formulation development with the goal of creating safer, more efficacious versions of marketed cancer chemotherapeutics. During 2015, Hisun successfully completed the manufacture of three registration batches for ThermoDox® and has obtained regulatory approvals to supply ThermoDox® to participating clinical trial sites in all of the countries of South East Asia, Europe and North America, as well as to the European Union countries allowing for early access to ThermoDox®. The future manufacturing of clinical and commercial supplies by Hisun will result in a cost structure allowing Celsion to profitably access all global markets, including third world countries, and help accelerate the Company’s product development program in China for ThermoDox® in primary liver cancer and other approved indications.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Plan and Going Concern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"Part II, Item 1A. Risk Factors" in this Quarterly Report on Form 10-Q.</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As of March 31, 2017, we had $4.5 million in cash and short term investments. Given our development plans, we anticipate cash resources will be sufficient to fund our operations into mid-2017 and the Company has no committed sources of additional capital. The Company has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(the “ATM Agreement”) with Cantor Fitzgerald &amp; Co. (see Note 11). As a result of the risks and uncertainties discussed in this Quarterly Report on Form 10-Q, among others,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product candidates through development and clinical trials, obtain regulatory approvals and manufacture and commercialized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 Based on the above, management has determined there is substantial doubt regarding our ability to continue as a going concern. As a result, our independent registered accounting firm has expressed substantial doubt about our ability to continue as a going concern in their report dated March 24, 2017 included in our 2016 Annual Report on Form 10-K.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and Debt Financings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2016 and thus far in 2017, the Company issued a total of 33.8 million shares of common stock; in the following equity transactions for an aggregate $13.0 million in gross proceeds.</w:t>
      </w:r>
    </w:p>
    <w:p>
      <w:pPr>
        <w:spacing w:after="0" w:line="170" w:lineRule="exact"/>
        <w:rPr>
          <w:sz w:val="20"/>
          <w:szCs w:val="20"/>
          <w:color w:val="auto"/>
        </w:rPr>
      </w:pPr>
    </w:p>
    <w:p>
      <w:pPr>
        <w:jc w:val="both"/>
        <w:ind w:left="800" w:right="1060" w:hanging="387"/>
        <w:spacing w:after="0" w:line="287" w:lineRule="auto"/>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February 14, 2017, the Company entered into a securities purchase agreement whereby it sold, in a public offering (the February 14, 2017 Public Offering), an aggregate of 19,385,869 shares of common stock of the Company at an offering price of $0.23 per share. In addition, the Company sold Series AA Warrants (the Series AA Warrants) to purchase up to 16,489,402 shares of common stock and Pre-Funded Series BB Warrants (the Pre-Funded Series BB Warrants) to purchase up to 2,600,000 shares of common stock. The Series AA Warrants have an exercise price of $0.23 per share, have a five year life and are immediately exercisable. The Pre-Funded Series BB Warrants were offered at $0.22 per share, are immediately exercisable for $0.01 per share of common stock, do not have an expiration date and were issued in lieu of shares of common stock to the extent that the purchase of common stock would cause the beneficial ownership of the purchaser of such shares, together with its affiliates and certain related parties, to exceed 9.99% of our common stock. The Company received approximately $5.0 million in gross proceeds before the deduction of the placement agent fees and offering expenses (excluding any proceeds from the exercise of the warrants) in the February 14, 2017 Public Offering. During the first quarter of 2017, all 2,600,000 of the Series BB Pre-Funded warrants were exercised in full. During the first quarter of 2017, we received $94,062 from the exercise of Series AA Warrants to purchase 408,966 of common stock.</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jc w:val="both"/>
        <w:ind w:left="660" w:right="660" w:hanging="314"/>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December 23, 2016, the Company entered into a Securities Purchase Agreement with certain institutional investors, pursuant to which the Company sold, in a registered direct offering, an aggregate of 5,142,843 shares of common stock for an aggregate purchase price of approximately $1.8 million. In a concurrent private placement, the Company issued to the same investors warrants to purchase up to 5,142,843 shares of common stock.</w:t>
      </w:r>
    </w:p>
    <w:p>
      <w:pPr>
        <w:spacing w:after="0" w:line="186" w:lineRule="exact"/>
        <w:rPr>
          <w:rFonts w:ascii="Arial" w:cs="Arial" w:eastAsia="Arial" w:hAnsi="Arial"/>
          <w:sz w:val="18"/>
          <w:szCs w:val="18"/>
          <w:color w:val="auto"/>
        </w:rPr>
      </w:pPr>
    </w:p>
    <w:p>
      <w:pPr>
        <w:jc w:val="both"/>
        <w:ind w:left="660" w:right="660" w:hanging="314"/>
        <w:spacing w:after="0" w:line="25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June 13, 2016, the Company entered into a Securities Purchase Agreement with an institutional investor, pursuant to which the Company sold, in a registered direct offering, an aggregate of 2,311,764 shares of common stock and Pre-funded Series B Warrants to purchase 2,100,000 shares of common stock for an aggregate purchase price of approximately $6.0 million. In a concurrent private placement, the Company issued to the same investor warrants to purchase up to 8,823,528 shares of common stock. As of March 15, 2017, the Pre-funded Series B Warrants were fully exercised.</w:t>
      </w:r>
    </w:p>
    <w:p>
      <w:pPr>
        <w:spacing w:after="0" w:line="164" w:lineRule="exact"/>
        <w:rPr>
          <w:rFonts w:ascii="Arial" w:cs="Arial" w:eastAsia="Arial" w:hAnsi="Arial"/>
          <w:sz w:val="18"/>
          <w:szCs w:val="18"/>
          <w:color w:val="auto"/>
        </w:rPr>
      </w:pPr>
    </w:p>
    <w:p>
      <w:pPr>
        <w:jc w:val="both"/>
        <w:ind w:left="660" w:right="700" w:hanging="314"/>
        <w:spacing w:after="0" w:line="22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a party to a Controlled Equity Offering</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Sales Agreement (ATM) dated as of February 1, 2013 with Cantor Fitzgerald &amp; Co., pursuant to which we may sell additional shares of our common stock having an aggregate offering price of up to $25 million through “at-the-market” equity offerings from time to time. From February 1, 2013 through December 31, 2015, the Company sold and issued an aggregate of 1,479,535 shares of common stock under the ATM, receiving approximately $7.4 million in net proceeds. The Company did not have any sales under the ATM in 2016 and thus far in 2017.</w:t>
      </w:r>
    </w:p>
    <w:p>
      <w:pPr>
        <w:spacing w:after="0" w:line="206"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We believe that our cash and cash equivalents of $4.5 million on hand at March 31, 2017, coupled with our access to the ATM, are sufficient to fund operations through the second quarter of 2017. However,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To complete the development and commercialization of our products, we will need to raise substantial amounts of additional capital to fund our operations. We do not have any committed sources of financing and cannot give assurance that alternate funding will be available in a timely manner, on acceptable terms or at all. We may need to pursue dilutive equity financings, such as the issuance of shares of common stock, preferred stock, convertible debt or other convertible or exercisable securities, which financings could dilute the percentage ownership of our current common stockholders and could significantly lower the market value of our common stock.</w:t>
      </w:r>
    </w:p>
    <w:p>
      <w:pPr>
        <w:spacing w:after="0" w:line="18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 FOR THE THREE MONTHS ENDED MARCH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For the three months ended March 31, 2017, our net loss was $5.2 million compared to a net loss of $5.7 million for the same period of 2016. As of March 31, 2017, we had $4.5 million in cash and cash equivalents.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9"/>
          </w:tcPr>
          <w:p>
            <w:pPr>
              <w:jc w:val="right"/>
              <w:ind w:right="1080"/>
              <w:spacing w:after="0"/>
              <w:rPr>
                <w:sz w:val="20"/>
                <w:szCs w:val="20"/>
                <w:color w:val="auto"/>
              </w:rPr>
            </w:pPr>
            <w:r>
              <w:rPr>
                <w:rFonts w:ascii="Arial" w:cs="Arial" w:eastAsia="Arial" w:hAnsi="Arial"/>
                <w:sz w:val="18"/>
                <w:szCs w:val="18"/>
                <w:b w:val="1"/>
                <w:bCs w:val="1"/>
                <w:color w:val="auto"/>
              </w:rPr>
              <w:t>Three Months Ended March 31,</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87"/>
              </w:rPr>
              <w:t>Change</w:t>
            </w: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(In thousands)</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Increase (Decrease)</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14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Clinical Research</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3,147</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2,809</w:t>
            </w: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338</w:t>
            </w:r>
          </w:p>
        </w:tc>
        <w:tc>
          <w:tcPr>
            <w:tcW w:w="64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12.0%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Chemistry, Manufacturing and Controls</w:t>
            </w: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3,475</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6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(395)</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4,943</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(361)</w:t>
            </w:r>
          </w:p>
        </w:tc>
        <w:tc>
          <w:tcPr>
            <w:tcW w:w="6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0"/>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700" w:type="dxa"/>
            <w:vAlign w:val="bottom"/>
            <w:gridSpan w:val="2"/>
          </w:tcPr>
          <w:p>
            <w:pPr>
              <w:jc w:val="right"/>
              <w:ind w:right="165"/>
              <w:spacing w:after="0"/>
              <w:rPr>
                <w:sz w:val="20"/>
                <w:szCs w:val="20"/>
                <w:color w:val="auto"/>
              </w:rPr>
            </w:pPr>
            <w:r>
              <w:rPr>
                <w:rFonts w:ascii="Arial" w:cs="Arial" w:eastAsia="Arial" w:hAnsi="Arial"/>
                <w:sz w:val="18"/>
                <w:szCs w:val="18"/>
                <w:color w:val="auto"/>
              </w:rPr>
              <w:t>26</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32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 year term of the agreement; therefore we recorded deferred revenue of $125,000 in each of the first quarters of 2017 and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Research and development (R&amp;D) expenses increased by $0.1 million to $3.5 million in the first quarter of 2017 from $3.4 million in the same period of 2016. Costs associated with the OPTIMA Study were $1.6 million in the first quarter of 2017 compared to $1.0 million in the same period of 2016. Increased costs in the OPTIMA Study are associated with patient enrollment and treatment costs and investigator site initiation expenses. Other clinical costs remained relatively unchanged at $0.9 million in each of the first quarters of 2017 and 2016. Preclinical and regulatory costs remained relatively unchanged at $0.1 million in each of the first quarters of 2017 and 2016. Costs associated with the production and distribution of ThermoDox® to support the OPTIMA Study decreased to $0.3 million in the first quarter of 2017 compared to $0.6 million the same period of 2016. R&amp;D costs associated with GEN-1 decreased to $0.6 million in the first quarter of 2017 compared to $0.8 million the same period of 2016. The Company expects to complete the enrollment of all Cohorts of the OVATION Study in the second quarter of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(G&amp;A) expenses decreased to $1.5 million in the first quarter of 2017 compared to $1.9 million in the same period of 2017. This decrease is attributable to lower personnel costs mainly associated with stock compensation. We continue to take those steps necessary to reduce our overhead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will be fair valued at the end of each quarter and any change in their value will be recognized in the financial statement. As of March 31, 2017, the Company fair valued these milestones at $13.5 million and recognized a non-cash charge of $0.3 million in the first quarter of 2017 as a result of the change in the fair value of these milestones from $13.2 million at December 31, 2016. The Company recognized a non-cash charge of $0.3 million in the first quarter of 2016 as a result of the change in the fair value of these milestones at $14.2 million at March 31, 2016 from $13.9 million at December 31, 2015.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connection with its debt facilities the Company incurred $0.1 million and $0.2 million in interest expense in the three month periods ended March 31, 2017 and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 development agreement with Hisun. The process of developing and commercializing ThermoDox®,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$247 million at March 31, 2017.</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2017, we had total current assets of $4.6 million (including cash and cash equivalents and short-term investments of $4.5 million) and current liabilities of $8.8 million, resulting in net working capital deficit of $4.2 million. At December 31, 2016, we had total current assets of $4.5 million (including cash, cash equivalents and short term investments and related interest receivable on short-term investments of $4.3 million) and current liabilities of $8.4 million, resulting in net working capital deficit of $3.9 million.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jc w:val="both"/>
        <w:spacing w:after="0" w:line="264" w:lineRule="auto"/>
        <w:rPr>
          <w:sz w:val="20"/>
          <w:szCs w:val="20"/>
          <w:color w:val="auto"/>
        </w:rPr>
      </w:pPr>
      <w:r>
        <w:rPr>
          <w:rFonts w:ascii="Arial" w:cs="Arial" w:eastAsia="Arial" w:hAnsi="Arial"/>
          <w:sz w:val="18"/>
          <w:szCs w:val="18"/>
          <w:color w:val="auto"/>
        </w:rPr>
        <w:t>Net cash used in operating activities for the first three months of 2017 was $3.1 million. Our 2017 net loss of $5.2 million for the three month period ended March 31, 2017 included $0.1 million in non-cash stock-based compensation expense and $0.3 million in a non-cash loss based on the change in the earn-out milestone liability.</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$3.1 million net cash used in operating activities was mostly funded from cash and short term investments. At March 31, 2017, we had cash and cash equivalents of $4.5 million.</w:t>
      </w:r>
    </w:p>
    <w:p>
      <w:pPr>
        <w:spacing w:after="0" w:line="17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Net cash provided by financing activities was $3.3 million during the three month period ended March 31, 2017 which resulted from net proceeds of $4.4 million from the sale of our common stock and warrants in the first quarter of 2017 partially offset by principal payments of $1.1 million on the Hercules Credit Agreement.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14, 2017, the Company entered into a securities purchase agreement whereby it sold, in a public offering, an aggregate of 19,385,869 shares of common stock, Series AA Warrants to purchase up to 16,489,402 shares of common stock and Pre-Funded Series BB Warrants to purchase up to 2,600,000 shares of common stock for an aggregate of approximately $5.0 million in gross proceeds. During the first quarter of 2017, all 2,600,000 of the Series BB Pre-Funded warrants were exercised in full. During the first quarter of 2017, we received $94,062 from the exercise of Series AA Warrants to purchase 408,966 of common stock.</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2013, we entered into a Controlled Equity Offering SM Sales Agreement (ATM) with Cantor Fitzgerald &amp; Co., as sales agent (Cantor), pursuant to which we may offer and sell, from time to time, through Cantor, shares of our common stock having an aggregate offering price of up to $25.0 million (the ATM Shares) pursuant to our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We will pay Cantor a commission of three percent of the aggregate gross proceeds from each sale of ATM Shares. We have sold and issued an aggregate of 1,479,535 shares under the ATM Agreement so far, receiving approximately $7.4 million in net proceeds.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cash and cash equivalents of $4.5 million on hand at March 31, 2017, coupled with the remaining availability of $17.4 million under the ATM, are sufficient to fund operations through the second quarter of 2017. However,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may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have no off-balance sheet financing arrangements. In April 2017, the Company and its landlord amended the lease for the corporate offices located in Lawrenceville NJ effective May 1, 2017. The lease amendment extends the term of the lease for an additional 64 months, reduced the premises to 7,565 square feet, reduced the monthly rent, provided four months free rent and reduced the escrow deposit from $100,000 to $50,000. The monthly rent will range from approximately $18,900 in the first year to approximately $20,500 in the final year of the amendment. The Company also has a one-time option to cancel the lease as of the 40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month after the commencement date of the Lease amendment. Other than this lease amendment, there were no materials changes during the three months ended March 31, 2017 to our operating leases, which are disclosed in the contractual commitments table in our Annual Report on Form 10-K for the fiscal year ended December 31, 2016 filed on March 24, 2017 with the Securities and Exchange Commission.</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 ABOUT MARKET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balance sheet at fair value with unrealized gains or losses reported as a component of accumulated other comprehensive loss included in stockholders’ equity.</w:t>
      </w:r>
    </w:p>
    <w:p>
      <w:pPr>
        <w:spacing w:after="0" w:line="1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March 31, 2017, which is the end of the period covered by this report, our disclosure controls and procedures are effective at the reasonable assurance level in alerting them in a timely manner to material information required to be included in our periodic reports with the Securities and Exchange Commission.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our internal controls over financial reporting identified in connection with the evaluation required by paragraph (d) of Rule 13a-15 of the Securities Exchange Act of 1934, as amended, that occurred during the three months ended March 31, 2017 that have materially affected, or are reasonably likely to materially affect, our internal controls over financial reporting.</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following is a summary of the risk factors, uncertainties and assumptions that we believe are most relevant to our business. These are factors that, individually or in the aggregate, we think could cause our actual results to differ significantly from expected or historical results and our forward-looking statements. We note these factors for investors as permitted by Section 21E of the Securities Exchange Act of 1934, as amended and Section 27A of the Securities Act of 1933, as amended. Additional risks that we currently believe are immaterial may also impair our business operations. Investors should carefully consider the risks described below before making an investment decision, and understand that it is not possible to predict or identify all such factors. Consequently, investors should not consider the following to be a complete discussion of all potential risks or uncertainties that may impact our business.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 The description provided in this Item 1A includes any material changes to and supersedes the description of the risk factors associated with our business previously disclosed in Item 1A of our Annual Report on Form 10-K for the fiscal year ended December 31, 2016 filed on March 24, 2017 with the Securities and Exchange Commission (SEC). In assessing these risks, investors should also refer to the other information contained or incorporated by reference in this Quarterly Report and our other filings made from time to time with the SEC.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significant losses from operations and expect to continue to incur significant losses for the foreseeable future.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Since our inception, our expenses have substantially exceeded our revenue, resulting in continuing losses and an accumulated deficit of $247 million at March 31, 2017. For the years ended December 31, 2014, 2015 and 2016 and the three months ended March 31, 2017, we incurred a net loss of $25.5 million, $22.5 million, $22.1 million and $5.2 million, respectively. We currently have no product revenue and do not expect to generate any product revenue for the foreseeable future other than through the sale of our proprietary reagent products for life science research, which products are based on our newly acquired proprietary delivery platform technologies, TheraPlas and TheraSilence. Because we are committed to continuing our product research, development, clinical trial and commercialization programs, we will continue to incur significant operating losses unless and until we complete the development of ThermoDox®, GEN-1 and other new product candidates and these product candidates have been clinically tested, approved by the U.S. Food and Drug Administration (FDA) and successfully marketed. The amount of future losses is uncertain. Our ability to achieve profitability, if ever, will depend on, among other things, us or our collaborators successfully developing product candidates, obtaining regulatory approvals to market and commercialize product candidates, manufacturing any approved products on commercially reasonable terms, establishing a sales and marketing organization or suitable third party alternatives for any approved product and raising sufficient funds to finance business activities. If we or our collaborators are unable to develop and commercialize one or more of our product candidates or if sales revenue from any product candidate that receives approval is insufficient, we will not achieve profitability, which could have a material adverse effect on our business, financial condition, results of operations and prospects.</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Drug development is an inherently uncertain process with a high risk of failure at every stage of development. Our lead drug candidate failed to meets its primary endpoint in the Phase III HEAT Study.</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31, 2013, we announced that our lead product ThermoDox® in combination with radiofrequency ablation (RFA) failed to meet the primary endpoint of the Phase III clinical trial for primary liver cancer, known as the HEAT Study. We have not completed our final analysis of the data and do not know the extent to which, if any, the failure of ThermoDox® to meet its primary endpoint in the Phase III trial could impact our other ongoing studies of ThermoDox® including a pivotal, double-blind, placebo-controlled Phase III trial of ThermoDox® in combination with RFA in primary liver cancer, known as the OPTIMA Study, which we launched in the first half of 2014. The trial design of the OPTIMA Study is based on the overall survival data from the post-hoc analysis of results from the HEAT Study. ThermoDox® is also being evaluated in a Phase II clinical trial for recurrent chest wall breast cancer and other preclinical studies. In addition, we have initiated a Phase I dose-escalation clinical trial of GEN-1 in combination with the standard of care in neo-adjuvant ovarian cancer, known as the OVATION Study, and plan to expand our ovarian cancer development program to include a Phase I dose escalating trial evaluating GEN-1 in combination with Avastin® and Doxil® in platinum-resistant ovarian cancer patients.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 w:name="page34"/>
    <w:bookmarkEnd w:id="33"/>
    <w:p>
      <w:pPr>
        <w:jc w:val="both"/>
        <w:spacing w:after="0" w:line="287" w:lineRule="auto"/>
        <w:rPr>
          <w:sz w:val="20"/>
          <w:szCs w:val="20"/>
          <w:color w:val="auto"/>
        </w:rPr>
      </w:pPr>
      <w:r>
        <w:rPr>
          <w:rFonts w:ascii="Arial" w:cs="Arial" w:eastAsia="Arial" w:hAnsi="Arial"/>
          <w:sz w:val="16"/>
          <w:szCs w:val="16"/>
          <w:color w:val="auto"/>
        </w:rPr>
        <w:t>Preclinical testing and clinical trials are long, expensive and highly uncertain processes and failure can unexpectedly occur at any stage of clinical development, as evidenced by the failure of ThermoDox® to meet its primary endpoint in the HEAT Study. Drug development is inherently risky and clinical trials take us several years to complete.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The failure of one or more of our drug candidates or development programs could have a material adverse effect on our business, financial condition and results of operations.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will need to raise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 If we are not able to raise additional capital when needed, there would continue to be substantial doubt as to our ability to continue as a going concern.</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not generated significant revenue and have incurred significant net losses in each year since our inception. Since our inception, our expenses have substantially exceeded our revenue, resulting in continuing losses and an accumulated deficit of $247 million at March 31, 2017. For the years ended December 31, 2014, 2015 and 2016 and the three months ended March 31, 2017, we incurred a net loss of $25.5 million, $22.5 million, $22.1 million and $5.2 million, respectively. As of March 31, 2017, we had approximately $4.5 million in cash and cash equivalents. We have substantial future capital requirements to continue our research and development activities and advance our product candidates through various development stages. For example, ThermoDox® is being evaluated in a Phase III clinical trial in combination with RFA for the treatment of primary liver cancer, a Phase II clinical trial for the treatment of recurrent chest wall breast cancer and other preclinical studies. We initiated a Phase I dose-escalation clinical trial of GEN-1 in combination with the standard of care in neo-adjuvant ovarian cancer in the second half of 2015 and plan to expand our ovarian cancer development program to include a Phase I dose escalating trial evaluating GEN-1 in combination with Avastin® and Doxil® in platinum-resistant ovarian cancer patients .</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complete the development and commercialization of our product candidates, we will need to raise substantial amounts of additional capital to fund our operations.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continue to seek additional financial resources to fund the further development of our product candidates. If we are unable to obtain additional capital on a timely basis or on acceptable terms, we may be required to delay, reduce or terminate our research and development programs and preclinical studies or clinical trials, if any, limit strategic opportunities or undergo corporate restructuring activities. We also could be required to seek funds through arrangements with collaborators or others that may require us to relinquish rights to some of our technologies, product candidates or potential markets or that could impose onerous financial or other terms. As explained in the notes to our financial statements, if the Company is not able to raise additional funds when needed, there would continue to be substantial doubt as to the Company’s ability to continue as a going concern. Furthermore, if we cannot fund our ongoing development and other operating requirements, particularly those associated with our obligations to conduct clinical trials under our licensing agreements, we will be in breach of these licensing agreements and could therefore lose our license rights, which could have material adverse effects on our business. Based on the above, our management has determined there is substantial doubt regarding our ability to continue as a going concern. The report of our independent registered accounting firm included in our 2016 Form 10K dated March 24, 2017, includes an explanatory paragraph which express substantial doubt about our ability to continue as a going concern.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p>
      <w:pPr>
        <w:jc w:val="both"/>
        <w:ind w:right="380"/>
        <w:spacing w:after="0" w:line="266" w:lineRule="auto"/>
        <w:rPr>
          <w:sz w:val="20"/>
          <w:szCs w:val="20"/>
          <w:color w:val="auto"/>
        </w:rPr>
      </w:pPr>
      <w:r>
        <w:rPr>
          <w:rFonts w:ascii="Arial" w:cs="Arial" w:eastAsia="Arial" w:hAnsi="Arial"/>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The testing and approval process requires substantial time, effort and resources, and generally takes a number of years to complete. The time to complete testing and obtaining approvals is uncertain, and the FDA and foreign regulatory agencies have substantial discretion, at any phase of development, to terminate clinical studies, require additional clinical studies or other testing, delay or withhold approval, and mandate product withdrawals, including recalls. In addition, our drug candidates may have undesirable side effects or other unexpected characteristics that could cause us or regulatory authorities to interrupt, delay or halt clinical trials and could result in a more restricted label or the delay or denial of regulatory approval by regulatory authorities. Even if we receive regulatory approval of a product, the approval may limit the indicated uses for which the drug may be marketed. The failure to obtain timely regulatory approval of product candidates, the imposition of marketing limitations, or a product withdrawal would negatively impact our business,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expect to generate revenue for the foreseeable future.</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devoted our resources to developing a new generation of products and will not be able to market these products until we have completed clinical trials and obtain all necessary governmental approvals. Our lead product candidate, ThermoDox® and the product candidates we purchased in our acquisition of EGEN, Inc., including GEN-1, are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continued to follow the patients enrolled in the HEAT Study to the secondary endpoint, overall survival. Based on the overall survival data from the post-hoc analysis of results from the HEAT Study, we launched a pivotal, double-blind, placebo-controlled Phase III trial of ThermoDox® in combination with RFA in primary liver cancer, known as the OPTIMA Study, in the first half of 2014. ThermoDox® is currently also being evaluated in a Phase II clinical trial for the treatment of recurrent chest wall breast cancer, known as the DIGNITY Study, and other preclinical studies. GEN-1 is currently in an early stage of clinical development for the treatment of ovarian cancer. We initiated a Phase I dose-escalation clinical trial of GEN-1 in combination with the standard of care in neo-adjuvant ovarian cancer in the second half of 2015 and plan to expand our ovarian cancer development program to include a Phase I dose escalating trial evaluating GEN-1 in combination with Avastin® and Doxil® in platinum-resistant ovarian cancer patients. The delivery technology platforms, TheraPlas and TheraSilence, are in preclinical stages of development. Accordingly, our revenue sources are, and will remain, extremely limited until our product candidates are clinically tested, approved by the FDA or foreign regulatory agencies and successfully marketed. We cannot guarantee that any of our product candidates will be approved by the FDA or any foreign regulatory agency or marketed, successfully or otherwise, at any time in the foreseeable future or at all.</w:t>
      </w:r>
    </w:p>
    <w:p>
      <w:pPr>
        <w:spacing w:after="0" w:line="179" w:lineRule="exact"/>
        <w:rPr>
          <w:sz w:val="20"/>
          <w:szCs w:val="20"/>
          <w:color w:val="auto"/>
        </w:rPr>
      </w:pPr>
    </w:p>
    <w:p>
      <w:pPr>
        <w:ind w:right="480"/>
        <w:spacing w:after="0" w:line="347" w:lineRule="auto"/>
        <w:rPr>
          <w:sz w:val="20"/>
          <w:szCs w:val="20"/>
          <w:color w:val="auto"/>
        </w:rPr>
      </w:pPr>
      <w:r>
        <w:rPr>
          <w:rFonts w:ascii="Arial" w:cs="Arial" w:eastAsia="Arial" w:hAnsi="Arial"/>
          <w:sz w:val="16"/>
          <w:szCs w:val="16"/>
          <w:b w:val="1"/>
          <w:bCs w:val="1"/>
          <w:color w:val="auto"/>
        </w:rPr>
        <w:t>We may not successfully engage in future strategic transactions, which could adversely affect our ability to develop and commercialize product candidates, impact our cash position, and increase our expense and present significant distractions to our management.</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future, we may consider strategic alternatives intended to further the development of our business, which may include acquiring businesses, technologies or products, out- or in-licensing product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product candidates and have a negative impact on the competitiveness of any product candidate that reaches market.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Strategic transactions, such as acquisitions, partnerships and collaborations, including the EGEN acquisition, involve numerous risks, including:</w:t>
      </w:r>
    </w:p>
    <w:p>
      <w:pPr>
        <w:spacing w:after="0" w:line="225" w:lineRule="exact"/>
        <w:rPr>
          <w:sz w:val="20"/>
          <w:szCs w:val="20"/>
          <w:color w:val="auto"/>
        </w:rPr>
      </w:pPr>
    </w:p>
    <w:p>
      <w:pPr>
        <w:ind w:left="540" w:hanging="356"/>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failure of markets for the products of acquired businesses, technologies or product lines to develop as expected;</w:t>
      </w:r>
    </w:p>
    <w:p>
      <w:pPr>
        <w:spacing w:after="0" w:line="23" w:lineRule="exact"/>
        <w:rPr>
          <w:rFonts w:ascii="Arial" w:cs="Arial" w:eastAsia="Arial" w:hAnsi="Arial"/>
          <w:sz w:val="18"/>
          <w:szCs w:val="18"/>
          <w:color w:val="auto"/>
        </w:rPr>
      </w:pPr>
    </w:p>
    <w:p>
      <w:pPr>
        <w:ind w:left="540" w:hanging="356"/>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uncertainties in identifying and pursuing acquisition targets;</w:t>
      </w:r>
    </w:p>
    <w:p>
      <w:pPr>
        <w:spacing w:after="0" w:line="9" w:lineRule="exact"/>
        <w:rPr>
          <w:rFonts w:ascii="Arial" w:cs="Arial" w:eastAsia="Arial" w:hAnsi="Arial"/>
          <w:sz w:val="18"/>
          <w:szCs w:val="18"/>
          <w:color w:val="auto"/>
        </w:rPr>
      </w:pPr>
    </w:p>
    <w:p>
      <w:pPr>
        <w:ind w:left="540" w:hanging="356"/>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acquisitions;</w:t>
      </w:r>
    </w:p>
    <w:p>
      <w:pPr>
        <w:spacing w:after="0" w:line="9" w:lineRule="exact"/>
        <w:rPr>
          <w:rFonts w:ascii="Arial" w:cs="Arial" w:eastAsia="Arial" w:hAnsi="Arial"/>
          <w:sz w:val="18"/>
          <w:szCs w:val="18"/>
          <w:color w:val="auto"/>
        </w:rPr>
      </w:pPr>
    </w:p>
    <w:p>
      <w:pPr>
        <w:ind w:left="540" w:right="1440" w:hanging="356"/>
        <w:spacing w:after="0" w:line="250"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that the financial returns on acquisitions will not support the expenditures incurred to acquire such businesses or the capital expenditures needed to develop such businesses;</w:t>
      </w:r>
    </w:p>
    <w:p>
      <w:pPr>
        <w:ind w:left="540" w:hanging="356"/>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assimilating the acquired businesses, technologies or product lines;</w:t>
      </w:r>
    </w:p>
    <w:p>
      <w:pPr>
        <w:spacing w:after="0" w:line="9" w:lineRule="exact"/>
        <w:rPr>
          <w:rFonts w:ascii="Arial" w:cs="Arial" w:eastAsia="Arial" w:hAnsi="Arial"/>
          <w:sz w:val="18"/>
          <w:szCs w:val="18"/>
          <w:color w:val="auto"/>
        </w:rPr>
      </w:pPr>
    </w:p>
    <w:p>
      <w:pPr>
        <w:ind w:left="540" w:right="960" w:hanging="356"/>
        <w:spacing w:after="0" w:line="250"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failure to successfully manage additional business locations, including the additional infrastructure and resources necessary to support and integrate such locations;</w:t>
      </w:r>
    </w:p>
    <w:p>
      <w:pPr>
        <w:ind w:left="540" w:right="880" w:hanging="356"/>
        <w:spacing w:after="0" w:line="250"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existence of unknown product defects related to acquired businesses, technologies or product lines that may not be identified due to the inherent limitations involved in the due diligence process of an acquisition;</w:t>
      </w:r>
    </w:p>
    <w:p>
      <w:pPr>
        <w:ind w:left="540" w:hanging="356"/>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9" w:lineRule="exact"/>
        <w:rPr>
          <w:rFonts w:ascii="Arial" w:cs="Arial" w:eastAsia="Arial" w:hAnsi="Arial"/>
          <w:sz w:val="18"/>
          <w:szCs w:val="18"/>
          <w:color w:val="auto"/>
        </w:rPr>
      </w:pPr>
    </w:p>
    <w:p>
      <w:pPr>
        <w:ind w:left="540" w:hanging="356"/>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entering markets or conducting operations with which we have no or limited direct prior experience;</w:t>
      </w:r>
    </w:p>
    <w:p>
      <w:pPr>
        <w:spacing w:after="0" w:line="9" w:lineRule="exact"/>
        <w:rPr>
          <w:rFonts w:ascii="Arial" w:cs="Arial" w:eastAsia="Arial" w:hAnsi="Arial"/>
          <w:sz w:val="18"/>
          <w:szCs w:val="18"/>
          <w:color w:val="auto"/>
        </w:rPr>
      </w:pPr>
    </w:p>
    <w:p>
      <w:pPr>
        <w:ind w:left="540" w:hanging="356"/>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assuming the legal obligations of acquired businesses, technologies or product lines;</w:t>
      </w:r>
    </w:p>
    <w:p>
      <w:pPr>
        <w:spacing w:after="0" w:line="9" w:lineRule="exact"/>
        <w:rPr>
          <w:rFonts w:ascii="Arial" w:cs="Arial" w:eastAsia="Arial" w:hAnsi="Arial"/>
          <w:sz w:val="18"/>
          <w:szCs w:val="18"/>
          <w:color w:val="auto"/>
        </w:rPr>
      </w:pPr>
    </w:p>
    <w:p>
      <w:pPr>
        <w:ind w:left="540" w:right="1120" w:hanging="356"/>
        <w:spacing w:after="0" w:line="250"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related to the effect that internal control processes of acquired businesses might have on our financial reporting and management’s report on our internal control over financial reporting;</w:t>
      </w:r>
    </w:p>
    <w:p>
      <w:pPr>
        <w:ind w:left="540" w:hanging="356"/>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loss of key employees related to acquired businesses, technologies or product lines; and</w:t>
      </w:r>
    </w:p>
    <w:p>
      <w:pPr>
        <w:spacing w:after="0" w:line="9" w:lineRule="exact"/>
        <w:rPr>
          <w:rFonts w:ascii="Arial" w:cs="Arial" w:eastAsia="Arial" w:hAnsi="Arial"/>
          <w:sz w:val="18"/>
          <w:szCs w:val="18"/>
          <w:color w:val="auto"/>
        </w:rPr>
      </w:pPr>
    </w:p>
    <w:p>
      <w:pPr>
        <w:ind w:left="540" w:hanging="356"/>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incurrence of significant exit charges if products or technologies acquired in business combinations are unsuccessful.</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never realize the perceived benefits of the EGEN acquisition or potential future transactions. We cannot assure you that we will be successful in overcoming problems encountered in connection with any transactions, and our inability to do so could significantly harm our business, results of operations and financial condition. These transactions could dilute a stockholder’s investment in us and cause us to incur debt, contingent liabilities and amortization/impairment charges related to intangible assets, all of which could materially and adversely affect our business, results of operations and financial condition. In addition, our effective tax rate for future periods could be negatively impacted by the EGEN acquisition or potential future transactions.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If we breach any provisions of the license and research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others’ claimed proprietary rights.</w:t>
      </w:r>
    </w:p>
    <w:p>
      <w:pPr>
        <w:spacing w:after="0" w:line="17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If any of our pending patent applications do not issue, or are deemed invalid following issuance, we may lose valuable intellectual property protection.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been issued will be held valid and enforceable in a court of law through the entire patent term. Even for patents that are held valid and enforceable, the legal process associated with obtaining such a judgment is time 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patents. We may have to participate in interference proceedings declared by the U.S. Patent and Trademark Office, which could result in a loss of the patent and/or substantial cost to us.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ind w:right="60"/>
        <w:spacing w:after="0" w:line="255" w:lineRule="auto"/>
        <w:rPr>
          <w:sz w:val="20"/>
          <w:szCs w:val="20"/>
          <w:color w:val="auto"/>
        </w:rPr>
      </w:pPr>
      <w:r>
        <w:rPr>
          <w:rFonts w:ascii="Arial" w:cs="Arial" w:eastAsia="Arial" w:hAnsi="Arial"/>
          <w:sz w:val="18"/>
          <w:szCs w:val="18"/>
          <w:color w:val="auto"/>
        </w:rPr>
        <w:t>We have filed patent applications, and plan to file additional patent applications, covering various aspects of our technologies and our proprietary product candidates. There can be no assurance that the patent applications for which we apply would actually issue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 party patent holder may assert a claim of patent infringement against us in the future. Alternatively, we may initiate litigation against the third 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do not independently conduct clinical trials for our drug candidates. We rely, and expect to continue to rely, on third-party clinical investigators, clinical research organizations (CROs), clinical data management organizations and consultants to design, conduct, supervise and monitor our clinical trials.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jc w:val="both"/>
        <w:spacing w:after="0" w:line="270" w:lineRule="auto"/>
        <w:rPr>
          <w:sz w:val="20"/>
          <w:szCs w:val="20"/>
          <w:color w:val="auto"/>
        </w:rPr>
      </w:pPr>
      <w:r>
        <w:rPr>
          <w:rFonts w:ascii="Arial" w:cs="Arial" w:eastAsia="Arial" w:hAnsi="Arial"/>
          <w:sz w:val="17"/>
          <w:szCs w:val="17"/>
          <w:color w:val="auto"/>
        </w:rPr>
        <w:t>Because we do not conduct our own clinical trials, we must rely on the efforts of others and have reduced control over aspects of these activities, including, the timing of such trials, the costs associated with such trials and the procedures that are followed for such trials. We do not expect to significantly increase our personnel in the foreseeable future and may continue to rely on third parties to conduct all of our future clinical trials. 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product candidates.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Despite our reliance on third parties to conduct our clinical trials, we are ultimately responsible for ensuring that each of our clinical trials is conducted in accordance with the general investigational plan and protocols for the trial. Moreover, the FDA requires clinical trials to be conducted in accordance with good clinical practices for conducting, recording and reporting the results of clinical trials to assure that data and reported results are credible and accurate and that the rights, integrity and confidentiality of clinical trial participants are protected. We also are required to register ongoing clinical trials and post the results of completed clinical trials on a government-sponsored database, </w:t>
      </w:r>
      <w:r>
        <w:rPr>
          <w:rFonts w:ascii="Arial" w:cs="Arial" w:eastAsia="Arial" w:hAnsi="Arial"/>
          <w:sz w:val="17"/>
          <w:szCs w:val="17"/>
          <w:b w:val="1"/>
          <w:bCs w:val="1"/>
          <w:i w:val="1"/>
          <w:iCs w:val="1"/>
          <w:u w:val="single" w:color="auto"/>
          <w:color w:val="auto"/>
        </w:rPr>
        <w:t>ClinicalTrials.gov</w:t>
      </w:r>
      <w:r>
        <w:rPr>
          <w:rFonts w:ascii="Arial" w:cs="Arial" w:eastAsia="Arial" w:hAnsi="Arial"/>
          <w:sz w:val="17"/>
          <w:szCs w:val="17"/>
          <w:color w:val="auto"/>
        </w:rPr>
        <w:t>, within certain timeframes. Failure to do so can result in fines, adverse publicity and civil and criminal sanctions. Our reliance on third parties that we do not control does not relieve us of these responsibilities and requirements. If we or a third party we rely on fails to meet these requirements, we may not be able to obtain, or may be delayed in obtaining, marketing authorizations for our drug candidates and will not be able to, or may be delayed in our efforts to, successfully commercialize our drug candidates. This could have a material adverse effect on our business, financial condition, results of operations and prospects.</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Good Manufacturing Practices.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 or royalties.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jc w:val="both"/>
        <w:spacing w:after="0" w:line="286" w:lineRule="auto"/>
        <w:rPr>
          <w:sz w:val="20"/>
          <w:szCs w:val="20"/>
          <w:color w:val="auto"/>
        </w:rPr>
      </w:pPr>
      <w:r>
        <w:rPr>
          <w:rFonts w:ascii="Arial" w:cs="Arial" w:eastAsia="Arial" w:hAnsi="Arial"/>
          <w:sz w:val="17"/>
          <w:szCs w:val="17"/>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16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part of our business strategy, we may seek Orphan Drug Designation for our product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condition. Even after an orphan product is approved, the FDA can subsequently approve the same drug with the same active moiety for the same condition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changes affecting the healthcare industry could adversely affect our business.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Political, economic and regulatory influences are subjecting the healthcare industry to potential fundamental changes that could substantially affect our results of operations. There have been a number of government and private sector initiatives during the last few years to limit the growth of healthcare costs, including price regulation, competitive pricing, coverage and payment policies, comparative effectiveness of therapies, technology assessments and managed-care arrangements. It is uncertain whether or when any legislative proposals will be adopted or what actions federal, state, or private payors for health care treatment and services may take in response to any healthcare reform proposals or legislation. We cannot predict the effect healthcare reforms may have on our business and we can offer no assurances that any of these reforms will not have a material adverse effect on our business. In addition, uncertainty remains regarding proposed significant reforms to the U.S. health care system.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 w:name="page40"/>
    <w:bookmarkEnd w:id="39"/>
    <w:p>
      <w:pPr>
        <w:jc w:val="both"/>
        <w:spacing w:after="0" w:line="282" w:lineRule="auto"/>
        <w:rPr>
          <w:sz w:val="20"/>
          <w:szCs w:val="20"/>
          <w:color w:val="auto"/>
        </w:rPr>
      </w:pPr>
      <w:r>
        <w:rPr>
          <w:rFonts w:ascii="Arial" w:cs="Arial" w:eastAsia="Arial" w:hAnsi="Arial"/>
          <w:sz w:val="18"/>
          <w:szCs w:val="18"/>
          <w:b w:val="1"/>
          <w:bCs w:val="1"/>
          <w:color w:val="auto"/>
        </w:rPr>
        <w:t>The success of our products may be harmed if the government, private health insurers and other third-party payers do not provide sufficient coverage or reimbursement.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ability to commercialize our new cancer treatment systems successfully will depend in part on the extent to which reimbursement for the costs of such products and related treatments will be available from government health administration authorities, private health insurers and other third-party payors. The reimbursement status of newly approved medical products is subject to significant uncertainty. We cannot guarantee that adequate third-party insurance coverage will be available for us to establish and maintain price levels sufficient for us to realize an appropriate return on our investment in developing new therapies. Government, private health insurers and other third-party payors are increasingly attempting to contain healthcare costs by limiting both coverage and the level of reimbursement for new therapeutic products approved for marketing by the FDA.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commercial success of our products will depend upon their acceptance by the medical community and third-party payors as clinically useful, cost effective and safe. Any of our drug candidates may prove not to be effective in practice. Our testing and clinical practice may not confirm the safety and efficacy of our product candidates or even if further testing and clinical practice produce positive results, the medical community may not view these new forms of treatment as effective and desirable or our efforts to market our new products may fail. Market acceptance depends upon physicians and hospitals obtaining adequate reimbursement rates from third-party payors to make our products commercially viable. Any of these factors could have an adverse effect on our business, financial condition and results of operations.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16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expenses and there can be no assurance that such third parties will establish adequate sales and distribution capabilities or be successful in gaining market acceptance for our products and services.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 w:name="page41"/>
    <w:bookmarkEnd w:id="40"/>
    <w:p>
      <w:pPr>
        <w:jc w:val="both"/>
        <w:ind w:right="20"/>
        <w:spacing w:after="0" w:line="282" w:lineRule="auto"/>
        <w:rPr>
          <w:sz w:val="20"/>
          <w:szCs w:val="20"/>
          <w:color w:val="auto"/>
        </w:rPr>
      </w:pPr>
      <w:r>
        <w:rPr>
          <w:rFonts w:ascii="Arial" w:cs="Arial" w:eastAsia="Arial" w:hAnsi="Arial"/>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hire or retain key officers or employees that we need to implement our business strategy and develop our product candidates and business, including those purchased in the EGEN acquisition.</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success depends significantly on the continued contributions of our executive officers, scientific and technical personnel and consultants, including those retained in the EGEN acquisition, and on our ability to attract additional personnel as we seek to implement our business strategy and develop our product candidates and businesses. Our operations associated with the EGEN acquisition are located in Huntsville, Alabama. Key employees may depart if we fail to successfully manage this additional business location or in relation to any uncertainties or difficulties of integration with Celsion. We cannot guarantee that we will retain key employees to the same extent that we and EGEN retained each of our own employees in the past, which could have a negative impact on our business, results of operations and financial condition. Our integration of EGEN and ability to operate in the fields we acquired from EGEN may be more difficult if we lose key employees. Additionally, during our operating history, we have assigned many essential responsibilities to a relatively small number of individuals. However,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success will depend in part on our ability to grow and diversify, which in turn will require that we manage and control our growth effectively.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intense competition and the failure to compete effectively could adversely affect our ability to develop and market our products.</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United States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1" w:name="page42"/>
    <w:bookmarkEnd w:id="41"/>
    <w:p>
      <w:pPr>
        <w:jc w:val="both"/>
        <w:spacing w:after="0" w:line="282" w:lineRule="auto"/>
        <w:rPr>
          <w:sz w:val="20"/>
          <w:szCs w:val="20"/>
          <w:color w:val="auto"/>
        </w:rPr>
      </w:pPr>
      <w:r>
        <w:rPr>
          <w:rFonts w:ascii="Arial" w:cs="Arial" w:eastAsia="Arial" w:hAnsi="Arial"/>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clinical trial involving our product candidates could result in delays in our development and regulatory filing efforts and significantly increase our costs. To the extent that any disruption or security breach were to result in a loss of, or damage to, our data, or inappropriate disclosure of confidential or proprietary information, we could incur liability and the development of our product candidates could be delayed.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trading price for our common stock has been, and we expect it to continue to be, volatile. Our January 31, 2013 announcement that the HEAT Study failed to meet its primary endpoint has resulted in significant volatility and a steep decline in the price of our common stock, a level of decline that could result in securities litigation. Plaintiffs’ securities litigation firms have publicly announced that they are investigating potential securities fraud claims that they may wish to make against us.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The closing price of our common stock as reported on The NASDAQ Capital Market had a high price of $1.93 and a low price of $0.30 in the 52-week period ended December 31, 2016 and a high price of $0.51 and a low price of $0.21 from January 3, 2017 through May 11, 2017. Among the factors that may cause the market price of our common stock to fluctuate are the risks described in this “Risk Factors” section and other factors, including:</w:t>
      </w:r>
    </w:p>
    <w:p>
      <w:pPr>
        <w:spacing w:after="0" w:line="183" w:lineRule="exact"/>
        <w:rPr>
          <w:sz w:val="20"/>
          <w:szCs w:val="20"/>
          <w:color w:val="auto"/>
        </w:rPr>
      </w:pPr>
    </w:p>
    <w:p>
      <w:pPr>
        <w:ind w:left="380" w:hanging="169"/>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results of preclinical and clinical studies of our product candidates or those of our competitors;</w:t>
      </w:r>
    </w:p>
    <w:p>
      <w:pPr>
        <w:spacing w:after="0" w:line="23" w:lineRule="exact"/>
        <w:rPr>
          <w:rFonts w:ascii="Arial" w:cs="Arial" w:eastAsia="Arial" w:hAnsi="Arial"/>
          <w:sz w:val="18"/>
          <w:szCs w:val="18"/>
          <w:color w:val="auto"/>
        </w:rPr>
      </w:pPr>
    </w:p>
    <w:p>
      <w:pPr>
        <w:ind w:left="380" w:right="1420" w:hanging="169"/>
        <w:spacing w:after="0" w:line="250"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 especially changes in laws and regulations applicable to our product candidates;</w:t>
      </w:r>
    </w:p>
    <w:p>
      <w:pPr>
        <w:ind w:left="380" w:right="1060" w:hanging="169"/>
        <w:spacing w:after="0" w:line="250"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product candidates, clinical studies, manufacturing process or sales and marketing terms;</w:t>
      </w:r>
    </w:p>
    <w:p>
      <w:pPr>
        <w:ind w:left="380" w:hanging="169"/>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or our competitors, and the timing of these introductions or announcements;</w:t>
      </w:r>
    </w:p>
    <w:p>
      <w:pPr>
        <w:spacing w:after="0" w:line="9" w:lineRule="exact"/>
        <w:rPr>
          <w:rFonts w:ascii="Arial" w:cs="Arial" w:eastAsia="Arial" w:hAnsi="Arial"/>
          <w:sz w:val="18"/>
          <w:szCs w:val="18"/>
          <w:color w:val="auto"/>
        </w:rPr>
      </w:pPr>
    </w:p>
    <w:p>
      <w:pPr>
        <w:ind w:left="380" w:hanging="169"/>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other strategic transactions or capital commitments;</w:t>
      </w:r>
    </w:p>
    <w:p>
      <w:pPr>
        <w:spacing w:after="0" w:line="9" w:lineRule="exact"/>
        <w:rPr>
          <w:rFonts w:ascii="Arial" w:cs="Arial" w:eastAsia="Arial" w:hAnsi="Arial"/>
          <w:sz w:val="18"/>
          <w:szCs w:val="18"/>
          <w:color w:val="auto"/>
        </w:rPr>
      </w:pPr>
    </w:p>
    <w:p>
      <w:pPr>
        <w:ind w:left="380" w:hanging="169"/>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9" w:lineRule="exact"/>
        <w:rPr>
          <w:rFonts w:ascii="Arial" w:cs="Arial" w:eastAsia="Arial" w:hAnsi="Arial"/>
          <w:sz w:val="18"/>
          <w:szCs w:val="18"/>
          <w:color w:val="auto"/>
        </w:rPr>
      </w:pPr>
    </w:p>
    <w:p>
      <w:pPr>
        <w:ind w:left="380" w:hanging="169"/>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9" w:lineRule="exact"/>
        <w:rPr>
          <w:rFonts w:ascii="Arial" w:cs="Arial" w:eastAsia="Arial" w:hAnsi="Arial"/>
          <w:sz w:val="18"/>
          <w:szCs w:val="18"/>
          <w:color w:val="auto"/>
        </w:rPr>
      </w:pPr>
    </w:p>
    <w:p>
      <w:pPr>
        <w:ind w:left="380" w:hanging="169"/>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9" w:lineRule="exact"/>
        <w:rPr>
          <w:rFonts w:ascii="Arial" w:cs="Arial" w:eastAsia="Arial" w:hAnsi="Arial"/>
          <w:sz w:val="18"/>
          <w:szCs w:val="18"/>
          <w:color w:val="auto"/>
        </w:rPr>
      </w:pPr>
    </w:p>
    <w:p>
      <w:pPr>
        <w:ind w:left="380" w:hanging="169"/>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accounting principles or changes in interpretations of existing principles, which could affect our financial results;</w:t>
      </w:r>
    </w:p>
    <w:p>
      <w:pPr>
        <w:spacing w:after="0" w:line="9" w:lineRule="exact"/>
        <w:rPr>
          <w:rFonts w:ascii="Arial" w:cs="Arial" w:eastAsia="Arial" w:hAnsi="Arial"/>
          <w:sz w:val="18"/>
          <w:szCs w:val="18"/>
          <w:color w:val="auto"/>
        </w:rPr>
      </w:pPr>
    </w:p>
    <w:p>
      <w:pPr>
        <w:ind w:left="380" w:hanging="169"/>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9" w:lineRule="exact"/>
        <w:rPr>
          <w:rFonts w:ascii="Arial" w:cs="Arial" w:eastAsia="Arial" w:hAnsi="Arial"/>
          <w:sz w:val="18"/>
          <w:szCs w:val="18"/>
          <w:color w:val="auto"/>
        </w:rPr>
      </w:pPr>
    </w:p>
    <w:p>
      <w:pPr>
        <w:ind w:left="380" w:hanging="169"/>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9" w:lineRule="exact"/>
        <w:rPr>
          <w:rFonts w:ascii="Arial" w:cs="Arial" w:eastAsia="Arial" w:hAnsi="Arial"/>
          <w:sz w:val="18"/>
          <w:szCs w:val="18"/>
          <w:color w:val="auto"/>
        </w:rPr>
      </w:pPr>
    </w:p>
    <w:p>
      <w:pPr>
        <w:ind w:left="380" w:hanging="169"/>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9" w:lineRule="exact"/>
        <w:rPr>
          <w:rFonts w:ascii="Arial" w:cs="Arial" w:eastAsia="Arial" w:hAnsi="Arial"/>
          <w:sz w:val="18"/>
          <w:szCs w:val="18"/>
          <w:color w:val="auto"/>
        </w:rPr>
      </w:pPr>
    </w:p>
    <w:p>
      <w:pPr>
        <w:ind w:left="380" w:hanging="169"/>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9" w:lineRule="exact"/>
        <w:rPr>
          <w:rFonts w:ascii="Arial" w:cs="Arial" w:eastAsia="Arial" w:hAnsi="Arial"/>
          <w:sz w:val="18"/>
          <w:szCs w:val="18"/>
          <w:color w:val="auto"/>
        </w:rPr>
      </w:pPr>
    </w:p>
    <w:p>
      <w:pPr>
        <w:ind w:left="380" w:hanging="169"/>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9" w:lineRule="exact"/>
        <w:rPr>
          <w:rFonts w:ascii="Arial" w:cs="Arial" w:eastAsia="Arial" w:hAnsi="Arial"/>
          <w:sz w:val="18"/>
          <w:szCs w:val="18"/>
          <w:color w:val="auto"/>
        </w:rPr>
      </w:pPr>
    </w:p>
    <w:p>
      <w:pPr>
        <w:ind w:left="380" w:hanging="169"/>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9" w:lineRule="exact"/>
        <w:rPr>
          <w:rFonts w:ascii="Arial" w:cs="Arial" w:eastAsia="Arial" w:hAnsi="Arial"/>
          <w:sz w:val="18"/>
          <w:szCs w:val="18"/>
          <w:color w:val="auto"/>
        </w:rPr>
      </w:pPr>
    </w:p>
    <w:p>
      <w:pPr>
        <w:ind w:left="380" w:hanging="169"/>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9" w:lineRule="exact"/>
        <w:rPr>
          <w:rFonts w:ascii="Arial" w:cs="Arial" w:eastAsia="Arial" w:hAnsi="Arial"/>
          <w:sz w:val="18"/>
          <w:szCs w:val="18"/>
          <w:color w:val="auto"/>
        </w:rPr>
      </w:pPr>
    </w:p>
    <w:p>
      <w:pPr>
        <w:ind w:left="380" w:hanging="169"/>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9" w:lineRule="exact"/>
        <w:rPr>
          <w:rFonts w:ascii="Arial" w:cs="Arial" w:eastAsia="Arial" w:hAnsi="Arial"/>
          <w:sz w:val="18"/>
          <w:szCs w:val="18"/>
          <w:color w:val="auto"/>
        </w:rPr>
      </w:pPr>
    </w:p>
    <w:p>
      <w:pPr>
        <w:ind w:left="380" w:hanging="169"/>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9" w:lineRule="exact"/>
        <w:rPr>
          <w:rFonts w:ascii="Arial" w:cs="Arial" w:eastAsia="Arial" w:hAnsi="Arial"/>
          <w:sz w:val="18"/>
          <w:szCs w:val="18"/>
          <w:color w:val="auto"/>
        </w:rPr>
      </w:pPr>
    </w:p>
    <w:p>
      <w:pPr>
        <w:ind w:left="380" w:hanging="169"/>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9" w:lineRule="exact"/>
        <w:rPr>
          <w:rFonts w:ascii="Arial" w:cs="Arial" w:eastAsia="Arial" w:hAnsi="Arial"/>
          <w:sz w:val="18"/>
          <w:szCs w:val="18"/>
          <w:color w:val="auto"/>
        </w:rPr>
      </w:pPr>
    </w:p>
    <w:p>
      <w:pPr>
        <w:ind w:left="380" w:right="960" w:hanging="169"/>
        <w:spacing w:after="0" w:line="250"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ind w:left="380" w:hanging="169"/>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w:t>
      </w:r>
    </w:p>
    <w:p>
      <w:pPr>
        <w:spacing w:after="0" w:line="9" w:lineRule="exact"/>
        <w:rPr>
          <w:rFonts w:ascii="Arial" w:cs="Arial" w:eastAsia="Arial" w:hAnsi="Arial"/>
          <w:sz w:val="18"/>
          <w:szCs w:val="18"/>
          <w:color w:val="auto"/>
        </w:rPr>
      </w:pPr>
    </w:p>
    <w:p>
      <w:pPr>
        <w:ind w:left="380" w:hanging="169"/>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acquisitions and financings, including the EGEN acquisition; and</w:t>
      </w:r>
    </w:p>
    <w:p>
      <w:pPr>
        <w:spacing w:after="0" w:line="9" w:lineRule="exact"/>
        <w:rPr>
          <w:rFonts w:ascii="Arial" w:cs="Arial" w:eastAsia="Arial" w:hAnsi="Arial"/>
          <w:sz w:val="18"/>
          <w:szCs w:val="18"/>
          <w:color w:val="auto"/>
        </w:rPr>
      </w:pPr>
    </w:p>
    <w:p>
      <w:pPr>
        <w:ind w:left="380" w:hanging="169"/>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 w:name="page43"/>
    <w:bookmarkEnd w:id="42"/>
    <w:p>
      <w:pPr>
        <w:jc w:val="both"/>
        <w:spacing w:after="0" w:line="297"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May 11, 2017, we had 56,982,418 shares of common stock outstanding, all of which shares,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5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stockholders may experience significant dilution as a result of future equity offerings or issuances and exercise of outstanding options and warrants.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acquisition. Our stockholders may experience significant dilution as a result of future equity offerings or issuances. Investors purchasing shares or other securities in the future could have rights superior to existing stockholders. As of May 11, 2017, we have a significant number of securities convertible into, or allowing the purchase of, our common stock, including 33,546,393 shares of common stock issuable upon exercise of warrants outstanding, 2,525,456 options to purchase shares of our common stock and restricted stock awards outstanding, and 912,741 shares of common stock reserved for future issuance under our stock incentive plans. Under the Controlled Equity Offering SM Sales Agreement entered into with Cantor Fitzgerald &amp; Co. on February 1, 2013, we may offer and sell, from time to time through “at-the-market” offerings, up to an aggregate of $25 million of shares of our common stock. We had only sold $7.6 million under the Sales Agreement as of May 11, 2017.</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be unable to maintain compliance with The NASDAQ Marketplace Rules which could cause our common stock to be delisted from The NASDAQ Capital Market. This could result in the lack of a market for our common stock, cause a decrease in the value of an investment in us, and adversely affect our business, financial condition and results of operations.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common stock is currently listed on The NASDAQ Capital Market. To maintain the listing of our common stock on The NASDAQ Capital Market, we are required to meet certain listing requirements, including, among others, either: (i) a minimum closing bid price of $1.00 per share, a market value of publicly held shares (excluding shares held by our executive officers, directors and 10% or more stockholders) of at least $1 million and stockholders’ equity of at least $2.5 million; or (ii) a minimum closing bid price of $1.00 per share, a market value of publicly held shares (excluding shares held by our executive officers, directors and 10% or more stockholders) of at least $1 million and a total market value of listed securities of at least $35 million. As of May 11, 2017, the closing sale price per share of our common stock was $0.24, the total market value of our publicly held shares of our common stock (excluding shares held by our executive officers, directors and 10% or more stockholders) was approximately $13.8 million and the total market value of our listed securities was approximately $13.9 million. There is no assurance that we will continue to meet the minimum closing price requirement and other listing requirements. As of March 31, 2017, we had stockholders’ equity of approximately $6.1 million.</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December 15, 2016, we received a letter from NASDAQ indicating that the closing bid price of our common stock fell below $1.00 per share for the previous 30 consecutive business days, and that we are therefore not in compliance with the minimum bid price requirement for continued inclusion on The NASDAQ Capital Market and our common stock could be subject to delisting from The NASDAQ Capital Market. If our common stock is delisted, trading of the stock will most likely take place on an over-the-counter market established for unlisted securities, such as the Pink Sheets or the OTC Bulletin Board. An investor is likely to find it less convenient to sell, or to obtain accurate quotations in seeking to buy, our common stock on an over-the-counter market, and many investors may not buy or sell our common stock due to difficulty in accessing over-the-counter markets, or due to policies preventing them from trading in securities not listed on a national exchange or other reasons. In addition, as a delisted security, our common stock would be subject to SEC rules regarding “penny stock,” which impose additional disclosure requirements on broker-dealers. The regulations relating to penny stocks, coupled with the typically higher cost per trade to investors in penny stocks due to factors such as broker commissions generally representing a higher percentage of the price of a penny stock than of a higher priced stock, would further limit the ability and willingness of investors to trade in our common stock. For these reasons and others, delisting from The NASDAQ Capital Market would adversely affect the liquidity, trading volume and price of our common stock, causing the value of an investment in us to decrease and having an adverse effect on our business, financial condition and results of operations, including our ability to attract and retain qualified executives and employees and to raise capital.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2016, 2015, 2014 and years prior, we performed analyses to determine if there were changes in ownership, as defined by Section 382 of the Internal Revenue Code that would limit our ability to utilize certain net operating loss and tax credit carry forwards. We determined we experienced an ownership change, as defined by Section 382 of the Code, in connection with certain common stock offerings in 2011, 2013, and 2015. As a result, the utilization of our federal tax net operating loss carry 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never paid cash dividends on our common stock in the past and do not anticipate paying cash dividends on our common stock in the foreseeable future.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classified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4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Rule 13a-14(a)/15d-14(a), as adopted pursuant to Section 302 of the Sarbanes-Oxley Act of</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Rule 13a-14(a)/15d-14(a), as adopted pursuant to Section 302 of the Sarbanes-Oxley Act of</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pacing w:after="0" w:line="225" w:lineRule="exact"/>
        <w:rPr>
          <w:sz w:val="20"/>
          <w:szCs w:val="20"/>
          <w:color w:val="auto"/>
        </w:rPr>
      </w:pPr>
    </w:p>
    <w:p>
      <w:pPr>
        <w:ind w:left="820" w:hanging="767"/>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820" w:hanging="819"/>
        <w:spacing w:after="0" w:line="257"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the Company’s Quarterly Report on Form 10-Q for the quarter ended March 31, 2017,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88" w:lineRule="exact"/>
        <w:rPr>
          <w:sz w:val="20"/>
          <w:szCs w:val="20"/>
          <w:color w:val="auto"/>
        </w:rPr>
      </w:pPr>
    </w:p>
    <w:p>
      <w:pPr>
        <w:jc w:val="both"/>
        <w:ind w:left="820" w:hanging="403"/>
        <w:spacing w:after="0" w:line="259"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7" w:lineRule="exact"/>
        <w:rPr>
          <w:sz w:val="20"/>
          <w:szCs w:val="20"/>
          <w:color w:val="auto"/>
        </w:rPr>
      </w:pPr>
    </w:p>
    <w:p>
      <w:pPr>
        <w:ind w:left="820" w:hanging="493"/>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color w:val="auto"/>
        </w:rPr>
        <w:t>May 12, 2017</w:t>
      </w:r>
      <w:r>
        <w:rPr>
          <w:sz w:val="20"/>
          <w:szCs w:val="20"/>
          <w:color w:val="auto"/>
        </w:rPr>
        <w:tab/>
      </w:r>
      <w:r>
        <w:rPr>
          <w:rFonts w:ascii="Arial" w:cs="Arial" w:eastAsia="Arial" w:hAnsi="Arial"/>
          <w:sz w:val="17"/>
          <w:szCs w:val="17"/>
          <w:color w:val="auto"/>
        </w:rPr>
        <w:t>CELSION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14605</wp:posOffset>
            </wp:positionV>
            <wp:extent cx="36874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1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4840"/>
        <w:spacing w:after="0"/>
        <w:tabs>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 xml:space="preserve">/s/ </w:t>
      </w:r>
      <w:r>
        <w:rPr>
          <w:rFonts w:ascii="Arial" w:cs="Arial" w:eastAsia="Arial" w:hAnsi="Arial"/>
          <w:sz w:val="18"/>
          <w:szCs w:val="18"/>
          <w:color w:val="auto"/>
        </w:rPr>
        <w:t>Michael H. Tardugno</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-130810</wp:posOffset>
            </wp:positionV>
            <wp:extent cx="32670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ind w:left="4840"/>
        <w:spacing w:after="0"/>
        <w:tabs>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 xml:space="preserve">/s/ </w:t>
      </w:r>
      <w:r>
        <w:rPr>
          <w:rFonts w:ascii="Arial" w:cs="Arial" w:eastAsia="Arial" w:hAnsi="Arial"/>
          <w:sz w:val="18"/>
          <w:szCs w:val="18"/>
          <w:color w:val="auto"/>
        </w:rPr>
        <w:t>Jeffrey W. Church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-130810</wp:posOffset>
            </wp:positionV>
            <wp:extent cx="32670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6" w:name="page47"/>
    <w:bookmarkEnd w:id="46"/>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4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Rule 13a-14(a)/15d-14(a), as adopted pursuant to Section 302 of the Sarbanes-Oxley Act of</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Rule 13a-14(a)/15d-14(a), as adopted pursuant to Section 302 of the Sarbanes-Oxley Act of</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pacing w:after="0" w:line="225" w:lineRule="exact"/>
        <w:rPr>
          <w:sz w:val="20"/>
          <w:szCs w:val="20"/>
          <w:color w:val="auto"/>
        </w:rPr>
      </w:pPr>
    </w:p>
    <w:p>
      <w:pPr>
        <w:ind w:left="820" w:hanging="767"/>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820" w:hanging="819"/>
        <w:spacing w:after="0" w:line="257"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the Company’s Quarterly Report on Form 10-Q for the quarter ended March 31, 2017,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88" w:lineRule="exact"/>
        <w:rPr>
          <w:sz w:val="20"/>
          <w:szCs w:val="20"/>
          <w:color w:val="auto"/>
        </w:rPr>
      </w:pPr>
    </w:p>
    <w:p>
      <w:pPr>
        <w:jc w:val="both"/>
        <w:ind w:left="820" w:hanging="403"/>
        <w:spacing w:after="0" w:line="259"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7" w:lineRule="exact"/>
        <w:rPr>
          <w:sz w:val="20"/>
          <w:szCs w:val="20"/>
          <w:color w:val="auto"/>
        </w:rPr>
      </w:pPr>
    </w:p>
    <w:p>
      <w:pPr>
        <w:ind w:left="820" w:hanging="493"/>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580" w:right="31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5" w:lineRule="exact"/>
        <w:rPr>
          <w:sz w:val="20"/>
          <w:szCs w:val="20"/>
          <w:color w:val="auto"/>
        </w:rPr>
      </w:pPr>
    </w:p>
    <w:p>
      <w:pPr>
        <w:ind w:left="920" w:hanging="561"/>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920" w:right="860" w:hanging="561"/>
        <w:spacing w:after="0" w:line="264"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920" w:right="860" w:hanging="561"/>
        <w:spacing w:after="0" w:line="264"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920" w:right="860" w:hanging="561"/>
        <w:spacing w:after="0" w:line="264"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 (f)), for the registrant and have:</w:t>
      </w:r>
    </w:p>
    <w:p>
      <w:pPr>
        <w:spacing w:after="0" w:line="181" w:lineRule="exact"/>
        <w:rPr>
          <w:rFonts w:ascii="Arial" w:cs="Arial" w:eastAsia="Arial" w:hAnsi="Arial"/>
          <w:sz w:val="18"/>
          <w:szCs w:val="18"/>
          <w:color w:val="auto"/>
        </w:rPr>
      </w:pPr>
    </w:p>
    <w:p>
      <w:pPr>
        <w:jc w:val="both"/>
        <w:ind w:left="920" w:right="860" w:hanging="289"/>
        <w:spacing w:after="0" w:line="286" w:lineRule="auto"/>
        <w:tabs>
          <w:tab w:leader="none" w:pos="9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920" w:right="860" w:hanging="299"/>
        <w:spacing w:after="0" w:line="264" w:lineRule="auto"/>
        <w:tabs>
          <w:tab w:leader="none" w:pos="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20" w:right="860" w:hanging="289"/>
        <w:spacing w:after="0" w:line="264" w:lineRule="auto"/>
        <w:tabs>
          <w:tab w:leader="none" w:pos="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920" w:right="860" w:hanging="299"/>
        <w:spacing w:after="0" w:line="264" w:lineRule="auto"/>
        <w:tabs>
          <w:tab w:leader="none" w:pos="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jc w:val="both"/>
        <w:ind w:left="920" w:right="860" w:hanging="561"/>
        <w:spacing w:after="0" w:line="264"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920" w:right="860" w:hanging="289"/>
        <w:spacing w:after="0" w:line="342" w:lineRule="auto"/>
        <w:tabs>
          <w:tab w:leader="none" w:pos="9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20" w:right="860" w:hanging="299"/>
        <w:spacing w:after="0" w:line="277" w:lineRule="auto"/>
        <w:tabs>
          <w:tab w:leader="none" w:pos="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6480" w:type="dxa"/>
            <w:vAlign w:val="bottom"/>
            <w:gridSpan w:val="2"/>
          </w:tcPr>
          <w:p>
            <w:pPr>
              <w:ind w:left="2020"/>
              <w:spacing w:after="0"/>
              <w:rPr>
                <w:sz w:val="20"/>
                <w:szCs w:val="20"/>
                <w:color w:val="auto"/>
              </w:rPr>
            </w:pPr>
            <w:r>
              <w:rPr>
                <w:rFonts w:ascii="Arial" w:cs="Arial" w:eastAsia="Arial" w:hAnsi="Arial"/>
                <w:sz w:val="18"/>
                <w:szCs w:val="18"/>
                <w:b w:val="1"/>
                <w:bCs w:val="1"/>
                <w:color w:val="auto"/>
              </w:rPr>
              <w:t>Celsion Corporation</w:t>
            </w:r>
          </w:p>
        </w:tc>
      </w:tr>
      <w:tr>
        <w:trPr>
          <w:trHeight w:val="20"/>
        </w:trPr>
        <w:tc>
          <w:tcPr>
            <w:tcW w:w="2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r>
      <w:tr>
        <w:trPr>
          <w:trHeight w:val="426"/>
        </w:trPr>
        <w:tc>
          <w:tcPr>
            <w:tcW w:w="2560" w:type="dxa"/>
            <w:vAlign w:val="bottom"/>
          </w:tcPr>
          <w:p>
            <w:pPr>
              <w:spacing w:after="0"/>
              <w:rPr>
                <w:sz w:val="20"/>
                <w:szCs w:val="20"/>
                <w:color w:val="auto"/>
              </w:rPr>
            </w:pPr>
            <w:r>
              <w:rPr>
                <w:rFonts w:ascii="Arial" w:cs="Arial" w:eastAsia="Arial" w:hAnsi="Arial"/>
                <w:sz w:val="18"/>
                <w:szCs w:val="18"/>
                <w:color w:val="auto"/>
              </w:rPr>
              <w:t>May 12, 2017</w:t>
            </w:r>
          </w:p>
        </w:tc>
        <w:tc>
          <w:tcPr>
            <w:tcW w:w="6480" w:type="dxa"/>
            <w:vAlign w:val="bottom"/>
            <w:gridSpan w:val="2"/>
          </w:tcPr>
          <w:p>
            <w:pPr>
              <w:ind w:left="1560"/>
              <w:spacing w:after="0"/>
              <w:rPr>
                <w:sz w:val="20"/>
                <w:szCs w:val="20"/>
                <w:color w:val="auto"/>
              </w:rPr>
            </w:pPr>
            <w:r>
              <w:rPr>
                <w:rFonts w:ascii="Arial" w:cs="Arial" w:eastAsia="Arial" w:hAnsi="Arial"/>
                <w:sz w:val="18"/>
                <w:szCs w:val="18"/>
                <w:color w:val="auto"/>
              </w:rPr>
              <w:t>By:   /s/Michael H. Tardugno</w:t>
            </w:r>
          </w:p>
        </w:tc>
      </w:tr>
      <w:tr>
        <w:trPr>
          <w:trHeight w:val="195"/>
        </w:trPr>
        <w:tc>
          <w:tcPr>
            <w:tcW w:w="25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46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Michael H. Tardugno</w:t>
            </w:r>
          </w:p>
        </w:tc>
      </w:tr>
      <w:tr>
        <w:trPr>
          <w:trHeight w:val="230"/>
        </w:trPr>
        <w:tc>
          <w:tcPr>
            <w:tcW w:w="25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Chairman, President and Chief Executive Officer</w:t>
            </w:r>
          </w:p>
        </w:tc>
      </w:tr>
    </w:tbl>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920" w:hanging="561"/>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920" w:right="860" w:hanging="561"/>
        <w:spacing w:after="0" w:line="264" w:lineRule="auto"/>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920" w:right="860" w:hanging="561"/>
        <w:spacing w:after="0" w:line="264" w:lineRule="auto"/>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920" w:right="860" w:hanging="561"/>
        <w:spacing w:after="0" w:line="264" w:lineRule="auto"/>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 (f)), for the registrant and have:</w:t>
      </w:r>
    </w:p>
    <w:p>
      <w:pPr>
        <w:spacing w:after="0" w:line="181" w:lineRule="exact"/>
        <w:rPr>
          <w:rFonts w:ascii="Arial" w:cs="Arial" w:eastAsia="Arial" w:hAnsi="Arial"/>
          <w:sz w:val="18"/>
          <w:szCs w:val="18"/>
          <w:color w:val="auto"/>
        </w:rPr>
      </w:pPr>
    </w:p>
    <w:p>
      <w:pPr>
        <w:ind w:left="920" w:right="920" w:hanging="333"/>
        <w:spacing w:after="0" w:line="286" w:lineRule="auto"/>
        <w:tabs>
          <w:tab w:leader="none" w:pos="9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920" w:right="860" w:hanging="343"/>
        <w:spacing w:after="0" w:line="264" w:lineRule="auto"/>
        <w:tabs>
          <w:tab w:leader="none" w:pos="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20" w:right="860" w:hanging="333"/>
        <w:spacing w:after="0" w:line="264" w:lineRule="auto"/>
        <w:tabs>
          <w:tab w:leader="none" w:pos="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920" w:right="860" w:hanging="343"/>
        <w:spacing w:after="0" w:line="264" w:lineRule="auto"/>
        <w:tabs>
          <w:tab w:leader="none" w:pos="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jc w:val="both"/>
        <w:ind w:left="920" w:right="860" w:hanging="561"/>
        <w:spacing w:after="0" w:line="264" w:lineRule="auto"/>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920" w:right="860" w:hanging="288"/>
        <w:spacing w:after="0" w:line="342" w:lineRule="auto"/>
        <w:tabs>
          <w:tab w:leader="none" w:pos="920" w:val="left"/>
        </w:tabs>
        <w:numPr>
          <w:ilvl w:val="2"/>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20" w:right="860" w:hanging="298"/>
        <w:spacing w:after="0" w:line="277" w:lineRule="auto"/>
        <w:tabs>
          <w:tab w:leader="none" w:pos="920" w:val="left"/>
        </w:tabs>
        <w:numPr>
          <w:ilvl w:val="2"/>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3"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Celsion Corporation</w:t>
            </w:r>
          </w:p>
        </w:tc>
      </w:tr>
      <w:tr>
        <w:trPr>
          <w:trHeight w:val="426"/>
        </w:trPr>
        <w:tc>
          <w:tcPr>
            <w:tcW w:w="2560" w:type="dxa"/>
            <w:vAlign w:val="bottom"/>
          </w:tcPr>
          <w:p>
            <w:pPr>
              <w:spacing w:after="0"/>
              <w:rPr>
                <w:sz w:val="20"/>
                <w:szCs w:val="20"/>
                <w:color w:val="auto"/>
              </w:rPr>
            </w:pPr>
            <w:r>
              <w:rPr>
                <w:rFonts w:ascii="Arial" w:cs="Arial" w:eastAsia="Arial" w:hAnsi="Arial"/>
                <w:sz w:val="18"/>
                <w:szCs w:val="18"/>
                <w:color w:val="auto"/>
              </w:rPr>
              <w:t>May 12, 2017</w:t>
            </w:r>
          </w:p>
        </w:tc>
        <w:tc>
          <w:tcPr>
            <w:tcW w:w="6480" w:type="dxa"/>
            <w:vAlign w:val="bottom"/>
            <w:gridSpan w:val="2"/>
          </w:tcPr>
          <w:p>
            <w:pPr>
              <w:ind w:left="1560"/>
              <w:spacing w:after="0"/>
              <w:rPr>
                <w:sz w:val="20"/>
                <w:szCs w:val="20"/>
                <w:color w:val="auto"/>
              </w:rPr>
            </w:pPr>
            <w:r>
              <w:rPr>
                <w:rFonts w:ascii="Arial" w:cs="Arial" w:eastAsia="Arial" w:hAnsi="Arial"/>
                <w:sz w:val="18"/>
                <w:szCs w:val="18"/>
                <w:color w:val="auto"/>
              </w:rPr>
              <w:t>By:  /s/Jeffrey W. Church</w:t>
            </w:r>
          </w:p>
        </w:tc>
      </w:tr>
    </w:tbl>
    <w:p>
      <w:pPr>
        <w:ind w:left="6440"/>
        <w:spacing w:after="0"/>
        <w:rPr>
          <w:sz w:val="20"/>
          <w:szCs w:val="20"/>
          <w:color w:val="auto"/>
        </w:rPr>
      </w:pPr>
      <w:r>
        <w:rPr>
          <w:rFonts w:ascii="Arial" w:cs="Arial" w:eastAsia="Arial" w:hAnsi="Arial"/>
          <w:sz w:val="18"/>
          <w:szCs w:val="18"/>
          <w:color w:val="auto"/>
        </w:rPr>
        <w:t>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28301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Senior Vice President and Chief</w:t>
      </w:r>
    </w:p>
    <w:p>
      <w:pPr>
        <w:spacing w:after="0" w:line="9"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March 31, 2017 of Celsion Corporation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73"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May 12, 2017</w:t>
            </w:r>
          </w:p>
        </w:tc>
        <w:tc>
          <w:tcPr>
            <w:tcW w:w="2240" w:type="dxa"/>
            <w:vAlign w:val="bottom"/>
          </w:tcPr>
          <w:p>
            <w:pPr>
              <w:ind w:left="166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/s/Michael H. Tardugno</w:t>
            </w:r>
          </w:p>
        </w:tc>
      </w:tr>
      <w:tr>
        <w:trPr>
          <w:trHeight w:val="195"/>
        </w:trPr>
        <w:tc>
          <w:tcPr>
            <w:tcW w:w="26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900" w:type="dxa"/>
            <w:vAlign w:val="bottom"/>
          </w:tcPr>
          <w:p>
            <w:pPr>
              <w:ind w:left="160"/>
              <w:spacing w:after="0" w:line="195" w:lineRule="exact"/>
              <w:rPr>
                <w:sz w:val="20"/>
                <w:szCs w:val="20"/>
                <w:color w:val="auto"/>
              </w:rPr>
            </w:pPr>
            <w:r>
              <w:rPr>
                <w:rFonts w:ascii="Arial" w:cs="Arial" w:eastAsia="Arial" w:hAnsi="Arial"/>
                <w:sz w:val="18"/>
                <w:szCs w:val="18"/>
                <w:color w:val="auto"/>
              </w:rPr>
              <w:t>Michael H. Tardugno</w:t>
            </w:r>
          </w:p>
        </w:tc>
      </w:tr>
      <w:tr>
        <w:trPr>
          <w:trHeight w:val="230"/>
        </w:trPr>
        <w:tc>
          <w:tcPr>
            <w:tcW w:w="2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Chairman, President and Chief Executive Officer</w:t>
            </w:r>
          </w:p>
        </w:tc>
      </w:tr>
      <w:tr>
        <w:trPr>
          <w:trHeight w:val="432"/>
        </w:trPr>
        <w:tc>
          <w:tcPr>
            <w:tcW w:w="2660" w:type="dxa"/>
            <w:vAlign w:val="bottom"/>
          </w:tcPr>
          <w:p>
            <w:pPr>
              <w:spacing w:after="0"/>
              <w:rPr>
                <w:sz w:val="20"/>
                <w:szCs w:val="20"/>
                <w:color w:val="auto"/>
              </w:rPr>
            </w:pPr>
            <w:r>
              <w:rPr>
                <w:rFonts w:ascii="Arial" w:cs="Arial" w:eastAsia="Arial" w:hAnsi="Arial"/>
                <w:sz w:val="18"/>
                <w:szCs w:val="18"/>
                <w:color w:val="auto"/>
              </w:rPr>
              <w:t>May 12, 2017</w:t>
            </w:r>
          </w:p>
        </w:tc>
        <w:tc>
          <w:tcPr>
            <w:tcW w:w="2240" w:type="dxa"/>
            <w:vAlign w:val="bottom"/>
          </w:tcPr>
          <w:p>
            <w:pPr>
              <w:ind w:left="166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/s/Jeffrey W. Church</w:t>
            </w:r>
          </w:p>
        </w:tc>
      </w:tr>
      <w:tr>
        <w:trPr>
          <w:trHeight w:val="195"/>
        </w:trPr>
        <w:tc>
          <w:tcPr>
            <w:tcW w:w="26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900" w:type="dxa"/>
            <w:vAlign w:val="bottom"/>
          </w:tcPr>
          <w:p>
            <w:pPr>
              <w:ind w:left="160"/>
              <w:spacing w:after="0" w:line="195" w:lineRule="exact"/>
              <w:rPr>
                <w:sz w:val="20"/>
                <w:szCs w:val="20"/>
                <w:color w:val="auto"/>
              </w:rPr>
            </w:pPr>
            <w:r>
              <w:rPr>
                <w:rFonts w:ascii="Arial" w:cs="Arial" w:eastAsia="Arial" w:hAnsi="Arial"/>
                <w:sz w:val="18"/>
                <w:szCs w:val="18"/>
                <w:color w:val="auto"/>
              </w:rPr>
              <w:t>Jeffrey W. Church</w:t>
            </w:r>
          </w:p>
        </w:tc>
      </w:tr>
      <w:tr>
        <w:trPr>
          <w:trHeight w:val="230"/>
        </w:trPr>
        <w:tc>
          <w:tcPr>
            <w:tcW w:w="2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2" w:lineRule="exact"/>
        <w:rPr>
          <w:sz w:val="20"/>
          <w:szCs w:val="20"/>
          <w:color w:val="auto"/>
        </w:rPr>
      </w:pPr>
    </w:p>
    <w:p>
      <w:pPr>
        <w:jc w:val="both"/>
        <w:ind w:firstLine="8"/>
        <w:spacing w:after="0" w:line="264" w:lineRule="auto"/>
        <w:tabs>
          <w:tab w:leader="none" w:pos="1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lvl w:ilvl="1">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606"/>
    </w:lvl>
  </w:abstractNum>
  <w:abstractNum w:abstractNumId="4">
    <w:nsid w:val="4E6AFB66"/>
    <w:multiLevelType w:val="hybridMultilevel"/>
    <w:lvl w:ilvl="0">
      <w:lvlJc w:val="left"/>
      <w:lvlText w:val="\endash "/>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upperLetter"/>
      <w:start w:val="27"/>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2019-12-05T11:53:10Z</dcterms:created>
  <dcterms:modified xsi:type="dcterms:W3CDTF">2019-12-05T11:53:10Z</dcterms:modified>
</cp:coreProperties>
</file>