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780" w:right="2240" w:hanging="3772"/>
        <w:spacing w:after="0" w:line="50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1"/>
        </w:trPr>
        <w:tc>
          <w:tcPr>
            <w:tcW w:w="4020" w:type="dxa"/>
            <w:vAlign w:val="bottom"/>
            <w:tcBorders>
              <w:top w:val="single" w:sz="8" w:color="auto"/>
            </w:tcBorders>
          </w:tcPr>
          <w:p>
            <w:pPr>
              <w:jc w:val="center"/>
              <w:ind w:left="14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41" w:gutter="0" w:footer="0" w:header="0"/>
        </w:sectPr>
      </w:pPr>
    </w:p>
    <w:p>
      <w:pPr>
        <w:spacing w:after="0" w:line="135"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6040" w:space="720"/>
            <w:col w:w="4480"/>
          </w:cols>
          <w:pgMar w:left="320" w:top="740" w:right="339" w:bottom="1041"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10, 2025, the Registrant had 3,070,354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04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0"/>
        </w:trPr>
        <w:tc>
          <w:tcPr>
            <w:tcW w:w="10600" w:type="dxa"/>
            <w:vAlign w:val="bottom"/>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6"/>
                <w:szCs w:val="16"/>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 September 30, 2025 and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660" w:type="dxa"/>
            <w:vAlign w:val="bottom"/>
            <w:tcBorders>
              <w:top w:val="single" w:sz="8" w:color="CCEEFF"/>
            </w:tcBorders>
          </w:tcPr>
          <w:p>
            <w:pPr>
              <w:spacing w:after="0"/>
              <w:rPr>
                <w:sz w:val="15"/>
                <w:szCs w:val="15"/>
                <w:color w:val="auto"/>
              </w:rPr>
            </w:pPr>
          </w:p>
        </w:tc>
        <w:tc>
          <w:tcPr>
            <w:tcW w:w="95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Nine Months Ended September 30, 2025 and 2024</w:t>
            </w:r>
          </w:p>
        </w:tc>
        <w:tc>
          <w:tcPr>
            <w:tcW w:w="4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September 30, 2025</w:t>
            </w:r>
          </w:p>
        </w:tc>
        <w:tc>
          <w:tcPr>
            <w:tcW w:w="640" w:type="dxa"/>
            <w:vAlign w:val="bottom"/>
            <w:tcBorders>
              <w:bottom w:val="single" w:sz="8" w:color="CCEEFF"/>
            </w:tcBorders>
            <w:shd w:val="clear" w:color="auto" w:fill="CCEEFF"/>
          </w:tcPr>
          <w:p>
            <w:pPr>
              <w:spacing w:after="0"/>
              <w:rPr>
                <w:sz w:val="15"/>
                <w:szCs w:val="15"/>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Nine Months Ended September 30, 2025</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99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432"/>
        </w:trPr>
        <w:tc>
          <w:tcPr>
            <w:tcW w:w="6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the Company’s ability to regain compliance with Nasdaq’s continued listing requirements,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2024,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or revise any forward-looking statements even if new information becomes available in the future,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5,250,929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5,872,767</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2,006,756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2,136,192</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7,257,685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(at cost, less accumulated depreciation and amortization)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601,425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541,272</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1,078,623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1,117,133</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1,128,623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1,167,133</w:t>
            </w:r>
          </w:p>
        </w:tc>
        <w:tc>
          <w:tcPr>
            <w:tcW w:w="100" w:type="dxa"/>
            <w:vAlign w:val="bottom"/>
            <w:tcBorders>
              <w:bottom w:val="single" w:sz="8" w:color="CCEEFF"/>
            </w:tcBorders>
          </w:tcPr>
          <w:p>
            <w:pPr>
              <w:spacing w:after="0"/>
              <w:rPr>
                <w:sz w:val="18"/>
                <w:szCs w:val="18"/>
                <w:color w:val="auto"/>
              </w:rPr>
            </w:pPr>
          </w:p>
        </w:tc>
      </w:tr>
      <w:tr>
        <w:trPr>
          <w:trHeight w:val="209"/>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8,987,733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1,126,826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1,300,026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2,676,951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3,033,747</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452,358</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4,197,912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4,786,131</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708,097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686,935</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4,906,009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2025 and December 31, 2024)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(350,000,000 and 112,500,000 shares authorized at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 and December 31, 2024, respectively); 2,896,275 and 966,714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at September 30, 2025 and December 31, 2024, respectively; and 2,896,273 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966,712 shares outstanding at September 30, 2025 and December 31, 2024,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9,667</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421,213,171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411,122,863</w:t>
            </w:r>
          </w:p>
        </w:tc>
      </w:tr>
      <w:tr>
        <w:trPr>
          <w:trHeight w:val="23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(417,075,222)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(406,803,044)</w:t>
            </w: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4,166,912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4,329,486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 shares at September 30, 2025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4,081,724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4,244,298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8,987,733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9,717,364</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Total operating expenses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20" w:lineRule="exact"/>
        <w:rPr>
          <w:sz w:val="20"/>
          <w:szCs w:val="20"/>
          <w:color w:val="auto"/>
        </w:rPr>
      </w:pPr>
      <w:r>
        <w:rPr>
          <w:sz w:val="20"/>
          <w:szCs w:val="20"/>
          <w:color w:val="auto"/>
        </w:rPr>
        <w:br w:type="column"/>
      </w: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21" w:lineRule="exact"/>
        <w:rPr>
          <w:sz w:val="20"/>
          <w:szCs w:val="20"/>
          <w:color w:val="auto"/>
        </w:rPr>
      </w:pPr>
    </w:p>
    <w:p>
      <w:pPr>
        <w:jc w:val="center"/>
        <w:ind w:right="4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3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8"/>
                <w:szCs w:val="18"/>
                <w:color w:val="auto"/>
              </w:rPr>
            </w:pPr>
          </w:p>
        </w:tc>
        <w:tc>
          <w:tcPr>
            <w:tcW w:w="29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1,899,251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3,293,209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5,291,297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9,406,715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1,576,577</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1,668,258</w:t>
            </w:r>
          </w:p>
        </w:tc>
        <w:tc>
          <w:tcPr>
            <w:tcW w:w="3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5,097,694</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5,579,549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3,475,828</w:t>
            </w:r>
          </w:p>
        </w:tc>
        <w:tc>
          <w:tcPr>
            <w:tcW w:w="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4,961,467</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10,388,991</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14,986,264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320" w:type="dxa"/>
            <w:vAlign w:val="bottom"/>
          </w:tcPr>
          <w:p>
            <w:pPr>
              <w:spacing w:after="0"/>
              <w:rPr>
                <w:sz w:val="24"/>
                <w:szCs w:val="2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(3,475,828)</w:t>
            </w:r>
          </w:p>
        </w:tc>
        <w:tc>
          <w:tcPr>
            <w:tcW w:w="48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(4,961,467)</w:t>
            </w:r>
          </w:p>
        </w:tc>
        <w:tc>
          <w:tcPr>
            <w:tcW w:w="30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(10,388,991)</w:t>
            </w:r>
          </w:p>
        </w:tc>
        <w:tc>
          <w:tcPr>
            <w:tcW w:w="4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(14,986,264)</w:t>
            </w:r>
          </w:p>
        </w:tc>
      </w:tr>
      <w:tr>
        <w:trPr>
          <w:trHeight w:val="20"/>
        </w:trPr>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115,992</w:t>
            </w:r>
          </w:p>
        </w:tc>
        <w:tc>
          <w:tcPr>
            <w:tcW w:w="30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116,813</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423,247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46,704</w:t>
            </w:r>
          </w:p>
        </w:tc>
        <w:tc>
          <w:tcPr>
            <w:tcW w:w="3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115,992</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116,813</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3"/>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(3,429,124)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(4,845,475)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(10,272,178)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(14,563,017)</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6"/>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-2211070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-1936750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-1645285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-1353820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-1070610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-779145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-470535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540" w:space="720"/>
            <w:col w:w="6940"/>
          </w:cols>
          <w:pgMar w:left="320" w:top="684" w:right="379" w:bottom="1440" w:gutter="0" w:footer="0" w:header="0"/>
        </w:sectPr>
      </w:pPr>
    </w:p>
    <w:tbl>
      <w:tblPr>
        <w:tblLayout w:type="fixed"/>
        <w:tblInd w:w="18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5"/>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2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2,943,655</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1,289,823</w:t>
            </w: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1,855,922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0</wp:posOffset>
            </wp:positionV>
            <wp:extent cx="434594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5940" cy="25400"/>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20" w:type="dxa"/>
            <w:vAlign w:val="bottom"/>
            <w:gridSpan w:val="3"/>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(10,272,178)</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(14,563,017)</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216,830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202,938</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312,805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349,892</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losses, net, on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(61,983)</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115,895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364,177</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in exchange for services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99,040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129,436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324,580</w:t>
            </w:r>
          </w:p>
        </w:tc>
      </w:tr>
      <w:tr>
        <w:trPr>
          <w:trHeight w:val="23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(841,351)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(2,330,958)</w:t>
            </w:r>
          </w:p>
        </w:tc>
      </w:tr>
      <w:tr>
        <w:trPr>
          <w:trHeight w:val="209"/>
        </w:trPr>
        <w:tc>
          <w:tcPr>
            <w:tcW w:w="69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(10,239,523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(14,433,986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(57,174)</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9,915,448</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(276,983)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(14,634)</w:t>
            </w:r>
          </w:p>
        </w:tc>
      </w:tr>
      <w:tr>
        <w:trPr>
          <w:trHeight w:val="210"/>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(276,983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9,843,640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6,437,251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9,063,715</w:t>
            </w: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3,467,694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for stock dividend</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9,894,668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9,063,715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(621,838)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4,473,369</w:t>
            </w:r>
          </w:p>
        </w:tc>
      </w:tr>
      <w:tr>
        <w:trPr>
          <w:trHeight w:val="23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5,872,767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5,838,566</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end of period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5,250,929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10,311,935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2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operating lease right-of-use asset and liability</w:t>
            </w:r>
          </w:p>
        </w:tc>
        <w:tc>
          <w:tcPr>
            <w:tcW w:w="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274,295</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2"/>
        </w:trPr>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2025 (unaudited)</w:t>
            </w: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1,717,502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17,175</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$ 416,373,961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(85,188)</w:t>
            </w:r>
          </w:p>
        </w:tc>
        <w:tc>
          <w:tcPr>
            <w:tcW w:w="1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(413,646,098)</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2,659,850</w:t>
            </w:r>
          </w:p>
        </w:tc>
        <w:tc>
          <w:tcPr>
            <w:tcW w:w="10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(3,429,124)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(3,429,124)</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reverse stock split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70,448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198"/>
        </w:trPr>
        <w:tc>
          <w:tcPr>
            <w:tcW w:w="326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net of costs</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543,265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3,467,387</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3,472,820</w:t>
            </w:r>
          </w:p>
        </w:tc>
        <w:tc>
          <w:tcPr>
            <w:tcW w:w="100" w:type="dxa"/>
            <w:vAlign w:val="bottom"/>
            <w:shd w:val="clear" w:color="auto" w:fill="CCEEFF"/>
          </w:tcPr>
          <w:p>
            <w:pPr>
              <w:spacing w:after="0"/>
              <w:rPr>
                <w:sz w:val="20"/>
                <w:szCs w:val="20"/>
                <w:color w:val="auto"/>
              </w:rPr>
            </w:pPr>
          </w:p>
        </w:tc>
      </w:tr>
      <w:tr>
        <w:trPr>
          <w:trHeight w:val="198"/>
        </w:trPr>
        <w:tc>
          <w:tcPr>
            <w:tcW w:w="32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common stock warrants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222,227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1,497,777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20"/>
                <w:szCs w:val="20"/>
                <w:color w:val="auto"/>
              </w:rPr>
            </w:pPr>
          </w:p>
        </w:tc>
      </w:t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 net of offering costs</w:t>
            </w: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330,397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(10,277)</w:t>
            </w:r>
          </w:p>
        </w:tc>
      </w:tr>
      <w:tr>
        <w:trPr>
          <w:trHeight w:val="198"/>
        </w:trPr>
        <w:tc>
          <w:tcPr>
            <w:tcW w:w="2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Shares issued to satisfy certain</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10,767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98,932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99,040</w:t>
            </w:r>
          </w:p>
        </w:tc>
      </w:tr>
      <w:tr>
        <w:trPr>
          <w:trHeight w:val="198"/>
        </w:trPr>
        <w:tc>
          <w:tcPr>
            <w:tcW w:w="326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restricted options</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r>
      <w:tr>
        <w:trPr>
          <w:trHeight w:val="230"/>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(211,305)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(211,305)</w:t>
            </w:r>
          </w:p>
        </w:tc>
      </w:tr>
      <w:tr>
        <w:trPr>
          <w:trHeight w:val="174"/>
        </w:trPr>
        <w:tc>
          <w:tcPr>
            <w:tcW w:w="25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2,896,273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28,963</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421,213,171</w:t>
            </w: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3"/>
                <w:szCs w:val="2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(85,188)</w:t>
            </w:r>
          </w:p>
        </w:tc>
        <w:tc>
          <w:tcPr>
            <w:tcW w:w="1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(417,075,222)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4,081,724</w:t>
            </w:r>
          </w:p>
        </w:tc>
        <w:tc>
          <w:tcPr>
            <w:tcW w:w="100" w:type="dxa"/>
            <w:vAlign w:val="bottom"/>
            <w:shd w:val="clear" w:color="auto" w:fill="CCEEFF"/>
          </w:tcPr>
          <w:p>
            <w:pPr>
              <w:spacing w:after="0"/>
              <w:rPr>
                <w:sz w:val="23"/>
                <w:szCs w:val="23"/>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0"/>
        </w:trPr>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1"/>
                <w:szCs w:val="21"/>
                <w:color w:val="auto"/>
              </w:rPr>
            </w:pPr>
          </w:p>
        </w:tc>
        <w:tc>
          <w:tcPr>
            <w:tcW w:w="128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1, 2024 (unaudited)</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626,727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401,720,499</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(85,188)</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(397,900,344)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3,741,234</w:t>
            </w:r>
          </w:p>
        </w:tc>
        <w:tc>
          <w:tcPr>
            <w:tcW w:w="100" w:type="dxa"/>
            <w:vAlign w:val="bottom"/>
            <w:shd w:val="clear" w:color="auto" w:fill="CCEEFF"/>
          </w:tcPr>
          <w:p>
            <w:pPr>
              <w:spacing w:after="0"/>
              <w:rPr>
                <w:sz w:val="20"/>
                <w:szCs w:val="20"/>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(4,845,475)</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(4,845,475)</w:t>
            </w:r>
          </w:p>
        </w:tc>
      </w:tr>
      <w:tr>
        <w:trPr>
          <w:trHeight w:val="198"/>
        </w:trPr>
        <w:tc>
          <w:tcPr>
            <w:tcW w:w="25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on investments securities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339,254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9,060,322</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9,063,715</w:t>
            </w:r>
          </w:p>
        </w:tc>
        <w:tc>
          <w:tcPr>
            <w:tcW w:w="100" w:type="dxa"/>
            <w:vAlign w:val="bottom"/>
            <w:shd w:val="clear" w:color="auto" w:fill="CCEEFF"/>
          </w:tcPr>
          <w:p>
            <w:pPr>
              <w:spacing w:after="0"/>
              <w:rPr>
                <w:sz w:val="20"/>
                <w:szCs w:val="20"/>
                <w:color w:val="auto"/>
              </w:rPr>
            </w:pPr>
          </w:p>
        </w:tc>
      </w:tr>
      <w:tr>
        <w:trPr>
          <w:trHeight w:val="198"/>
        </w:trPr>
        <w:tc>
          <w:tcPr>
            <w:tcW w:w="2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restricted stock</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2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232,137</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232,137</w:t>
            </w:r>
          </w:p>
        </w:tc>
        <w:tc>
          <w:tcPr>
            <w:tcW w:w="100" w:type="dxa"/>
            <w:vAlign w:val="bottom"/>
            <w:shd w:val="clear" w:color="auto" w:fill="CCEEFF"/>
          </w:tcPr>
          <w:p>
            <w:pPr>
              <w:spacing w:after="0"/>
              <w:rPr>
                <w:sz w:val="21"/>
                <w:szCs w:val="21"/>
                <w:color w:val="auto"/>
              </w:rPr>
            </w:pPr>
          </w:p>
        </w:tc>
      </w:tr>
      <w:tr>
        <w:trPr>
          <w:trHeight w:val="174"/>
        </w:trPr>
        <w:tc>
          <w:tcPr>
            <w:tcW w:w="11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5"/>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966,715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411,013,061</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(85,188)</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 (402,745,819)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8,191,721</w:t>
            </w:r>
          </w:p>
        </w:tc>
        <w:tc>
          <w:tcPr>
            <w:tcW w:w="100" w:type="dxa"/>
            <w:vAlign w:val="bottom"/>
          </w:tcPr>
          <w:p>
            <w:pPr>
              <w:spacing w:after="0"/>
              <w:rPr>
                <w:sz w:val="23"/>
                <w:szCs w:val="2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2"/>
        </w:trPr>
        <w:tc>
          <w:tcPr>
            <w:tcW w:w="1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60" w:type="dxa"/>
            <w:vAlign w:val="bottom"/>
          </w:tcPr>
          <w:p>
            <w:pPr>
              <w:spacing w:after="0"/>
              <w:rPr>
                <w:sz w:val="21"/>
                <w:szCs w:val="21"/>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966,712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9,667</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$ 411,122,863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(85,188)</w:t>
            </w:r>
          </w:p>
        </w:tc>
        <w:tc>
          <w:tcPr>
            <w:tcW w:w="1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(406,803,044)</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4,244,298</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(10,272,178)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(10,272,178)</w:t>
            </w: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reverse stock split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70,448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198"/>
        </w:trPr>
        <w:tc>
          <w:tcPr>
            <w:tcW w:w="326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 financing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net of costs</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1,032,752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6,426,219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6,436,547</w:t>
            </w:r>
          </w:p>
        </w:tc>
        <w:tc>
          <w:tcPr>
            <w:tcW w:w="100" w:type="dxa"/>
            <w:vAlign w:val="bottom"/>
            <w:shd w:val="clear" w:color="auto" w:fill="CCEEFF"/>
          </w:tcPr>
          <w:p>
            <w:pPr>
              <w:spacing w:after="0"/>
              <w:rPr>
                <w:sz w:val="20"/>
                <w:szCs w:val="20"/>
                <w:color w:val="auto"/>
              </w:rPr>
            </w:pPr>
          </w:p>
        </w:tc>
      </w:tr>
      <w:tr>
        <w:trPr>
          <w:trHeight w:val="198"/>
        </w:trPr>
        <w:tc>
          <w:tcPr>
            <w:tcW w:w="326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common stock warrants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482,550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3,462,869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3,467,695</w:t>
            </w:r>
          </w:p>
        </w:tc>
        <w:tc>
          <w:tcPr>
            <w:tcW w:w="100" w:type="dxa"/>
            <w:vAlign w:val="bottom"/>
          </w:tcPr>
          <w:p>
            <w:pPr>
              <w:spacing w:after="0"/>
              <w:rPr>
                <w:sz w:val="20"/>
                <w:szCs w:val="20"/>
                <w:color w:val="auto"/>
              </w:rPr>
            </w:pPr>
          </w:p>
        </w:tc>
      </w:tr>
      <w:tr>
        <w:trPr>
          <w:trHeight w:val="216"/>
        </w:trPr>
        <w:tc>
          <w:tcPr>
            <w:tcW w:w="32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 net of offering costs</w:t>
            </w: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330,397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(13,581)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(10,277)</w:t>
            </w:r>
          </w:p>
        </w:tc>
      </w:tr>
      <w:tr>
        <w:trPr>
          <w:trHeight w:val="198"/>
        </w:trPr>
        <w:tc>
          <w:tcPr>
            <w:tcW w:w="2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Shares issued to satisfy certain</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10,767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98,932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99,040</w:t>
            </w:r>
          </w:p>
        </w:tc>
      </w:tr>
      <w:tr>
        <w:trPr>
          <w:trHeight w:val="198"/>
        </w:trPr>
        <w:tc>
          <w:tcPr>
            <w:tcW w:w="326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restricted options</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2,647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r>
      <w:tr>
        <w:trPr>
          <w:trHeight w:val="230"/>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115,869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115,869</w:t>
            </w:r>
          </w:p>
        </w:tc>
      </w:tr>
      <w:tr>
        <w:trPr>
          <w:trHeight w:val="174"/>
        </w:trPr>
        <w:tc>
          <w:tcPr>
            <w:tcW w:w="25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2,896,273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28,963</w:t>
            </w:r>
          </w:p>
        </w:tc>
        <w:tc>
          <w:tcPr>
            <w:tcW w:w="10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421,213,171</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(85,188)</w:t>
            </w:r>
          </w:p>
        </w:tc>
        <w:tc>
          <w:tcPr>
            <w:tcW w:w="1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(417,075,222)</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4,081,724</w:t>
            </w:r>
          </w:p>
        </w:tc>
        <w:tc>
          <w:tcPr>
            <w:tcW w:w="100" w:type="dxa"/>
            <w:vAlign w:val="bottom"/>
            <w:shd w:val="clear" w:color="auto" w:fill="CCEEFF"/>
          </w:tcPr>
          <w:p>
            <w:pPr>
              <w:spacing w:after="0"/>
              <w:rPr>
                <w:sz w:val="23"/>
                <w:szCs w:val="23"/>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2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21"/>
                <w:szCs w:val="21"/>
                <w:color w:val="auto"/>
              </w:rPr>
            </w:pPr>
          </w:p>
        </w:tc>
        <w:tc>
          <w:tcPr>
            <w:tcW w:w="128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12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7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626,654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401,588,570</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60,796</w:t>
            </w:r>
          </w:p>
        </w:tc>
        <w:tc>
          <w:tcPr>
            <w:tcW w:w="142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(388,182,802)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13,387,642</w:t>
            </w: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(14,563,017)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(14,563,017)</w:t>
            </w:r>
          </w:p>
        </w:tc>
      </w:tr>
      <w:tr>
        <w:trPr>
          <w:trHeight w:val="198"/>
        </w:trPr>
        <w:tc>
          <w:tcPr>
            <w:tcW w:w="2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facilities, net of</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339,254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9,060,322</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9,063,715</w:t>
            </w:r>
          </w:p>
        </w:tc>
        <w:tc>
          <w:tcPr>
            <w:tcW w:w="100" w:type="dxa"/>
            <w:vAlign w:val="bottom"/>
          </w:tcPr>
          <w:p>
            <w:pPr>
              <w:spacing w:after="0"/>
              <w:rPr>
                <w:sz w:val="20"/>
                <w:szCs w:val="20"/>
                <w:color w:val="auto"/>
              </w:rPr>
            </w:pPr>
          </w:p>
        </w:tc>
      </w:tr>
      <w:tr>
        <w:trPr>
          <w:trHeight w:val="198"/>
        </w:trPr>
        <w:tc>
          <w:tcPr>
            <w:tcW w:w="25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restricted options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198"/>
        </w:trPr>
        <w:tc>
          <w:tcPr>
            <w:tcW w:w="25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losses,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on investments securities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(60,796)</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(60,796)</w:t>
            </w:r>
          </w:p>
        </w:tc>
      </w:tr>
      <w:tr>
        <w:trPr>
          <w:trHeight w:val="198"/>
        </w:trPr>
        <w:tc>
          <w:tcPr>
            <w:tcW w:w="2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7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364,056</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364,056</w:t>
            </w:r>
          </w:p>
        </w:tc>
        <w:tc>
          <w:tcPr>
            <w:tcW w:w="100" w:type="dxa"/>
            <w:vAlign w:val="bottom"/>
            <w:shd w:val="clear" w:color="auto" w:fill="CCEEFF"/>
          </w:tcPr>
          <w:p>
            <w:pPr>
              <w:spacing w:after="0"/>
              <w:rPr>
                <w:sz w:val="21"/>
                <w:szCs w:val="21"/>
                <w:color w:val="auto"/>
              </w:rPr>
            </w:pPr>
          </w:p>
        </w:tc>
      </w:tr>
      <w:tr>
        <w:trPr>
          <w:trHeight w:val="174"/>
        </w:trPr>
        <w:tc>
          <w:tcPr>
            <w:tcW w:w="12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5"/>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966,715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411,013,061</w:t>
            </w:r>
          </w:p>
        </w:tc>
        <w:tc>
          <w:tcPr>
            <w:tcW w:w="10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 (402,745,819)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8,191,721</w:t>
            </w:r>
          </w:p>
        </w:tc>
        <w:tc>
          <w:tcPr>
            <w:tcW w:w="100" w:type="dxa"/>
            <w:vAlign w:val="bottom"/>
          </w:tcPr>
          <w:p>
            <w:pPr>
              <w:spacing w:after="0"/>
              <w:rPr>
                <w:sz w:val="23"/>
                <w:szCs w:val="23"/>
                <w:color w:val="auto"/>
              </w:rPr>
            </w:pPr>
          </w:p>
        </w:tc>
      </w:tr>
      <w:tr>
        <w:trPr>
          <w:trHeight w:val="20"/>
        </w:trPr>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Inc. (“Imunon” or the “Company”)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completed dosing in a first-in-human study of its COVID-19 booster vaccine (IMNN-101). The Company will continue to leverage these modalities and to advance, either directly or through partnership, the technological frontier of plasmid DNA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accounting principles generally accepted in the United States of America (“GAAP”) for interim financial information and with the instructions to Form 10-Q and Article 10 of Regulation S-X. All significant intercompany balances and transactions have been eliminated in consolidation. During the quarter and nine-month period ended September 30, 2025, there were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nine months ended September 30, 2025 and 2024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2024, filed with the Securities and Exchange Commission on February 27,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condensed consolidated financial statements and accompanying notes. Actual results could differ materially from those estimates. Events and conditions arising subsequent to the most recent balance sheet date have been evaluated for their possible impact on the unaudited condensed consolidated financial statements and accompanying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(“FDA”). The Company has not generated significant revenue and has incurred significant net losses in each year since inception. For the nine months ended September 30, 2025, the Company had a net loss of $10.3 million and used $10.2 million to fund operations. As of September 30, 2025, the Company has incurred approximately $419 million of cumulative net losses. As of September 30, 2025, the Company had $5.3 million in cash and cash equivalents to fund its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and worldwide resulting from the recent tariff announcement by the U.S. federal government,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unaudited condensed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maintain current research and development licensing arrangements and to establish new research and development and licensing arrangements; the ability to achieve milestones under licensing arrangements; the costs involved in prosecuting and enforcing patent claims and other intellectual property rights; and the costs and timing of regulatory approvals.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reduce spending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will depend on its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operations for the next twelve months.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condensed consolidated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specified effective date. Unless otherwise discussed, the Company believes that the impact of recently issued accounting pronouncements will not have a material impact on the Company’s condensed consolidated financial position, results of operations, and cash flows, or do not apply to its operations.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the Company’s Annual Report on Form 10-K for the year ended December 31, 2025. Early adoption is permitted. The Company is currently evaluating the impact of the ASU on the income tax disclosures within the unaudited condensed consolidated financial statements; the Company expects changes to the Company’s income tax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Disaggregation of Income Statement Expenses” (“ASU 2024-03”). ASU 2024-03 will require more detailed information about the types of expenses in commonly presented income statement captions such as “Cost of sales” and “Selling, general and administrative expenses”. The new guidance is effective for annual reporting periods beginning after December 15, 2026, and interim reporting periods beginning after December 15, 2027 with early adoption permitted. The Company is currently evaluating the impact that this change will have on the Company’s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was 990,233 and 447,499 shares for the nine months ended September 30, 2025 and 2024, respectively. For the nine-month periods ended September 30, 2025 and 2024,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declared a 15% stock dividend that was distributed on August 21, 2025 to stockholders of record as of August 7, 2025. In accordance with Accounting Standards Codification (“ASC”) 260, basic and diluted earnings per share amounts and weighted-average shares outstanding have been restated for all periods presented to reflect the effect of this stock dividend. The Company did not pay any dividends during the first nine months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Performance Measures and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research and development of product candidates. The Company’s chief operating decision maker (“CODM”) has been identified as the Chief Executive Officer and President, who reviews operating results to make decisions about allocating resources and assessing performance for the entire Company based on condensed consolidated financial information. Consequently, the Company views the entire organization as one reportable segment and the strategic purpose of all operating activities (including general and administrative expenses) is to support that one segment. As a pre-revenue research and development company, the CODM evaluates company-wide performance and allocates resources based on non-financial research and development milestones achieved, and to a lesser extent, financial measures of performance such as clinical development (research and development expenses) and general and administrative expenses incurred. The CODM does not generally evaluate the Company’s performance using asset or historical cash flow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table below provides a summary of the significant expense categories and consolidated net loss details provided to the CODM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gridSpan w:val="3"/>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Increase</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1,139</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(927)</w:t>
            </w:r>
          </w:p>
        </w:tc>
        <w:tc>
          <w:tcPr>
            <w:tcW w:w="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695</w:t>
            </w:r>
          </w:p>
        </w:tc>
        <w:tc>
          <w:tcPr>
            <w:tcW w:w="7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1,412</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(1,370)</w:t>
            </w:r>
          </w:p>
        </w:tc>
        <w:tc>
          <w:tcPr>
            <w:tcW w:w="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1,900</w:t>
            </w:r>
          </w:p>
        </w:tc>
        <w:tc>
          <w:tcPr>
            <w:tcW w:w="52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(513)</w:t>
            </w:r>
          </w:p>
        </w:tc>
        <w:tc>
          <w:tcPr>
            <w:tcW w:w="7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4,451</w:t>
            </w:r>
          </w:p>
        </w:tc>
        <w:tc>
          <w:tcPr>
            <w:tcW w:w="34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851</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1,358</w:t>
            </w:r>
          </w:p>
        </w:tc>
        <w:tc>
          <w:tcPr>
            <w:tcW w:w="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 Program</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2,554</w:t>
            </w:r>
          </w:p>
        </w:tc>
        <w:tc>
          <w:tcPr>
            <w:tcW w:w="5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(2,554)</w:t>
            </w:r>
          </w:p>
        </w:tc>
        <w:tc>
          <w:tcPr>
            <w:tcW w:w="7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1,551</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w:t>
            </w:r>
          </w:p>
        </w:tc>
        <w:tc>
          <w:tcPr>
            <w:tcW w:w="7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3"/>
              </w:rPr>
              <w:t>4,956</w:t>
            </w: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9,407</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5,580</w:t>
            </w:r>
          </w:p>
        </w:tc>
        <w:tc>
          <w:tcPr>
            <w:tcW w:w="52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w:t>
            </w:r>
          </w:p>
        </w:tc>
        <w:tc>
          <w:tcPr>
            <w:tcW w:w="7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September 30, 2025 and December 31, 2024 include the following: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78"/>
        </w:trPr>
        <w:tc>
          <w:tcPr>
            <w:tcW w:w="69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Amounts due to contract research organizations and</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contractual agreements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910,501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1,048,036</w:t>
            </w:r>
          </w:p>
        </w:tc>
        <w:tc>
          <w:tcPr>
            <w:tcW w:w="80" w:type="dxa"/>
            <w:vAlign w:val="bottom"/>
            <w:shd w:val="clear" w:color="auto" w:fill="CCEEFF"/>
          </w:tcPr>
          <w:p>
            <w:pPr>
              <w:spacing w:after="0"/>
              <w:rPr>
                <w:sz w:val="20"/>
                <w:szCs w:val="20"/>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1,687,690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1,945,111</w:t>
            </w: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40,600</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2,676,951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2024, the Company filed with the U.S. Securities and Exchange Commission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outstanding Common Stock held by non-affiliates was approximately $79,075,969, based on 2,121,895 shares of Common Stock outstanding as of July 22, 2025, of which 2,100,291 shares were held by non-affiliates, and a price of $37.65 per share, which was the last reported sale price of Common Stock on The Nasdaq Stock Market LLC (“Nasdaq”) on June 2, 2025. As a result, the Company’s public float increased above $75.0 million, and the Company is no longer subject to the limitations contained in General Instruction I.B.6 of Form S-3.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2025, the Company effected a 15-for-1 reverse stock split of its common stock which was made effective for trading purposes as of 12:01 a.m. ET on July 25, 2025. As of that date, each 15 shares of issued and outstanding common stock and equivalents were consolidated into one share of common stock. All shares have been restated to reflect the effects of the 15-for-1 reverse stock split. In addition, at the market open on July 25, 2025, the Company’s common stock started trading under a new CUSIP number 15117N701 although the Company’s ticker symbol, IMNN, remained unchanged.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reverse stock split was previously approved by the Company’s stockholders at the 2025 Annual Meeting held on July 11, 2025, and the Company subsequently filed a Certificate of Amendment to its Certificate of Incorporation to effect the stock consolidation. The primary reasons for the reverse stock split and the amendment are:</w:t>
      </w:r>
    </w:p>
    <w:p>
      <w:pPr>
        <w:spacing w:after="0" w:line="176"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Company with the ability to support its future anticipated growth and would provide greater flexibility to consider and respond to future business opportunities and needs as they arise, including equity financings and stock-based acquisitions of new technology and product development candidates. The availability of additional shares of Common Stock would permit the Company to undertake certain of the foregoing actions without delay and expense associated with holding a Special Meeting of Stockholders to obtain stockholder approval each time such an opportunity arises that would require the issuance of shares of Common Stock;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listing on The NASDAQ Capital Market, which requires that the Company comply with the applicable listing requirements under NASDAQ Marketplace Rules, which requirements include, among others, a minimum bid price of at least $1.00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prior to the reverse stock split, the Company had 31,828,447 shares of common stock outstanding which consolidated into 2,121,942 shares of the Company’s common stock. No fractional shares were issued in connection with the reverse stock split. All fractional shares were rounded up to the nearest whole share. The reverse stock split did not impact the total authorized number of shares of common or preferred stock or the par value thereof. The number of outstanding options, stock awards and warrants were adjusted accordingly, with outstanding options and stock awards being reduced from approximately 1.9 million to approximately 0.1 million and outstanding warrants being reduced from approximately 12.7 million to approximately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to Authorized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the Company held on July 11, 2025, upon the recommendation of the Company’s board of directors, the Company’s stockholders voted on and approved an amendment to the Company’s Restated Certificate of Incorporation to increase the number of authorized shares of common stock from 112,500,000 shares to 350,000,000 shares, and to make a corresponding change to the number of authorized shares of capital stock. Such amendment became effective on July 11, 2025 upon filing with the Secretary of State of the State of Delaware.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Stock Dividend</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July 28, 2025, the Company announced that the Company’s Board of Directors approved a 15% stock dividend, 0.15 shares of common stock (the “Stock Dividend”) per share of the Company’s issued and outstanding shares of common stock and per each common stock equivalent with dividend rights.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fixed August 7, 2025 as the record date (the “Record Date”) for the Stock Dividend, and the Stock Dividend was issued on August 21, 2025 to stockholders of record as of the Record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outstanding warrants were adjusted accordingly, with outstanding warrants increasing from approximately 0.8 million to approximately 1.0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15, 2024, the Company amended the At the Market Offering Agreement, dated as of May 25, 2022 (the “ATM Agreement”) with H.C. Wainwright</w:t>
      </w:r>
    </w:p>
    <w:p>
      <w:pPr>
        <w:spacing w:after="0" w:line="39" w:lineRule="exact"/>
        <w:rPr>
          <w:sz w:val="20"/>
          <w:szCs w:val="20"/>
          <w:color w:val="auto"/>
        </w:rPr>
      </w:pPr>
    </w:p>
    <w:p>
      <w:pPr>
        <w:jc w:val="both"/>
        <w:ind w:firstLine="8"/>
        <w:spacing w:after="0" w:line="253" w:lineRule="auto"/>
        <w:tabs>
          <w:tab w:leader="none" w:pos="1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(“Wainwright”) as sales agent. Pursuant to the terms of the amended ATM Agreement, the Company may offer and sell, from time to time, through Wainwright, shares of the Company’s common stock having an aggregate offering price of up to $5,500,000. The Company intends to use the net proceeds from any offering under the amended ATM Agreement for general corporate purposes, including research and development activities, capital expenditures and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2024, the Company notified Wainwright that it was suspending its use of and terminating the “at the market offering” sales agreement prospectus (the “ATM Prospectus”), related to the potential issuance from time to time of the Company’s common stock pursuant to the ATM Agreement, by and between the Company and Wainwright. Notwithstanding the termination of the ATM Prospectus, the ATM Agreement remains in full force and effect.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2024, the Company filed a new prospectus supplement to the 2024 Registration Statement with the SEC for an aggregate offering price of up to $5,500,000 related to the potential issuance from time to time of the Company’s common stock pursuant to the ATM Agreement with Wainwright as sales agent.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the Company filed a prospectus supplement (the “Prospectus Supplement”) to register an additional $4,500,000 of shares of the Company’s common stock, par value $0.01 per share issuable pursuant to the At the Market Offering Agreement, dated as of May 25, 2022, as amended by Amendment No. 1 to At the Market Offering Agreement, dated as of May 15, 2024 (as amended, the “Sales Agreement”), by and between the Company and H.C. Wainwright &amp; Co., LLC, as sales agent or principal (the “Sales Agent”). The Company previously registered the offer and sale of up to $5,500,000 of shares of Common Stock through the Sales Agent under the Sales Agreement. Prior to the date hereof, the Company has sold an aggregate of $1,815,267 shares of Common Stock through the Sales Agent under the Sales Agreement. Accordingly, the Prospectus Supplement covers an aggregate of $8,184,733 of Shares, consisting of $3,684,733 remaining of the amount originally registered and the additional $4,500,000 increase under the Prospectus Supplement.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sold 5,932 shares of common stock under the ATM Agreement for net proceeds of $99,506 during 2024. During 2025, the Company sold 551,265 shares of common stock under the ATM Agreement for net proceeds of $3,638,767 through September 30, 2025. The Company sold 174,081 shares of common stock under the ATM Agreement for net proceeds of $816,030 subsequent to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July 2024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 2024, the Company entered into the July 2024 Purchase Agreement with the Purchasers, pursuant to which the Company issued, in a registered direct offering, an aggregate of 333,334 shares of the Company’s common stock at an offering price of $30.00 per share for gross proceeds of $10.0 million before the deduction of placement agent fees and offering expenses. In a concurrent private placement and also pursuant to the July 2024 Purchase Agreement, the Company issued to the Purchasers the Warrants to purchase an aggregate of 333,334 shares of its common stock at an exercise price of $30.00 per share.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Warrants became exercisable immediately after issuance for a term of five and one-half years following the date of issuance. The closing of the July 2024 Offering occurred on August 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2025, the Company entered into an exchange agreement (the “Agreement”) with the holders (the “Warrant Holders”) of certain warrants of the Company issued on August 1, 2024, which are exercisable for an aggregate of 333,334 shares of the Company’s common stock, par value $0.01 per share. Pursuant to the terms of the Agreement, the Company will issue to the Warrant Holders an aggregate of 194,734 shares of Common Stock (the “Warrant Exchange Shares”), on a one-for-one basis, in exchange for shares issuable under the Warrants (the “Warrant Exchange”), in reliance on an exemption from registration provided by Section 3(a)(9) of the Securities Act of 1933, as amended (the “Securities Act”). Pursuant to the Agreement, the Warrant Holders also agreed to waive the Company’s compliance with the provisions of Section 4.12(b) of the Securities Purchase Agreement, dated July 30, 2024, with respect to any Company Variable Rate Transaction (as defined in the Purchase Agreement) for a period of forty-five (45) days from the date of the Agreement and agreed to a lock up period on the Warrant Exchange Shares ending on the opening of trading on May 14, 2025. The Warrant Exchange closed on May 13, 2025. The number of Warrant Exchange Shares that will be issued pursuant to the Agreement will represent 19.98% of the shares of Common Stock outstanding as of the date of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$0.0001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stockholders approved the issuance of the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stockholders approved the Imunon, Inc. 2018 Stock Incentive Plan (the “2018 Plan”). The 2018 Plan, as amended, permits the granting of 131,334 shares of Imunon common stock as equity awards in the form of incentive stock options, nonqualified stock options, restricted stock, restricted stock units, stock appreciation rights, other stock awards, performance awards, or in any combination of the foregoing.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there were a total of 264,667 shares of Imunon common stock reserved for issuance under the 2018 Plan, which were comprised of 24,986 shares of Imunon common stock subject to equity awards previously granted under the 2018 Plan and 235,509 shares of Imunon common stock available for future issuance under the 2018 Plan. At the 2025 Annual Stockholders Meeting of the Company held on July 11, 2025, stockholders approved an amendment to the 2018 Plan, as previously amended, whereby the Company increased the number of shares of common stock available by 133,333 to a total of 264,667 under the 2018 Plan, as amended.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$0.1 million and $0.4 million of expense for the nine months ended September 30, 2025 and 2024, respectively. Of these amounts, approximately $29,000 for the nine months ended September 30, 2025 and $0.2 million expense for the same period ended September 30, 2024 were charged to research and development expenses and $0.1 million of expense for the nine months ended September 30, 2025 and $0.2 million of expense for the nine months ended September 30, 2024 were charged to general and administrative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nine months ended September 30, 2025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52"/>
        </w:trPr>
        <w:tc>
          <w:tcPr>
            <w:tcW w:w="4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6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187"/>
        </w:trPr>
        <w:tc>
          <w:tcPr>
            <w:tcW w:w="47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6"/>
                <w:szCs w:val="16"/>
                <w:color w:val="auto"/>
              </w:rPr>
            </w:pPr>
          </w:p>
        </w:tc>
        <w:tc>
          <w:tcPr>
            <w:tcW w:w="110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38"/>
        </w:trPr>
        <w:tc>
          <w:tcPr>
            <w:tcW w:w="4740" w:type="dxa"/>
            <w:vAlign w:val="bottom"/>
          </w:tcPr>
          <w:p>
            <w:pPr>
              <w:spacing w:after="0"/>
              <w:rPr>
                <w:sz w:val="20"/>
                <w:szCs w:val="20"/>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2025</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35,693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11.44</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issued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 or forfeited</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(118,572)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25.56</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September 30, 2025</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24,986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20.12</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September 30, 2025</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17,292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24.85</w:t>
            </w: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 exercisable at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2025, there was $58,000 of total unrecognized compensation cost related to non-vested stock-based compensation arrangements. That cost is expected to be recognized over a period of three to four years. The weighted average grant date fair value of the stock options granted was $11.44 during the nine months ended September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4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38"/>
        </w:trPr>
        <w:tc>
          <w:tcPr>
            <w:tcW w:w="6900" w:type="dxa"/>
            <w:vAlign w:val="bottom"/>
          </w:tcPr>
          <w:p>
            <w:pPr>
              <w:spacing w:after="0"/>
              <w:rPr>
                <w:sz w:val="20"/>
                <w:szCs w:val="20"/>
                <w:color w:val="auto"/>
              </w:rPr>
            </w:pPr>
          </w:p>
        </w:tc>
        <w:tc>
          <w:tcPr>
            <w:tcW w:w="280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 to 4.55%</w:t>
            </w: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 to 4.31%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110.74 to 123.22%</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101.74 to 115.81%</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80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9.0 to 10.0</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all warrant activity for the nine-month period ended September 30, 2025: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0"/>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January 1, 2025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395,224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1,475,838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 – cashless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(223,946)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(671,732)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242.61</w:t>
            </w: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September 30, 2025</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965,247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September 30, 2025</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September 30, 2025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 years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New Jersey Lease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 In April 2025, the Company renewed its Lawrenceville office lease until November 30, 2028 for 4,359 square feet (to be reduced to 4,011 following April 1, 2026) with monthly rent payments of approximately $10,361 to $10,863.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September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120,196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488,821</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498,086</w:t>
            </w:r>
          </w:p>
        </w:tc>
      </w:tr>
      <w:tr>
        <w:trPr>
          <w:trHeight w:val="23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149,896</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future lease payments</w:t>
            </w:r>
          </w:p>
        </w:tc>
        <w:tc>
          <w:tcPr>
            <w:tcW w:w="3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(154,767)</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7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7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2025, operating lease expense was $402,384 and cash paid for operating leases included in operating cash flows was $400,936. For the nine-month period ended September 30, 2024, operating lease expense was $479,401 and cash paid for operating leases included in operating cash flows was $488,047.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its subsequent events from September 30, 2025, through the date these condensed consolidated financial statements were issued.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 conventional therapies. Imunon is developing its non-viral DNA technology across its modalities. The first modality, TheraPlas®, is developed for the coding of proteins and cytokines in the treatment of solid tumors where an immunological approach is deemed promising. The second modality, PlaCCine®, is developed for the coding of viral antigens that can elicit a strong immunological response. This technology may represent a promising platform for the development of vaccines in infectious diseases.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that has completed multiple clinical trials including one Phase II clinical trial (OVATION 2) and is currently conducting a Phase 3 clinical trial (OVATION 3). IMNN-001 works by instructing the body to produce safe and durable levels of powerful cancer-fighting molecules, such as interleukin-12 and interferon gamma, at the tumor site. Additionally, the Company has entered into a first-in-human study of its COVID-19 booster vaccine (IMNN-101). We will continue to leverage these modalities and to advance the technological frontier of plasmid DNA based treatments to better serve patients with difficult-to-treat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 or 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we believe that our delivery systems are generally more efficient, cost effective and have a more favorable safety profile. We believe that these advantages place Imunon in a position to capitalize on this technology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more than 60% of women dying within five years of diagnosis.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With the five-year survival rates for Stages III and IV at 41% and 20%, respectively, there remains a need for a therapy that not only reduces the recurrence rate but also meaningfully improves overall survival.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nine months. This group generally responds to additional treatment with platinum-based therapies. The platinum resistant group has a platinum-free interval of shorter than nine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in maintenance following front-line treatment, but few treatment options are left for women who are not eligible to receive PARP inhibitors and no product has ever demonstrated an OS improvement in the front-line treatment of newly diagnosed patients with ovarian cancer.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the therapeutic role of IL-12 in ovarian cancer is based on epidemiologic and clinical and preclinical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administration of an IL-12 encoded DNA plasmid formulated with our proprietary TheraPlas delivery system. In the clinical development program, the immunotherapy treatment schedule follows frontline standard of care and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analysis of the data and are summarized below:</w:t>
      </w:r>
    </w:p>
    <w:p>
      <w:pPr>
        <w:spacing w:after="0" w:line="225"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previous analyses the effects observed in the immunohistochemistry analysis were pronounced decreases in the density of immunosuppressive T-cell signals (Foxp3, PD-1, PDL-1, IDO-1) and increases in CD8+ cells in the tumor microenvironment;</w:t>
      </w:r>
    </w:p>
    <w:p>
      <w:pPr>
        <w:spacing w:after="0" w:line="16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w:t>
      </w:r>
    </w:p>
    <w:p>
      <w:pPr>
        <w:spacing w:after="0" w:line="27"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microenvironment from immunosuppressive to pro-immune stimulatory following treatment with IMNN-001. An increase in CD8+ to immunosuppressive T-cell populations was a leading indicator and believed to be a good predictor of improved OS; and</w:t>
      </w:r>
    </w:p>
    <w:p>
      <w:pPr>
        <w:spacing w:after="0" w:line="18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w:t>
      </w:r>
    </w:p>
    <w:p>
      <w:pPr>
        <w:spacing w:after="0" w:line="27"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T-cell (Foxp3+), which was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the time of interval debulking surgery. IMNN-001 was well tolerated, and no dose-limiting toxicities were detected in the OVATION 1 Study. Intraperitoneal administration of IMNN-001 was feasible with broad patient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15 patients in the Phase I portion and up to 95 patients in Phase II. The sample size is consistent with a Phase II trial designed to inform the design of a Phase III trial comparing IMNN-001 with neoadjuvant + adjuvant chemotherapy versus neoadjuvant + adjuvant chemotherapy alone. As a Phase II study, the OVATION 2 Study was not powered for statistical significance. The primary endpoint is PFS and the primary analysis would be conducted after at least 80 events had been observed or after all patients had been followed for at least 16 months, whichever was later. Additional endpoints included objective response rate, chemotherapy response score, and surgical response.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2021, the Company announced that it had received Fast Track designation from the FDA for IMNN-001 and also provided an update on the OVATION 2 Study.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had completed enrollment with 113 patients. In September 2023, the Company announced interim PFS and OS data with IMNN-001 in its Phase I/II OVATION 2 Study. Interim clinical data from the ITT population showed efficacy trends in PFS. Preliminary OS data followed a similar trend, showing an approximate 9-month improvement in the treatment arm over the control arm.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when the protocol was initiated as PARP inhibitors were approved after the OVATION 2 Study was initiated. However given the change in the standard of care, this subgroup was pre-specified in the statistical analysis plan prior to the study read out.</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announced database lock for the OVATION 2 Study. At that time, median OS and PFS had been reached, and all patients in the open-label study had achieved treatment observation duration of 16 months, as required by protocol to evaluate efficacy. On July 11, 2024, a scientific advisory board with DSMB members, principal investigators, and scientific experts was held to review efficacy and safety data from the OVATION 2 study.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the Company announced positive topline results from the Phase II OVATION 2 Study. Highlights from patients treated with IMNN-001 plus standard-of-care in a first-line treatment setting include:</w:t>
      </w:r>
    </w:p>
    <w:p>
      <w:pPr>
        <w:spacing w:after="0" w:line="162"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11.1 month increase in median OS compared with standard-of-care alone in the ITT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ITT population of 0.74, which indicates a 35% improvement in survival.</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the approximately 90% of trial participants who received at least 20% of specified treatments per-protocol in both study arms, patients in the IMNN-001 arm had a 15.7 month increase in median OS, representing a further extension of life with a hazard ratio of 0.64, a 56% improvement in survival.</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nearly 40% of trial participants treated with a PARP inhibitor, the hazard ratio decreased further to 0.41, with median OS in the IMNN-001 treatment arm not yet reached at the time of database lock, compared with median OS of 37.1 months in the standard-of-care treatment 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PFS results, the trial’s primary endpoint, support the OS results with:</w:t>
      </w:r>
    </w:p>
    <w:p>
      <w:pPr>
        <w:spacing w:after="0" w:line="225"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three-month improvement in PFS compared with standard-of-care alone. All patients treated with IMNN-001 remained progression free during the treatment period, while patients in the Standard of Care treatment arm progressed.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hazard ratio in the intent-to-treat population of 0.79, indicating a 27% improvement in delaying progression for the IMNN-001 treatment arm.</w:t>
      </w:r>
    </w:p>
    <w:p>
      <w:pPr>
        <w:spacing w:after="0" w:line="16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These initial results from the OVATION 2 Study were presented in a late-breaking session at the Society for Immunotherapy of Cancer (SITC) 39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Meeting in November 2024.</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the Company announced additional clinical data from ongoing analyses of results from the Phase 2 OVATION 2 Study. The updated results (including a post announcement, immaterial statistical correction), based on an additional seven months of patient monitoring, showed the hazard ratio (HR) decreased from 0.74 to 0.70 in the ITT population, with an increase in median overall survival (OS) from 11.1 to 13 months following treatment with IMNN-001 plus standard-of-care (SoC) neoadjuvant and adjuvant chemotherapy (NACT) versus SoC alone. More than one-third of patients in the trial survived more than 36 months from the point of study enrollment, with 62% of those surviving patients from the IMNN-001 treatment arm and 38% from the SoC arm. Over 10% of trial participants have reached 48 months or beyond. In April 2025, the Company announced that an IMNN-001 abstract was accepted for oral presentation at the 2025 ASCO annual meeting. The Company also plans to submit the results for publication in a peer-reviewed medical journal.</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2025, the Company announced positive data from the Company’s Phase 2 OVATION 2 Study showing that treatment with IMNN-001 in women with newly diagnosed advanced ovarian cancer resulted in consistent, clinically meaningful improvements in several key endpoints across treatment groups, including overall survival (OS), progression-free survival (PFS), chemotherapy response score and surgical response. Treatment with IMNN-001 also showed a favorable safety profile, with no reports of serious immune-related adverse events. The full results were presented in an oral presentation at the 2025 American Society of Clinical Oncology (ASCO) Annual Meeting in Chicago, Illinois, and simultaneously published in the peer-reviewed journal Gynecologic Oncology. The data presented highlighted the consistent results achieved across all treatment groups, demonstrating: Median 13-month increase in OS and median 3-month increase in PFS in IMNN-001 treatment arm compared to standard of care alone. Better therapeutic effect observed with IMNN-001 treatment compared to the control arm (p=0.0375), as shown by mean 6.5-month extension of time free of progression or death (PFS + OS) captured in totality of treatment effect. Use of poly ADP-ribose polymerase (PARP) inhibitors as part of maintenance therapy further enhanced outcomes, with median OS not yet reached in IMNN-001 treatment arm after &gt;5 years compared to 37 months on standard of care. Chemotherapy response score highlights double the response rate of a complete or near complete histopathological response following treatment with 26.1% in the IMNN-001 treatment arm compared to 13.0% in the control arm. Surgical response rate of no macroscopic residual tumor left after surgery 64.6% in the IMNN-001 treatment arm compared to 52.1% in the control arm. Hazard ratio of 0.78 in study participants who are homologous recombination proficient (HRP) and hazard ratio of 0.42 in women positive for homologous recombination deficiency (HRD+), including BRCA1 or BRCA2 mutations, suggesting increased therapeutic activity. IMNN-001 was generally safe and well tolerated, with no reports of cytokine release syndrome, systemic toxicity or serious immune-related adverse events.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2025, the Company announced the presentation of new positive translational data from the Phase 2 OVATION 2 Study of IMNN-001 at the ESMO Gynecological Cancers Congress 2025, that took place on June 19-21, 2025, in Vienna, Austria. Results presented at the ESMO Congress showed that treatment with IMNN-001 induced substantial increases in IL-12 and interferon-gamma (IFN-γ) and tumor necrosis factor-alpha (TNF-α), key downstream anti-cancer immune cytokines. Increases in IL-12, IFN-γ and TNF-α levels in the peritoneal cavity were approximately 27-, 62- and 36-fold following treatment, respectively, demonstrating the tumor-localized effect of IMNN-001 in women with advanced ovarian cancer. IMNN-001 continues to show a favorable safety profile.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3 Study. </w:t>
      </w:r>
      <w:r>
        <w:rPr>
          <w:rFonts w:ascii="Times New Roman" w:cs="Times New Roman" w:eastAsia="Times New Roman" w:hAnsi="Times New Roman"/>
          <w:sz w:val="18"/>
          <w:szCs w:val="18"/>
          <w:color w:val="auto"/>
        </w:rPr>
        <w:t>On September 11, 2024, a scientific advisory board was held with DSMB members, principal investigators, and scientific experts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discuss and seek input on the protocol synopsis for the Phase III trial. A protocol synopsis was submitted along with a briefing document for review and input at the End-of-Phase II (“EOP2”) meeting with the U.S. Food and Drug Administration focused on the Phase III study. The EOP2 meeting was conducted in the fourth quarter of 2024.</w:t>
      </w:r>
    </w:p>
    <w:p>
      <w:pPr>
        <w:spacing w:after="0" w:line="180" w:lineRule="exact"/>
        <w:rPr>
          <w:sz w:val="20"/>
          <w:szCs w:val="20"/>
          <w:color w:val="auto"/>
        </w:rPr>
      </w:pPr>
    </w:p>
    <w:p>
      <w:pPr>
        <w:jc w:val="both"/>
        <w:ind w:left="660" w:hanging="328"/>
        <w:spacing w:after="0" w:line="23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outcome of the EOP2 in-person meeting with the U.S. Food and Drug Administration (FDA), supported the advancement of IMNN-001 for the treatment of advanced ovarian cancer into a Phase 3 pivotal study. The interaction with the FDA included an extensive review of data generated to date, including positive results from the recently completed Phase 2 OVATION 2 Study, which assessed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standard-of-care NACT alone in 112 patients with newly diagnosed advanced ovarian cancer. Treatment was also generally well tolerated, with no reports of cytokine release syndrome or any other serious immune-related adverse events.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held a Type C Chemistry, Manufacturing, and Controls (CMC) meeting with the FDA regarding production of IMNN-001 for the treatment of women with newly diagnosed advanced ovarian cancer. The goal of the meeting was to seek alignment and agreement with the FDA on key CMC topics to support IMNN-001 production for the planned Phase 3 pivotal trial and a potential future new biologic license application (BLA) submission. The meeting with the FDA included a review of the Company’s current good manufacturing practice (cGMP) clinical-scale and commercial manufacturing process for IMNN-001, conducted at the company’s manufacturing facility based in Huntsville, Alabama. The Agency agreed that the Company’s potency assay which measures interferon-gamma (IFN-γ) is acceptable for the Phase 3 clinical study and for use in a commercial setting for release of drug product. The FDA also agreed with the Company’s strategy to establish comparability of the core components of IMNN-001 produced by the Company with product previously produced through an external contract development and manufacturing organization.</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Phase 3 OVATION 3 trial will assess the safety and efficacy of IMNN-001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administered intraperitoneally weekly) plus neoadjuvant and adjuvant chemotherapy (NACT) of paclitaxel and carboplatin compared to standard of care (SoC) NACT alone. Study participants will be randomized 1:1 and include women with newly diagnosed advanced ovarian cancer (stage 3 or 4) who are eligible for neoadjuvant therapy, the intent-to-treat (ITT) population, with a sub-group of women positive for homologous recombination deficiency (HRD) including BRCA1 or BRCA2 mutations. Participants who are HRD positive will receive poly ADP-ribose polymerase (PARP) inhibitors as part of standard maintenance therapy. The primary endpoint of the study is overall survival (OS), and secondary endpoints are surgical response score, chemotherapy response score, clinical response and time to second-line treatment. The study will also assess several exploratory endpoints.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the Company announced that the FDA is aligned with the protocol for the Phase 3 OVATION 3 pivotal trial of its lead candidate IMNN-001 in development for the treatment of women with newly diagnosed advanced ovarian cancer. The Company is currently enrolling patients at four trial sites with additional sites being considered for activation.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enrolled and treated the first patient in the pivotal Phase 3 Ovation 3 Study in July 2025 and is working with trial investigators to expand clinical sites and accelerate enrollment.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four sites are open to recruitment, Providence Sacred Heart Medical Center &amp; Children’s Hospital, Washington University School of Medicine in St. Louis, Providence Cancer Institute in Portland, and Erlanger Health in Chattanooga with up to 46 additional sites being considered for activation.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up to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review of the MRD study accomplishments as of September 19, 2025 was conducted and it was determined that study goals contributing to the IMNN-001 development plan and Break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color w:val="auto"/>
        </w:rPr>
        <w:t xml:space="preserve"> Cancer study objectives can be accomplished in a trial of 30 patients. A decision was made to complete enrollment of the trial once the ITT population has reached 30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ITT population was at seventeen patients in the study at the University of Texas MD Anderson Cancer Center and Memorial Sloan Kettering Cancer Center. John Hopkins Medicine Sidney Kimmel Cancer Care Center and Stephenson Cancer Center at University of Oklahoma are open to recruitment.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 2025, the ITT population was at twenty patients.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development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the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proof-of-concept (“PoC”)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non-human primate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The Phase I study enrolled 24 subjects to evaluate three escalating doses of IMNN-101. For this study, IMMN-101 has been designed to protect against the SARS-CoV-2 Omicron XBB1.5 variant, in accordance with the FDA’s Vaccines and Related Biological Products Advisory Committee’s June 2023 announcement of the framework for updated COVID-19 doses.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the Company announced topline safety and immunogenicity data from ongoing analyses of results from the Company’s Phase 1 proof-of-concept clinical trial of IMNN-101. The Phase 1 study was conducted in 24 healthy volunteers as a seasonal COVID-19 vaccine, targeting the SARS-CoV-2 Omicron XBB1.5 spike antigen. IMNN-101 was administered as a single dose vaccine without a booster dose in study participants who were previously vaccinated against the Omicron XBB1.5 variant. Results demonstrated that IMNN-101 is safe and well-tolerated with no serious adverse effects. IMNN-101 induced a persistent 2- to 4-fold increase in serum neutralizing antibody (NAb) titers from baseline through Week 4, further increasing NAb titers between Week 2 and Week 4. The immune response was observed against the XBB1.5 variant and many newer variants following treatment, demonstrating the IMNN-101 vaccine’s cross-reactivity.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15, 2025, the Company announced new data from its first Phase 1 proof-of-concept clinical trial of IMNN-101. Results in 24 healthy volunteers demonstrated IMNN-101’s durability of protection at six months after a single dose targeting the SARS-CoV-2 Omicron XBB1.5 spike antigen variant. IMNN-101 induced up to a 3-fold median increase in the serum neutralizing antibody (NAb) titers from baseline at six months, with initial evidence of a stronger immune response in two higher dose cohorts (2.0 mg and 1.0 mg) compared to a lower dose cohort (0.5 mg). The highest observed increase among the participating volunteers was 8-fold from baseline. IMNN-101 continues to be safe and well tolerated, with no serious adverse effects reported.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Phase 1 trial, designed to demonstrate the advantages of Imunon’s technology compared to approved messenger RNA (mRNA) vaccines, IMNN-101 was administered as a single dose vaccine without a booster dose in study participants who were previously vaccinated against the Omicron XBB1.5 variant. Study participants had high baseline immune characteristics, presumably from prior infection and multiple previous vaccinations against COVID-19, and ongoing infection. Modest increases in T-cell responses were observed in trial participants who received multiple immunizations prior to the study. Results from the Phase 1 trial build on data previously announced in February 2025, which showed IMNN-101 induced a persistent 2- to 4-fold increase in serum NAb titers from baseline through Week 4, further increasing NAb titers between Week 2 and Week 4. The immune response was also observed against the XBB1.5 variant and many newer variants following treatment, demonstrating the IMNN-101 vaccine’s cross-reactivity. The Phase 1 clinical data of IMNN-101 is consistent with strong evidence of immunogenicity and protection for the PlaCCine platform in rodents and non-human primates, with prior preclinical results showing comparable protection efficiency (&gt;95%) to a commercial mRNA vaccine in non-human primates.</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June 17, 2025, the Company announced that an abstract highlighting Phase 1 proof-of-concept clinical trial results of IMNN-101 was accepted for oral presentation at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International Conference on Vaccines Research &amp; Development. The meeting is being held November 5-7, 2025, in Boston, 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The Phase I trial was designed to establish PoC for IMNN-101 as an advancement in vaccine technology. Imunon intends to seek partnership and/or business development opportunities to develop the scientific and business case for IMNN-101 as a future vaccine to address viral mutations.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the Company had $5.3 million in cash and cash equivalents to fund its operations. The Company’s primary sources of cash have been proceeds from the issuance and sale of its common stock, including via its at-the-market (“ATM”) program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Based on the above, management has determined there is substantial doubt regarding our ability to continue as a going concern. The report of our independent registered public accounting firm for the year ended December 31, 2024, includes an explanatory paragraph which expresses substantial doubt about our ability to continue as a going concern. See also Note 2 to the Condensed Consolidated Financial Statements contained in this Quarterly Report on Form 10-Q.</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plan includes private or public equity financings, collaborations, or other strategic transactions such as raising funds from outside investors via its ATM program and other potential funding sources The Company may not be able to obtain funding on acceptable terms, or at all. The terms of any financing may adversely affect the holdings or the rights of the Company’s stockholders. The Company’s ability to raise additional funds will depend, among other factors, on financial, economic and market conditions, many of which are outside of its control, and it may be unable to raise financing when needed, or on terms favorable to the Company. If the Company is unable to obtain sufficient capital to fund its operations it may be required to evaluate alternatives.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risks and uncertainties discussed in the 2024 Annual Report filed on February 27, 2025 with the SEC, among others, we are unable to estimate the duration and completion costs of our research and development projects or when, if ever, and to what extent we will receive cash inflows from the commercialization and sale of a product if one of our drug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progress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and 2024 (through the date of this Quarterly Report on Form 10-Q), we issued a total of 0.4 million shares of common stock as discussed below for approximately $19.0 million in net proceeds.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15, 2024, the Company filed with the SEC a shelf registration statement on Form S-3 (the “2024 Registration Statement”) for the offer and sale of up to $75 million of its securities. The 2024 Registration Statement was declared effective on May 22, 2024. The 2024 Registration Statement is intended to provide the Company with flexibility to raise capital in the future for general corporate purposes. As noted in the prospectus supplement that the Company filed on July 22, 2025, the aggregate market value of our outstanding Common Stock held by non-affiliates was approximately $79,075,969, based on 2,121,895 shares of Common Stock outstanding as of July 22, 2025, of which 2,100,291 shares were held by non-affiliates, and a price of $37.65 per share, which was the last reported sale price of our Common Stock on The Nasdaq Stock Market LLC (“Nasdaq”) on June 2, 2025. As a result, our public float increased above $75.0 million, and we are no longer subject to the limitations contained in General Instruction I.B.6 of Form S-3. The Company sold 5,932 shares of common stock under the ATM Agreement for net proceeds of $99,506 during 2024. The Company sold 551,265 shares of common stock under the ATM Agreement for net proceeds of $3,638.767 through September 2025. The Company sold 725,346 shares of common stock under the ATM Agreement for net proceeds of $4,454.797 through November 10,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May 2025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23, 2025, the Company entered into a Securities Purchase Agreement with certain institutional and accredited investors, for the issuance and sale in a private placement of: (i) 185,186 shares of the Company’s common stock, (ii) 296,297 of pre-funded warrants at an exercise price of $0.0015 per share and (iii) 962,964 warrants at an exercise price of $6.75 per share for gross proceeds of approximately $3.3 million before the deduction of placement agent fees and offering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Prefunded Warrants became exercisable immediately after issuance for a term of two and one-half years following the date of issuance. The Warrants will be exercisable upon receipt of such approval as may be required by the applicable rules and regulations of the Nasdaq Stock Market (or any successor entity) from the stockholders of the Company with respect to issuance of all of the Warrants and the shares of Common Stock upon the exercise thereof (“Stockholder Approval,” and such date, the “Stockholder Approval Date”) and have a term of three years. The prefunded warrants were exercised in full on June 16, 2025 and June 18,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issued to H.C. Wainwright &amp; Co., LLC warrants (the “Placement Agent Warrants”) to purchase up to an aggregate of 24,075 shares of common stock at an exercise price equal to $8.44 per share. The Placement Agent Warrants have substantially the same terms as the Warrants. The closing of the May 2025 Offering occurred on May 28, 2025. On July 11, 2025, the Company’s shareholders approved the issuance of the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2024 Annual Report on Form 10-K for the year ended December 31, 2024 filed with the SEC on February 27, 2025.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our net loss was $3.4 million compared to a net loss of $4.8 million for the same three-month period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$5.3 million in cash and cash equivalents at September 30, 2025,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124</w:t>
            </w:r>
          </w:p>
        </w:tc>
        <w:tc>
          <w:tcPr>
            <w:tcW w:w="6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(294)</w:t>
            </w: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(514)</w:t>
            </w: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(364)</w:t>
            </w:r>
          </w:p>
        </w:tc>
        <w:tc>
          <w:tcPr>
            <w:tcW w:w="9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3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525</w:t>
            </w: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 Program</w:t>
            </w:r>
          </w:p>
        </w:tc>
        <w:tc>
          <w:tcPr>
            <w:tcW w:w="320" w:type="dxa"/>
            <w:vAlign w:val="bottom"/>
          </w:tcPr>
          <w:p>
            <w:pPr>
              <w:spacing w:after="0"/>
              <w:rPr>
                <w:sz w:val="18"/>
                <w:szCs w:val="18"/>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(598)</w:t>
            </w:r>
          </w:p>
        </w:tc>
        <w:tc>
          <w:tcPr>
            <w:tcW w:w="9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(549)</w:t>
            </w:r>
          </w:p>
        </w:tc>
        <w:tc>
          <w:tcPr>
            <w:tcW w:w="9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(91)</w:t>
            </w:r>
          </w:p>
        </w:tc>
        <w:tc>
          <w:tcPr>
            <w:tcW w:w="9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were $1.9 million in the third quarter of 2025 compared to $3.3 million in same period of 2024. Clinical costs associated with the OVATION 2 and MRD trials were $0.1 million in the third quarter of 2025 compared to $0.4 million in the same period of 2024. Clinical costs associated with the OVATION 3 trial were $0.4 million in the third quarter of 2025. Clinical costs associated with the PlaCCine vaccine trial were $9,000 in the third quarter of 2025 compared to $0.5 million in the third quarter of 2024. Other clinical and regulatory costs were $0.4 million in the third quarter of 2025 compared to $0.8 million in the same period of 2024. R&amp;D costs associated with the development of IMNN-001 to support the OVATION program were $0.7 million in the third quarter of 2025 compared to $0.2 million in same period of 2024. The cost of development of the PLACCINE DNA vaccine technology platform was $0.6 million in the third quarter of 2024. CMC costs were $0.2 million in the third quarter of 2025 compared to $0.8 million in the same period of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$1.6 million in the third quarter of 2025 compared to $1.7 million in the same period of 2024. The decrease was primarily attributable to lower employee-related expenses of $0.1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from the Company’s short-term investments was $47,000 for the third quarter of 2025 compared to $116,000 for the same period in 2024 due to cash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NINE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our net loss was $10.3 million compared to a net loss of $14.6 million for the same nine-month period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$5.3 million in cash and cash equivalents at September 30, 2025, such conditions raise substantial doubts about the Company’s ability to continue as a going concern. Based on the above, management has determined there is substantial doubt regarding our ability to continue a going concern.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color w:val="auto"/>
              </w:rPr>
              <w:t>Clinical Research</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2 and MRD Trials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1,139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(927)</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 3 Trial</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695</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 Phase 1 Trial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1,412</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(1,370)</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1,900</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(513)</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CEEFF"/>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4,451</w:t>
            </w:r>
          </w:p>
        </w:tc>
        <w:tc>
          <w:tcPr>
            <w:tcW w:w="3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3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 Program</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851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1,358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PlaCCine Vaccine Program</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2,554</w:t>
            </w:r>
          </w:p>
        </w:tc>
        <w:tc>
          <w:tcPr>
            <w:tcW w:w="30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(2,554)</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1,551</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(805)</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jc w:val="center"/>
              <w:ind w:right="2510"/>
              <w:spacing w:after="0"/>
              <w:rPr>
                <w:sz w:val="20"/>
                <w:szCs w:val="20"/>
                <w:color w:val="auto"/>
              </w:rPr>
            </w:pPr>
            <w:r>
              <w:rPr>
                <w:rFonts w:ascii="Times New Roman" w:cs="Times New Roman" w:eastAsia="Times New Roman" w:hAnsi="Times New Roman"/>
                <w:sz w:val="18"/>
                <w:szCs w:val="18"/>
                <w:color w:val="auto"/>
                <w:w w:val="99"/>
              </w:rPr>
              <w:t>Subtotal</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3"/>
              </w:rPr>
              <w:t>4,956</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9,407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5,580</w:t>
            </w:r>
          </w:p>
        </w:tc>
        <w:tc>
          <w:tcPr>
            <w:tcW w:w="30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w:t>
            </w:r>
          </w:p>
        </w:tc>
        <w:tc>
          <w:tcPr>
            <w:tcW w:w="9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4280" w:type="dxa"/>
            <w:vAlign w:val="bottom"/>
          </w:tcPr>
          <w:p>
            <w:pPr>
              <w:jc w:val="center"/>
              <w:ind w:right="255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(“R&amp;D”) expenses were $5.3 million in the first nine months of 2025 compared to $9.4 million in same period of 2024. Clinical costs associated with the OVATION 2 and MRD trials were $0.2 million in the first nine months of 2025 compared to $1.1 million in 2024. Clinical costs associated with the OVATION 3 trial were $0.7 million in the first nine months of 2025. Clinical costs associated with the PlaCCine vaccine trial were $42,000 in the first nine months of 2025 compared to $1.4 million in the first nine months of 2024. Other clinical and regulatory costs were $1.4 million in the first nine months of 2025 compared to $1.9 million in the same period of 2024. R&amp;D costs associated with the development of IMNN-001 to support the OVATION program were $2.2 million in the first nine months of 2025 compared to $0.9 million in same period of 2024. The cost of development of the PLACCINE DNA vaccine technology platform was $2.5 million in the first nine months of 2024. CMC costs were $0.7 million in the first nine months of 2025 compared to $1.6 million in the same period of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$5.1 million in the first nine months of 2025 compared to $5.6 million in the same period of 2024. The decrease was primarily attributable to lower employee-related and professional expenses of $0.2 million and lower travel costs of $0.1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from the Company’s short-term investments was $117,000 for the first nine months of 2025 compared to $423,000 for the same period in 2024 due to cash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and amounts received under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income, and we had an accumulated deficit of $419 million at September 30,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2025, we had total current assets of $7.3 million and current liabilities of $4.2 million, resulting in a net working capital of $3.1 million. At September 30, 2025, we had cash and cash equivalents of $5.3 million. At December 31, 2024, we had total current assets of $8.0 million and current liabilities of $4.8 million, resulting in net working capital of $3.2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first nine months of 2025 was $10.3 million. Net cash used by investing activities was $0.3 million during the first nine months of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continue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drug candidates, or products we would otherwise seek to develop or commercialize on our own, or to license the rights to our technologies, drug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drug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2025,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exception of the changes described and set forth below, there have been no material changes to our risk factors from those disclosed under “Risk Factors” in Part I, Item 1A of our 2024 Annual Report on Form 10-K. The risks and uncertainties described in our 2024 Annual Report on Form 10-K, as supplemented by this Form 10-Q, are not the only ones we face. Additional risks and uncertainties not presently known to us or that we currently deem immaterial may also materially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Investing in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market activity involving short selling or other market making activities could result in negative impact to the market price for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Short selling is a method used to capitalize on an expected decline in the market price of a security and could depress the price of our Common Stock, which could further increase the potential for future short sales. Sales of our Common Stock could encourage short sales by market participants, which could create negative market momentum. Continued short selling may bring about a temporary, or possibly long term, decline in the market price of our Common Stock. The Company cannot predict the size of future issuances or sales of Common Stock or the effect, if any, that future issuances and sales of Common Stock will have on its market price or the activities of short sellers. Sales involving significant amounts of Common Stock, including issuances made in the ordinary course of the Company’s business, or the perception that such sales could occur, may materially and adversely affect prevailing market prices of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fail to comply with continued listing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currently traded on Nasdaq under the symbol “IMNN.” If we fail to comply with Nasdaq’s continued listing standards, we may be delisted and our Common Stock will trade, if at all, only on the over-the-counter market, such as the OTC Bulletin Board or OTCQX market, and then only if one or more registered broker-dealer market makers comply with quotation requirements. In addition, delisting of our Common Stock could depress our stock price, substantially limit liquidity of our Common Stock and materially adversely affect our ability to raise capital on terms acceptable to us, or at all. Further, delisting of our Common Stock would likely result in our Common Stock becoming a “penny stock” under the Exchange 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Common Stock were to be delisted by Nasdaq, it may be eligible for quotation on an over-the-counter quotation system or on the pink sheets. Upon any such delisting, our Common Stock would become subject to the regulations of the SEC relating to the market for penny stocks. A penny stock is any equity security not traded on a national securities exchange that has a market price of less than $5.00 per share. The regulations applicable to penny stocks may severely affect the market liquidity for our Common Stock and could limit the ability of stockholders to sell securities in the secondary market. In such a case, an investor may find it more difficult to dispose of or obtain accurate quotations as to the market value of our Common Stock, and there can be no assurance that our Common Stock will be eligible for trading or quotation on any alternative exchanges or markets.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Delisting from Nasdaq could adversely affect our ability to raise additional financing through public or private sales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planned future operations, and we may be unable to secure such capital without significant dilutive financing transactions, or at all. If we are not able to raise additional capital, we may not be able to complete the development, testing and commercialization of our drug candidates and will not be able to continue as a 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nine months ended September 30, 2025 and the year ended December 31, 2024, we incurred a net loss of $10.2 million and $18.6 million, respectively, and used $10.3 million and $18.9 million, respectively, to fund operations. As of September 30, 2025, we have incurred approximately $419 million of cumulative net losses. As of September 30, 2025 and December 31, 2024, we had cash and cash equivalents of $5.3 million and $5.9 million, respectively.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substantial future capital requirements, including to continue our research and development activities and advance our drug candidates through various development stages, including the Phase 3 registrational trial of IMNN-001 in advanced ovarian cancer.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6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101**</w:t>
        <w:tab/>
        <w:t>The following materials from the Company’s Quarterly Report on Form 10-Q for the quarter ended September 30, 2025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800" w:hanging="5532"/>
        <w:spacing w:after="0" w:line="409" w:lineRule="auto"/>
        <w:tabs>
          <w:tab w:leader="none" w:pos="66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13, 2025</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Stacy R. Lindborg,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Kimberly Graper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Stacy R. Lindborg Ph.D.,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Graper,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Graper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2025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Stacy R. Lindborg Ph. 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Stacy R. Lindborg Ph.D.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13, 2025</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Kimberly Graper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Kimberly Graper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8"/>
        <w:spacing w:after="0" w:line="266" w:lineRule="auto"/>
        <w:tabs>
          <w:tab w:leader="none" w:pos="1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amp;"/>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2025-11-13T07:14:45Z</dcterms:created>
  <dcterms:modified xsi:type="dcterms:W3CDTF">2025-11-13T07:14:45Z</dcterms:modified>
</cp:coreProperties>
</file>