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780" w:right="2240" w:hanging="377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2220" w:hanging="3332"/>
        <w:spacing w:after="0" w:line="530" w:lineRule="auto"/>
        <w:tabs>
          <w:tab w:leader="none" w:pos="334"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52-1256615</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5"/>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52"/>
        </w:trPr>
        <w:tc>
          <w:tcPr>
            <w:tcW w:w="3500" w:type="dxa"/>
            <w:vAlign w:val="bottom"/>
          </w:tcPr>
          <w:p>
            <w:pPr>
              <w:jc w:val="center"/>
              <w:ind w:left="230"/>
              <w:spacing w:after="0"/>
              <w:rPr>
                <w:sz w:val="20"/>
                <w:szCs w:val="20"/>
                <w:color w:val="auto"/>
              </w:rPr>
            </w:pPr>
            <w:r>
              <w:rPr>
                <w:rFonts w:ascii="Arial" w:cs="Arial" w:eastAsia="Arial" w:hAnsi="Arial"/>
                <w:sz w:val="18"/>
                <w:szCs w:val="18"/>
                <w:color w:val="auto"/>
                <w:w w:val="90"/>
              </w:rPr>
              <w:t>Title of each class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Trading symbol(s)</w:t>
            </w: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500" w:type="dxa"/>
            <w:vAlign w:val="bottom"/>
            <w:tcBorders>
              <w:top w:val="single" w:sz="8" w:color="auto"/>
            </w:tcBorders>
          </w:tcPr>
          <w:p>
            <w:pPr>
              <w:jc w:val="center"/>
              <w:ind w:left="250"/>
              <w:spacing w:after="0"/>
              <w:rPr>
                <w:sz w:val="20"/>
                <w:szCs w:val="20"/>
                <w:color w:val="auto"/>
              </w:rPr>
            </w:pPr>
            <w:r>
              <w:rPr>
                <w:rFonts w:ascii="Arial" w:cs="Arial" w:eastAsia="Arial" w:hAnsi="Arial"/>
                <w:sz w:val="18"/>
                <w:szCs w:val="18"/>
                <w:color w:val="auto"/>
                <w:w w:val="89"/>
              </w:rPr>
              <w:t>Common stock, par value $0.01 per share</w:t>
            </w:r>
          </w:p>
        </w:tc>
        <w:tc>
          <w:tcPr>
            <w:tcW w:w="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CLSN</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983" w:gutter="0" w:footer="0" w:header="0"/>
        </w:sectPr>
      </w:pPr>
    </w:p>
    <w:p>
      <w:pPr>
        <w:spacing w:after="0" w:line="151"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140" w:space="720"/>
            <w:col w:w="5380"/>
          </w:cols>
          <w:pgMar w:left="320" w:top="746" w:right="339" w:bottom="983"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12, 2021, the Registrant had 86,557,736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98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0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99"/>
              </w:rPr>
              <w:t>CELSION CORPORATION</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0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99"/>
              </w:rPr>
              <w:t>QUARTERLY REPORT ON</w:t>
            </w:r>
          </w:p>
        </w:tc>
        <w:tc>
          <w:tcPr>
            <w:tcW w:w="84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0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w w:val="99"/>
              </w:rPr>
              <w:t>FORM 10-Q</w:t>
            </w:r>
          </w:p>
        </w:tc>
        <w:tc>
          <w:tcPr>
            <w:tcW w:w="84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40" w:type="dxa"/>
            <w:vAlign w:val="bottom"/>
            <w:gridSpan w:val="7"/>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4"/>
                <w:szCs w:val="24"/>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Page(s)</w:t>
            </w:r>
          </w:p>
        </w:tc>
      </w:tr>
      <w:tr>
        <w:trPr>
          <w:trHeight w:val="196"/>
        </w:trPr>
        <w:tc>
          <w:tcPr>
            <w:tcW w:w="10400" w:type="dxa"/>
            <w:vAlign w:val="bottom"/>
            <w:gridSpan w:val="21"/>
            <w:shd w:val="clear" w:color="auto" w:fill="CCEEFF"/>
          </w:tcPr>
          <w:p>
            <w:pPr>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84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560" w:type="dxa"/>
            <w:vAlign w:val="bottom"/>
            <w:gridSpan w:val="2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560" w:type="dxa"/>
            <w:vAlign w:val="bottom"/>
            <w:gridSpan w:val="20"/>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Loss</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5840" w:type="dxa"/>
            <w:vAlign w:val="bottom"/>
            <w:tcBorders>
              <w:bottom w:val="single" w:sz="8" w:color="CCEEFF"/>
            </w:tcBorders>
            <w:gridSpan w:val="7"/>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840" w:type="dxa"/>
            <w:vAlign w:val="bottom"/>
          </w:tcPr>
          <w:p>
            <w:pPr>
              <w:spacing w:after="0"/>
              <w:rPr>
                <w:sz w:val="15"/>
                <w:szCs w:val="15"/>
                <w:color w:val="auto"/>
              </w:rPr>
            </w:pPr>
          </w:p>
        </w:tc>
        <w:tc>
          <w:tcPr>
            <w:tcW w:w="9560" w:type="dxa"/>
            <w:vAlign w:val="bottom"/>
            <w:gridSpan w:val="20"/>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Changes in Stockholders’ Equity</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Notes to the Condensed Consolidated Financial Statements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Controls and Procedures</w:t>
              </w:r>
            </w:hyperlink>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1040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84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560" w:type="dxa"/>
            <w:vAlign w:val="bottom"/>
            <w:gridSpan w:val="20"/>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6"/>
        </w:trPr>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1040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439"/>
        </w:trPr>
        <w:tc>
          <w:tcPr>
            <w:tcW w:w="8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180" w:type="dxa"/>
            <w:vAlign w:val="bottom"/>
            <w:tcBorders>
              <w:top w:val="single" w:sz="8" w:color="CCEEFF"/>
              <w:bottom w:val="single" w:sz="8" w:color="auto"/>
            </w:tcBorders>
            <w:gridSpan w:val="3"/>
          </w:tcPr>
          <w:p>
            <w:pPr>
              <w:jc w:val="center"/>
              <w:ind w:right="4380"/>
              <w:spacing w:after="0"/>
              <w:rPr>
                <w:sz w:val="20"/>
                <w:szCs w:val="20"/>
                <w:color w:val="auto"/>
              </w:rPr>
            </w:pPr>
            <w:r>
              <w:rPr>
                <w:rFonts w:ascii="Arial" w:cs="Arial" w:eastAsia="Arial" w:hAnsi="Arial"/>
                <w:sz w:val="18"/>
                <w:szCs w:val="18"/>
                <w:color w:val="auto"/>
                <w:w w:val="98"/>
              </w:rPr>
              <w:t>i</w:t>
            </w:r>
          </w:p>
        </w:tc>
        <w:tc>
          <w:tcPr>
            <w:tcW w:w="8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duration and severity of the COVID-19 pandemic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2020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 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Celsion brand and product names, including but not limited to Celsion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0" w:type="dxa"/>
            <w:vAlign w:val="bottom"/>
            <w:gridSpan w:val="3"/>
          </w:tcPr>
          <w:p>
            <w:pPr>
              <w:jc w:val="center"/>
              <w:ind w:left="3950"/>
              <w:spacing w:after="0"/>
              <w:rPr>
                <w:sz w:val="20"/>
                <w:szCs w:val="20"/>
                <w:color w:val="auto"/>
              </w:rPr>
            </w:pPr>
            <w:r>
              <w:rPr>
                <w:rFonts w:ascii="Arial" w:cs="Arial" w:eastAsia="Arial" w:hAnsi="Arial"/>
                <w:sz w:val="18"/>
                <w:szCs w:val="18"/>
                <w:b w:val="1"/>
                <w:bCs w:val="1"/>
                <w:color w:val="auto"/>
              </w:rPr>
              <w:t>PART I: FINANCIAL INFORMATION</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September 30, 2021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December 31, 2020</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25,648,849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17,164,177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28,864,364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on investment in debt securities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960" w:type="dxa"/>
            <w:vAlign w:val="bottom"/>
          </w:tcPr>
          <w:p>
            <w:pPr>
              <w:ind w:left="18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2,213,262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1,660,695</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56,764,879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18,824,872</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Property and equipment (at cost, less accumulated depreciation and amortization)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486,022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294,551</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investments, restricted cash</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Deferred income tax asset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1,845,823</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13,366,234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1,976,101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816,520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1,047,336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113,660</w:t>
            </w:r>
          </w:p>
        </w:tc>
      </w:tr>
      <w:tr>
        <w:trPr>
          <w:trHeight w:val="22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58,761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58,761</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22,217,616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18,407,915</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79,468,517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37,527,338</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06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210"/>
              <w:spacing w:after="0"/>
              <w:rPr>
                <w:sz w:val="20"/>
                <w:szCs w:val="20"/>
                <w:color w:val="auto"/>
              </w:rPr>
            </w:pPr>
            <w:r>
              <w:rPr>
                <w:rFonts w:ascii="Arial" w:cs="Arial" w:eastAsia="Arial" w:hAnsi="Arial"/>
                <w:sz w:val="18"/>
                <w:szCs w:val="18"/>
                <w:color w:val="auto"/>
                <w:w w:val="99"/>
              </w:rPr>
              <w:t>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(Continued)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September 30, 2021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December 31, 2020</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2,615,992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2,244,847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2,824,788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2,458,532</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 current portion, net of deferred financing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1,116,663</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Operating lease liability - 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534,256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433,413</w:t>
            </w:r>
          </w:p>
        </w:tc>
      </w:tr>
      <w:tr>
        <w:trPr>
          <w:trHeight w:val="23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69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6,475,036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6,753,455</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Earn-out milestone liability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7,345,000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7,018,000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 non-current portion, net of deferred financing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5,808,774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3,934,497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Operating lease liability - non-current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373,526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710,305</w:t>
            </w:r>
          </w:p>
        </w:tc>
      </w:tr>
      <w:tr>
        <w:trPr>
          <w:trHeight w:val="23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20,127,336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18,916,257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w w:val="97"/>
              </w:rPr>
              <w:t>Preferred Stock - $0.01 par value (100,000 shares authorized, and no shares issued or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outstanding at September 30, 2021 and December 31, 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 $0.01 par value (112,500,000 shares authorized; 86,558,070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40,701,356 shares issued at September 30, 2021 and December 31, 2020, respectively, 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86,557,736 and 40,701,022 shares outstanding at September 30, 2021 and December 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865,581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407,014</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387,106,934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330,289,596</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(328,548,285)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(312,000,341)</w:t>
            </w: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 before treasury stock</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59,426,369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18,696,269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(334 shares at September 30, 2021 and December 31, 2020)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(85,188)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(85,188)</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59,341,181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18,611,081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79,468,517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37,527,338</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210"/>
              <w:spacing w:after="0"/>
              <w:rPr>
                <w:sz w:val="20"/>
                <w:szCs w:val="20"/>
                <w:color w:val="auto"/>
              </w:rPr>
            </w:pPr>
            <w:r>
              <w:rPr>
                <w:rFonts w:ascii="Arial" w:cs="Arial" w:eastAsia="Arial" w:hAnsi="Arial"/>
                <w:sz w:val="18"/>
                <w:szCs w:val="18"/>
                <w:color w:val="auto"/>
                <w:w w:val="99"/>
              </w:rPr>
              <w:t>2</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5"/>
          </w:tcPr>
          <w:p>
            <w:pPr>
              <w:jc w:val="center"/>
              <w:ind w:left="4390"/>
              <w:spacing w:after="0"/>
              <w:rPr>
                <w:sz w:val="20"/>
                <w:szCs w:val="20"/>
                <w:color w:val="auto"/>
              </w:rPr>
            </w:pPr>
            <w:r>
              <w:rPr>
                <w:rFonts w:ascii="Arial" w:cs="Arial" w:eastAsia="Arial" w:hAnsi="Arial"/>
                <w:sz w:val="18"/>
                <w:szCs w:val="18"/>
                <w:b w:val="1"/>
                <w:bCs w:val="1"/>
                <w:color w:val="auto"/>
                <w:w w:val="99"/>
              </w:rPr>
              <w:t>CELSION CORPORATION</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gridSpan w:val="7"/>
          </w:tcPr>
          <w:p>
            <w:pPr>
              <w:jc w:val="center"/>
              <w:ind w:left="3970"/>
              <w:spacing w:after="0"/>
              <w:rPr>
                <w:sz w:val="20"/>
                <w:szCs w:val="20"/>
                <w:color w:val="auto"/>
              </w:rPr>
            </w:pPr>
            <w:r>
              <w:rPr>
                <w:rFonts w:ascii="Arial" w:cs="Arial" w:eastAsia="Arial" w:hAnsi="Arial"/>
                <w:sz w:val="18"/>
                <w:szCs w:val="18"/>
                <w:b w:val="1"/>
                <w:bCs w:val="1"/>
                <w:color w:val="auto"/>
                <w:w w:val="99"/>
              </w:rPr>
              <w:t>CONDENSED CONSOLIDATED</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0" w:type="dxa"/>
            <w:vAlign w:val="bottom"/>
            <w:gridSpan w:val="7"/>
          </w:tcPr>
          <w:p>
            <w:pPr>
              <w:jc w:val="center"/>
              <w:ind w:left="3950"/>
              <w:spacing w:after="0"/>
              <w:rPr>
                <w:sz w:val="20"/>
                <w:szCs w:val="20"/>
                <w:color w:val="auto"/>
              </w:rPr>
            </w:pPr>
            <w:r>
              <w:rPr>
                <w:rFonts w:ascii="Arial" w:cs="Arial" w:eastAsia="Arial" w:hAnsi="Arial"/>
                <w:sz w:val="18"/>
                <w:szCs w:val="18"/>
                <w:b w:val="1"/>
                <w:bCs w:val="1"/>
                <w:color w:val="auto"/>
                <w:w w:val="98"/>
              </w:rPr>
              <w:t>STATEMENTS OF OPERATIONS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1880" w:type="dxa"/>
            <w:vAlign w:val="bottom"/>
            <w:gridSpan w:val="4"/>
          </w:tcPr>
          <w:p>
            <w:pPr>
              <w:jc w:val="center"/>
              <w:ind w:right="321"/>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6"/>
          </w:tcPr>
          <w:p>
            <w:pPr>
              <w:jc w:val="right"/>
              <w:ind w:right="861"/>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660" w:type="dxa"/>
            <w:vAlign w:val="bottom"/>
            <w:gridSpan w:val="6"/>
          </w:tcPr>
          <w:p>
            <w:pPr>
              <w:jc w:val="right"/>
              <w:ind w:right="641"/>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jc w:val="right"/>
              <w:ind w:right="861"/>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125,000</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375,000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375,000</w:t>
            </w:r>
          </w:p>
        </w:tc>
      </w:tr>
      <w:tr>
        <w:trPr>
          <w:trHeight w:val="216"/>
        </w:trPr>
        <w:tc>
          <w:tcPr>
            <w:tcW w:w="48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2,468,066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w w:val="99"/>
              </w:rPr>
              <w:t>2,491,696</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7,633,051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8,534,606</w:t>
            </w:r>
          </w:p>
        </w:tc>
      </w:tr>
      <w:tr>
        <w:trPr>
          <w:trHeight w:val="24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2,718,510</w:t>
            </w: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9"/>
              </w:rPr>
              <w:t>1,792,904</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8,258,271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5,532,946</w:t>
            </w:r>
          </w:p>
        </w:tc>
      </w:tr>
      <w:tr>
        <w:trPr>
          <w:trHeight w:val="210"/>
        </w:trPr>
        <w:tc>
          <w:tcPr>
            <w:tcW w:w="48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5,186,576</w:t>
            </w:r>
          </w:p>
        </w:tc>
        <w:tc>
          <w:tcPr>
            <w:tcW w:w="3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4,284,600</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15,891,322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14,067,552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(5,061,576)</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w w:val="93"/>
              </w:rPr>
              <w:t>(4,159,600)</w:t>
            </w:r>
          </w:p>
        </w:tc>
        <w:tc>
          <w:tcPr>
            <w:tcW w:w="22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(15,516,322)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(13,692,552)</w:t>
            </w:r>
          </w:p>
        </w:tc>
      </w:tr>
      <w:tr>
        <w:trPr>
          <w:trHeight w:val="216"/>
        </w:trPr>
        <w:tc>
          <w:tcPr>
            <w:tcW w:w="4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Loss from change in fair-value of earn-out milestone liability</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(257,000)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3"/>
              </w:rPr>
              <w:t>(1,099,721)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(327,000)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(1,397,291)</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w w:val="93"/>
              </w:rPr>
              <w:t>(2,370,257)</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(2,370,257)</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3,552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10,114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119,383</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(95,520)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(450,732)</w:t>
            </w:r>
          </w:p>
        </w:tc>
        <w:tc>
          <w:tcPr>
            <w:tcW w:w="2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(474,361)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(1,130,699)</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loss on extinguishment of debt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(234,419)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r>
      <w:tr>
        <w:trPr>
          <w:trHeight w:val="223"/>
        </w:trPr>
        <w:tc>
          <w:tcPr>
            <w:tcW w:w="4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income, net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(348,968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(3,911,996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(1,031,622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(4,778,857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(5,410,544)</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3"/>
              </w:rPr>
              <w:t>(8,071,596)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(16,547,944)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(18,471,409)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83"/>
        </w:trPr>
        <w:tc>
          <w:tcPr>
            <w:tcW w:w="48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(0.24)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(0.21)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(0.62)</w:t>
            </w:r>
          </w:p>
        </w:tc>
      </w:tr>
      <w:tr>
        <w:trPr>
          <w:trHeight w:val="197"/>
        </w:trPr>
        <w:tc>
          <w:tcPr>
            <w:tcW w:w="48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86,557,736</w:t>
            </w: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8"/>
              </w:rPr>
              <w:t>34,112,254</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79,667,613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29,934,764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140" w:type="dxa"/>
            <w:vAlign w:val="bottom"/>
            <w:gridSpan w:val="4"/>
          </w:tcPr>
          <w:p>
            <w:pPr>
              <w:jc w:val="center"/>
              <w:ind w:left="770"/>
              <w:spacing w:after="0"/>
              <w:rPr>
                <w:sz w:val="20"/>
                <w:szCs w:val="20"/>
                <w:color w:val="auto"/>
              </w:rPr>
            </w:pPr>
            <w:r>
              <w:rPr>
                <w:rFonts w:ascii="Arial" w:cs="Arial" w:eastAsia="Arial" w:hAnsi="Arial"/>
                <w:sz w:val="18"/>
                <w:szCs w:val="18"/>
                <w:b w:val="1"/>
                <w:bCs w:val="1"/>
                <w:color w:val="auto"/>
                <w:w w:val="99"/>
              </w:rPr>
              <w:t>CELSION CORPORATION</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58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9"/>
              </w:rPr>
              <w:t>CONDENSED CONSOLIDATED</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4740" w:type="dxa"/>
            <w:vAlign w:val="bottom"/>
            <w:gridSpan w:val="8"/>
          </w:tcPr>
          <w:p>
            <w:pPr>
              <w:jc w:val="center"/>
              <w:ind w:right="720"/>
              <w:spacing w:after="0"/>
              <w:rPr>
                <w:sz w:val="20"/>
                <w:szCs w:val="20"/>
                <w:color w:val="auto"/>
              </w:rPr>
            </w:pPr>
            <w:r>
              <w:rPr>
                <w:rFonts w:ascii="Arial" w:cs="Arial" w:eastAsia="Arial" w:hAnsi="Arial"/>
                <w:sz w:val="18"/>
                <w:szCs w:val="18"/>
                <w:b w:val="1"/>
                <w:bCs w:val="1"/>
                <w:color w:val="auto"/>
                <w:w w:val="99"/>
              </w:rPr>
              <w:t>STATEMENTS OF COMPREHENSIVE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3140" w:type="dxa"/>
            <w:vAlign w:val="bottom"/>
            <w:gridSpan w:val="4"/>
          </w:tcPr>
          <w:p>
            <w:pPr>
              <w:jc w:val="center"/>
              <w:ind w:left="770"/>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6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3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362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3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gain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440" w:type="dxa"/>
            <w:vAlign w:val="bottom"/>
            <w:gridSpan w:val="3"/>
          </w:tcPr>
          <w:p>
            <w:pPr>
              <w:spacing w:after="0" w:line="201" w:lineRule="exact"/>
              <w:rPr>
                <w:sz w:val="20"/>
                <w:szCs w:val="20"/>
                <w:color w:val="auto"/>
              </w:rPr>
            </w:pPr>
            <w:r>
              <w:rPr>
                <w:rFonts w:ascii="Arial" w:cs="Arial" w:eastAsia="Arial" w:hAnsi="Arial"/>
                <w:sz w:val="18"/>
                <w:szCs w:val="18"/>
                <w:color w:val="auto"/>
              </w:rPr>
              <w:t>Realized (gains) losses on debt securities recognized in investment</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income, net</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2,736</w:t>
            </w: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(7,257)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(53,354)</w:t>
            </w:r>
          </w:p>
        </w:tc>
      </w:tr>
      <w:tr>
        <w:trPr>
          <w:trHeight w:val="23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3"/>
              </w:rPr>
              <w:t>Unrealized (losses) gains on debt securities, net</w:t>
            </w:r>
          </w:p>
        </w:tc>
        <w:tc>
          <w:tcPr>
            <w:tcW w:w="1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3,173</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10,576</w:t>
            </w:r>
          </w:p>
        </w:tc>
      </w:tr>
      <w:tr>
        <w:trPr>
          <w:trHeight w:val="216"/>
        </w:trPr>
        <w:tc>
          <w:tcPr>
            <w:tcW w:w="36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5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unrealized (losses) gains on available for sale securities,</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1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5,909</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(7,866)</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(42,778)</w:t>
            </w:r>
          </w:p>
        </w:tc>
      </w:tr>
      <w:tr>
        <w:trPr>
          <w:trHeight w:val="216"/>
        </w:trPr>
        <w:tc>
          <w:tcPr>
            <w:tcW w:w="3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(5,410,544)</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(8,071,596)</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(16,547,944)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(18,471,409)</w:t>
            </w:r>
          </w:p>
        </w:tc>
      </w:tr>
      <w:tr>
        <w:trPr>
          <w:trHeight w:val="216"/>
        </w:trPr>
        <w:tc>
          <w:tcPr>
            <w:tcW w:w="36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(5,404,635)</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(8,079,462)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(16,545,805)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(18,514,187)</w:t>
            </w:r>
          </w:p>
        </w:tc>
      </w:tr>
      <w:tr>
        <w:trPr>
          <w:trHeight w:val="20"/>
        </w:trPr>
        <w:tc>
          <w:tcPr>
            <w:tcW w:w="520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620" w:type="dxa"/>
            <w:vAlign w:val="bottom"/>
            <w:gridSpan w:val="10"/>
          </w:tcPr>
          <w:p>
            <w:pPr>
              <w:jc w:val="center"/>
              <w:ind w:left="255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20" w:type="dxa"/>
            <w:vAlign w:val="bottom"/>
            <w:gridSpan w:val="3"/>
          </w:tcPr>
          <w:p>
            <w:pPr>
              <w:jc w:val="center"/>
              <w:ind w:left="3750"/>
              <w:spacing w:after="0"/>
              <w:rPr>
                <w:sz w:val="20"/>
                <w:szCs w:val="20"/>
                <w:color w:val="auto"/>
              </w:rPr>
            </w:pPr>
            <w:r>
              <w:rPr>
                <w:rFonts w:ascii="Arial" w:cs="Arial" w:eastAsia="Arial" w:hAnsi="Arial"/>
                <w:sz w:val="18"/>
                <w:szCs w:val="18"/>
                <w:b w:val="1"/>
                <w:bCs w:val="1"/>
                <w:color w:val="auto"/>
                <w:w w:val="98"/>
              </w:rPr>
              <w:t>STATEMENTS OF CASH FLOWS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Nine Months Ended</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(16,547,944)</w:t>
            </w:r>
          </w:p>
        </w:tc>
        <w:tc>
          <w:tcPr>
            <w:tcW w:w="70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(18,471,409)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542,740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572,065</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milestone liability</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327,000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1,397,291</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(375,000)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(375,000)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costs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3,073,569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1,448,202</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Deferred income tax asset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1,845,823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1,819,324</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2,370,257</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4"/>
              </w:rPr>
              <w:t>Amortization of deferred finance charges and debt discount associated with notes payable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191,571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439,786</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warrants issued in exchange for services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44,798</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Net changes in: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on investment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(38,404)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Advances, deposits, and other current assets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(552,567)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(286,991)</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397,701</w:t>
            </w: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(866,748)</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used in operating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(11,135,511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(11,887,056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(40,862,225)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(9,956,892)</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sale and maturity of investment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12,000,000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17,900,000</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(285,971)</w:t>
            </w: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(13,918)</w:t>
            </w:r>
          </w:p>
        </w:tc>
      </w:tr>
      <w:tr>
        <w:trPr>
          <w:trHeight w:val="210"/>
        </w:trPr>
        <w:tc>
          <w:tcPr>
            <w:tcW w:w="69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(29,148,196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7,929,190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equity, net of issuance costs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52,688,945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20,250,426</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upon conversion of stock warrants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1,508,666</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upon conversion of stock options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4,725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371,895</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the SVB Loan Facility, net of issuance costs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5,756,630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Payoff of the Horizon Credit Agreement and accrued end of term fees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(5,190,587)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(5,200,000)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Payroll Protection Program (PPP) loans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1,324,750</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Payroll Protection Program (PPP) loans</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(1,324,750)</w:t>
            </w:r>
          </w:p>
        </w:tc>
      </w:tr>
      <w:tr>
        <w:trPr>
          <w:trHeight w:val="210"/>
        </w:trPr>
        <w:tc>
          <w:tcPr>
            <w:tcW w:w="69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54,768,379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15,422,321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Change in cash, cash equivalents and restricted cash</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14,484,672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11,464,455</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17,164,177</w:t>
            </w: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6,875,273</w:t>
            </w:r>
          </w:p>
        </w:tc>
        <w:tc>
          <w:tcPr>
            <w:tcW w:w="80" w:type="dxa"/>
            <w:vAlign w:val="bottom"/>
            <w:shd w:val="clear" w:color="auto" w:fill="CCEEFF"/>
          </w:tcPr>
          <w:p>
            <w:pPr>
              <w:spacing w:after="0"/>
              <w:rPr>
                <w:sz w:val="21"/>
                <w:szCs w:val="21"/>
                <w:color w:val="auto"/>
              </w:rPr>
            </w:pPr>
          </w:p>
        </w:tc>
      </w:tr>
      <w:tr>
        <w:trPr>
          <w:trHeight w:val="216"/>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31,648,849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18,339,728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6"/>
              </w:rPr>
              <w:t>STATEMENTS OF CASH FLOWS (continued)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Nine Months Ended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60" w:type="dxa"/>
            <w:vAlign w:val="bottom"/>
          </w:tcPr>
          <w:p>
            <w:pPr>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(307,985)</w:t>
            </w: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(685,913)</w:t>
            </w:r>
          </w:p>
        </w:tc>
      </w:tr>
      <w:tr>
        <w:trPr>
          <w:trHeight w:val="197"/>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lease payments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418,696</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393,947</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to settle accrued bonuses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498,632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issued in connection with debt facility, net of cancelled warrants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81,102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(losses), net, on investment securities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2,139</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(42,778)</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210"/>
              <w:spacing w:after="0"/>
              <w:rPr>
                <w:sz w:val="20"/>
                <w:szCs w:val="20"/>
                <w:color w:val="auto"/>
              </w:rPr>
            </w:pPr>
            <w:r>
              <w:rPr>
                <w:rFonts w:ascii="Arial" w:cs="Arial" w:eastAsia="Arial" w:hAnsi="Arial"/>
                <w:sz w:val="18"/>
                <w:szCs w:val="18"/>
                <w:color w:val="auto"/>
                <w:w w:val="99"/>
              </w:rPr>
              <w:t>6</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2021 AND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5"/>
            <w:vMerge w:val="restart"/>
          </w:tcPr>
          <w:p>
            <w:pPr>
              <w:jc w:val="center"/>
              <w:ind w:right="140"/>
              <w:spacing w:after="0"/>
              <w:rPr>
                <w:sz w:val="20"/>
                <w:szCs w:val="20"/>
                <w:color w:val="auto"/>
              </w:rPr>
            </w:pPr>
            <w:r>
              <w:rPr>
                <w:rFonts w:ascii="Arial" w:cs="Arial" w:eastAsia="Arial" w:hAnsi="Arial"/>
                <w:sz w:val="16"/>
                <w:szCs w:val="16"/>
                <w:b w:val="1"/>
                <w:bCs w:val="1"/>
                <w:color w:val="auto"/>
                <w:w w:val="90"/>
              </w:rPr>
              <w:t>Common Stock</w:t>
            </w:r>
          </w:p>
        </w:tc>
        <w:tc>
          <w:tcPr>
            <w:tcW w:w="12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6"/>
                <w:szCs w:val="16"/>
                <w:color w:val="auto"/>
                <w:w w:val="92"/>
              </w:rPr>
              <w:t>Accumulated</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Other</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ind w:left="740"/>
              <w:spacing w:after="0"/>
              <w:rPr>
                <w:sz w:val="20"/>
                <w:szCs w:val="20"/>
                <w:color w:val="auto"/>
              </w:rPr>
            </w:pPr>
            <w:r>
              <w:rPr>
                <w:rFonts w:ascii="Arial" w:cs="Arial" w:eastAsia="Arial" w:hAnsi="Arial"/>
                <w:sz w:val="16"/>
                <w:szCs w:val="16"/>
                <w:color w:val="auto"/>
              </w:rPr>
              <w:t>Three Months Ended</w:t>
            </w: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 in</w:t>
            </w:r>
          </w:p>
        </w:tc>
        <w:tc>
          <w:tcPr>
            <w:tcW w:w="14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color w:val="auto"/>
              </w:rPr>
              <w:t>Treasury Stock</w:t>
            </w:r>
          </w:p>
        </w:tc>
        <w:tc>
          <w:tcPr>
            <w:tcW w:w="260" w:type="dxa"/>
            <w:vAlign w:val="bottom"/>
          </w:tcPr>
          <w:p>
            <w:pPr>
              <w:spacing w:after="0"/>
              <w:rPr>
                <w:sz w:val="19"/>
                <w:szCs w:val="19"/>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6"/>
                <w:szCs w:val="16"/>
                <w:color w:val="auto"/>
                <w:w w:val="89"/>
              </w:rPr>
              <w:t>Comprehensive</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Accumulated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6"/>
                <w:szCs w:val="16"/>
                <w:color w:val="auto"/>
              </w:rPr>
              <w:t>September 30, 2021</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Capital</w:t>
            </w: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Shares</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Income</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color w:val="auto"/>
              </w:rPr>
              <w:t>Deficit</w:t>
            </w: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3"/>
        </w:trPr>
        <w:tc>
          <w:tcPr>
            <w:tcW w:w="2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July 1, 2021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86,557,736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$ 865,581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$ 386,414,630</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 (85,188)</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(3,770)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8"/>
              </w:rPr>
              <w:t>$ (323,137,741)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$ 64,053,512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(5,410,544)</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(5,410,544)</w:t>
            </w:r>
          </w:p>
        </w:tc>
        <w:tc>
          <w:tcPr>
            <w:tcW w:w="0" w:type="dxa"/>
            <w:vAlign w:val="bottom"/>
          </w:tcPr>
          <w:p>
            <w:pPr>
              <w:spacing w:after="0"/>
              <w:rPr>
                <w:sz w:val="1"/>
                <w:szCs w:val="1"/>
                <w:color w:val="auto"/>
              </w:rPr>
            </w:pPr>
          </w:p>
        </w:tc>
      </w:tr>
      <w:tr>
        <w:trPr>
          <w:trHeight w:val="193"/>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 of equity through equity financing</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facilities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(8,320)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(8,320)</w:t>
            </w:r>
          </w:p>
        </w:tc>
        <w:tc>
          <w:tcPr>
            <w:tcW w:w="0" w:type="dxa"/>
            <w:vAlign w:val="bottom"/>
          </w:tcPr>
          <w:p>
            <w:pPr>
              <w:spacing w:after="0"/>
              <w:rPr>
                <w:sz w:val="1"/>
                <w:szCs w:val="1"/>
                <w:color w:val="auto"/>
              </w:rPr>
            </w:pPr>
          </w:p>
        </w:tc>
      </w:tr>
      <w:tr>
        <w:trPr>
          <w:trHeight w:val="193"/>
        </w:trPr>
        <w:tc>
          <w:tcPr>
            <w:tcW w:w="3020" w:type="dxa"/>
            <w:vAlign w:val="bottom"/>
            <w:gridSpan w:val="2"/>
          </w:tcPr>
          <w:p>
            <w:pPr>
              <w:spacing w:after="0"/>
              <w:rPr>
                <w:sz w:val="20"/>
                <w:szCs w:val="20"/>
                <w:color w:val="auto"/>
              </w:rPr>
            </w:pPr>
            <w:r>
              <w:rPr>
                <w:rFonts w:ascii="Arial" w:cs="Arial" w:eastAsia="Arial" w:hAnsi="Arial"/>
                <w:sz w:val="16"/>
                <w:szCs w:val="16"/>
                <w:color w:val="auto"/>
              </w:rPr>
              <w:t>Realized and unrealized gains and losses,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spacing w:after="0"/>
              <w:rPr>
                <w:sz w:val="20"/>
                <w:szCs w:val="20"/>
                <w:color w:val="auto"/>
              </w:rPr>
            </w:pPr>
            <w:r>
              <w:rPr>
                <w:rFonts w:ascii="Arial" w:cs="Arial" w:eastAsia="Arial" w:hAnsi="Arial"/>
                <w:sz w:val="16"/>
                <w:szCs w:val="16"/>
                <w:color w:val="auto"/>
              </w:rPr>
              <w:t>net, on investments securities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5,909</w:t>
            </w: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700,624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Balance at September 30, 2021</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8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60"/>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vMerge w:val="continue"/>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86,557,736</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$ 865,581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w w:val="99"/>
              </w:rPr>
              <w:t>$ 387,106,934</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334</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8"/>
              </w:rPr>
              <w:t>$ (85,188</w:t>
            </w:r>
          </w:p>
        </w:tc>
        <w:tc>
          <w:tcPr>
            <w:tcW w:w="260" w:type="dxa"/>
            <w:vAlign w:val="bottom"/>
            <w:vMerge w:val="continue"/>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2,139</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89"/>
              </w:rPr>
              <w:t>$ (328,548,285</w:t>
            </w:r>
          </w:p>
        </w:tc>
        <w:tc>
          <w:tcPr>
            <w:tcW w:w="24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7"/>
              </w:rPr>
              <w:t>$ 59,341,181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5"/>
            <w:vMerge w:val="restart"/>
          </w:tcPr>
          <w:p>
            <w:pPr>
              <w:jc w:val="center"/>
              <w:ind w:right="140"/>
              <w:spacing w:after="0"/>
              <w:rPr>
                <w:sz w:val="20"/>
                <w:szCs w:val="20"/>
                <w:color w:val="auto"/>
              </w:rPr>
            </w:pPr>
            <w:r>
              <w:rPr>
                <w:rFonts w:ascii="Arial" w:cs="Arial" w:eastAsia="Arial" w:hAnsi="Arial"/>
                <w:sz w:val="16"/>
                <w:szCs w:val="16"/>
                <w:b w:val="1"/>
                <w:bCs w:val="1"/>
                <w:color w:val="auto"/>
                <w:w w:val="90"/>
              </w:rPr>
              <w:t>Common Stock</w:t>
            </w:r>
          </w:p>
        </w:tc>
        <w:tc>
          <w:tcPr>
            <w:tcW w:w="12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6"/>
                <w:szCs w:val="16"/>
                <w:color w:val="auto"/>
                <w:w w:val="92"/>
              </w:rPr>
              <w:t>Accumulated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Other</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ind w:left="740"/>
              <w:spacing w:after="0"/>
              <w:rPr>
                <w:sz w:val="20"/>
                <w:szCs w:val="20"/>
                <w:color w:val="auto"/>
              </w:rPr>
            </w:pPr>
            <w:r>
              <w:rPr>
                <w:rFonts w:ascii="Arial" w:cs="Arial" w:eastAsia="Arial" w:hAnsi="Arial"/>
                <w:sz w:val="16"/>
                <w:szCs w:val="16"/>
                <w:color w:val="auto"/>
              </w:rPr>
              <w:t>Three Months Ended</w:t>
            </w: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 in</w:t>
            </w:r>
          </w:p>
        </w:tc>
        <w:tc>
          <w:tcPr>
            <w:tcW w:w="14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color w:val="auto"/>
              </w:rPr>
              <w:t>Treasury Stock</w:t>
            </w:r>
          </w:p>
        </w:tc>
        <w:tc>
          <w:tcPr>
            <w:tcW w:w="260" w:type="dxa"/>
            <w:vAlign w:val="bottom"/>
          </w:tcPr>
          <w:p>
            <w:pPr>
              <w:spacing w:after="0"/>
              <w:rPr>
                <w:sz w:val="19"/>
                <w:szCs w:val="19"/>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6"/>
                <w:szCs w:val="16"/>
                <w:color w:val="auto"/>
                <w:w w:val="89"/>
              </w:rPr>
              <w:t>Comprehensive</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Accumulated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6"/>
                <w:szCs w:val="16"/>
                <w:color w:val="auto"/>
              </w:rPr>
              <w:t>September 30, 2020</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Capital</w:t>
            </w: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Shares</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Income</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color w:val="auto"/>
              </w:rPr>
              <w:t>Deficit</w:t>
            </w: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3"/>
        </w:trPr>
        <w:tc>
          <w:tcPr>
            <w:tcW w:w="2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July 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33,229,380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$ 332,297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$ 324,869,780</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 (85,188)</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7,866</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8"/>
              </w:rPr>
              <w:t>$ (300,916,593)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$ 24,208,162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(8,071,596)</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(8,071,596)</w:t>
            </w:r>
          </w:p>
        </w:tc>
        <w:tc>
          <w:tcPr>
            <w:tcW w:w="0" w:type="dxa"/>
            <w:vAlign w:val="bottom"/>
          </w:tcPr>
          <w:p>
            <w:pPr>
              <w:spacing w:after="0"/>
              <w:rPr>
                <w:sz w:val="1"/>
                <w:szCs w:val="1"/>
                <w:color w:val="auto"/>
              </w:rPr>
            </w:pPr>
          </w:p>
        </w:tc>
      </w:tr>
      <w:tr>
        <w:trPr>
          <w:trHeight w:val="193"/>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 of equity through equity financing</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facilities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2,927,400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29,274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2,038,553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20" w:type="dxa"/>
            <w:vAlign w:val="bottom"/>
            <w:gridSpan w:val="2"/>
          </w:tcPr>
          <w:p>
            <w:pPr>
              <w:spacing w:after="0"/>
              <w:rPr>
                <w:sz w:val="20"/>
                <w:szCs w:val="20"/>
                <w:color w:val="auto"/>
              </w:rPr>
            </w:pPr>
            <w:r>
              <w:rPr>
                <w:rFonts w:ascii="Arial" w:cs="Arial" w:eastAsia="Arial" w:hAnsi="Arial"/>
                <w:sz w:val="16"/>
                <w:szCs w:val="16"/>
                <w:color w:val="auto"/>
                <w:w w:val="95"/>
              </w:rPr>
              <w:t>Common stock warrants issued in exchange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spacing w:after="0"/>
              <w:rPr>
                <w:sz w:val="20"/>
                <w:szCs w:val="20"/>
                <w:color w:val="auto"/>
              </w:rPr>
            </w:pPr>
            <w:r>
              <w:rPr>
                <w:rFonts w:ascii="Arial" w:cs="Arial" w:eastAsia="Arial" w:hAnsi="Arial"/>
                <w:sz w:val="16"/>
                <w:szCs w:val="16"/>
                <w:color w:val="auto"/>
              </w:rPr>
              <w:t>for services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44,798</w:t>
            </w: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020" w:type="dxa"/>
            <w:vAlign w:val="bottom"/>
            <w:gridSpan w:val="2"/>
          </w:tcPr>
          <w:p>
            <w:pPr>
              <w:spacing w:after="0"/>
              <w:rPr>
                <w:sz w:val="20"/>
                <w:szCs w:val="20"/>
                <w:color w:val="auto"/>
              </w:rPr>
            </w:pPr>
            <w:r>
              <w:rPr>
                <w:rFonts w:ascii="Arial" w:cs="Arial" w:eastAsia="Arial" w:hAnsi="Arial"/>
                <w:sz w:val="16"/>
                <w:szCs w:val="16"/>
                <w:color w:val="auto"/>
              </w:rPr>
              <w:t>Realized and unrealized gains and losses,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spacing w:after="0"/>
              <w:rPr>
                <w:sz w:val="20"/>
                <w:szCs w:val="20"/>
                <w:color w:val="auto"/>
              </w:rPr>
            </w:pPr>
            <w:r>
              <w:rPr>
                <w:rFonts w:ascii="Arial" w:cs="Arial" w:eastAsia="Arial" w:hAnsi="Arial"/>
                <w:sz w:val="16"/>
                <w:szCs w:val="16"/>
                <w:color w:val="auto"/>
              </w:rPr>
              <w:t>net, on investments securities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(7,866)</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(7,866)</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417,476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Balance at September 30, 2020</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8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60"/>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vMerge w:val="continue"/>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36,159,780</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$ 361,601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w w:val="99"/>
              </w:rPr>
              <w:t>$ 327,370,577</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334</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8"/>
              </w:rPr>
              <w:t>$ (85,188</w:t>
            </w:r>
          </w:p>
        </w:tc>
        <w:tc>
          <w:tcPr>
            <w:tcW w:w="260" w:type="dxa"/>
            <w:vAlign w:val="bottom"/>
            <w:vMerge w:val="continue"/>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w w:val="89"/>
              </w:rPr>
              <w:t>$ (308,988,189</w:t>
            </w:r>
          </w:p>
        </w:tc>
        <w:tc>
          <w:tcPr>
            <w:tcW w:w="24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7"/>
              </w:rPr>
              <w:t>$ 18,658,801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91"/>
              </w:rPr>
              <w:t>Common Stock</w:t>
            </w:r>
          </w:p>
        </w:tc>
        <w:tc>
          <w:tcPr>
            <w:tcW w:w="14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Accumulated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Other</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760"/>
              <w:spacing w:after="0"/>
              <w:rPr>
                <w:sz w:val="20"/>
                <w:szCs w:val="20"/>
                <w:color w:val="auto"/>
              </w:rPr>
            </w:pPr>
            <w:r>
              <w:rPr>
                <w:rFonts w:ascii="Arial" w:cs="Arial" w:eastAsia="Arial" w:hAnsi="Arial"/>
                <w:sz w:val="16"/>
                <w:szCs w:val="16"/>
                <w:color w:val="auto"/>
              </w:rPr>
              <w:t>Nine Months Ended</w:t>
            </w: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Paid in</w:t>
            </w:r>
          </w:p>
        </w:tc>
        <w:tc>
          <w:tcPr>
            <w:tcW w:w="14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Treasury Stock</w:t>
            </w:r>
          </w:p>
        </w:tc>
        <w:tc>
          <w:tcPr>
            <w:tcW w:w="260" w:type="dxa"/>
            <w:vAlign w:val="bottom"/>
          </w:tcPr>
          <w:p>
            <w:pPr>
              <w:spacing w:after="0"/>
              <w:rPr>
                <w:sz w:val="19"/>
                <w:szCs w:val="19"/>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color w:val="auto"/>
                <w:w w:val="91"/>
              </w:rPr>
              <w:t>Comprehensive</w:t>
            </w:r>
          </w:p>
        </w:tc>
        <w:tc>
          <w:tcPr>
            <w:tcW w:w="1240" w:type="dxa"/>
            <w:vAlign w:val="bottom"/>
            <w:gridSpan w:val="2"/>
          </w:tcPr>
          <w:p>
            <w:pPr>
              <w:jc w:val="center"/>
              <w:ind w:right="179"/>
              <w:spacing w:after="0"/>
              <w:rPr>
                <w:sz w:val="20"/>
                <w:szCs w:val="20"/>
                <w:color w:val="auto"/>
              </w:rPr>
            </w:pPr>
            <w:r>
              <w:rPr>
                <w:rFonts w:ascii="Arial" w:cs="Arial" w:eastAsia="Arial" w:hAnsi="Arial"/>
                <w:sz w:val="16"/>
                <w:szCs w:val="16"/>
                <w:color w:val="auto"/>
                <w:w w:val="92"/>
              </w:rPr>
              <w:t>Accumulated</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760"/>
              <w:spacing w:after="0"/>
              <w:rPr>
                <w:sz w:val="20"/>
                <w:szCs w:val="20"/>
                <w:color w:val="auto"/>
              </w:rPr>
            </w:pPr>
            <w:r>
              <w:rPr>
                <w:rFonts w:ascii="Arial" w:cs="Arial" w:eastAsia="Arial" w:hAnsi="Arial"/>
                <w:sz w:val="16"/>
                <w:szCs w:val="16"/>
                <w:color w:val="auto"/>
              </w:rPr>
              <w:t>September 30, 2021</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Capital</w:t>
            </w:r>
          </w:p>
        </w:tc>
        <w:tc>
          <w:tcPr>
            <w:tcW w:w="800" w:type="dxa"/>
            <w:vAlign w:val="bottom"/>
            <w:gridSpan w:val="2"/>
          </w:tcPr>
          <w:p>
            <w:pPr>
              <w:ind w:left="60"/>
              <w:spacing w:after="0"/>
              <w:rPr>
                <w:sz w:val="20"/>
                <w:szCs w:val="20"/>
                <w:color w:val="auto"/>
              </w:rPr>
            </w:pPr>
            <w:r>
              <w:rPr>
                <w:rFonts w:ascii="Arial" w:cs="Arial" w:eastAsia="Arial" w:hAnsi="Arial"/>
                <w:sz w:val="16"/>
                <w:szCs w:val="16"/>
                <w:color w:val="auto"/>
              </w:rPr>
              <w:t>Shares</w:t>
            </w:r>
          </w:p>
        </w:tc>
        <w:tc>
          <w:tcPr>
            <w:tcW w:w="860" w:type="dxa"/>
            <w:vAlign w:val="bottom"/>
            <w:gridSpan w:val="2"/>
          </w:tcPr>
          <w:p>
            <w:pPr>
              <w:jc w:val="right"/>
              <w:ind w:right="219"/>
              <w:spacing w:after="0"/>
              <w:rPr>
                <w:sz w:val="20"/>
                <w:szCs w:val="20"/>
                <w:color w:val="auto"/>
              </w:rPr>
            </w:pPr>
            <w:r>
              <w:rPr>
                <w:rFonts w:ascii="Arial" w:cs="Arial" w:eastAsia="Arial" w:hAnsi="Arial"/>
                <w:sz w:val="16"/>
                <w:szCs w:val="16"/>
                <w:color w:val="auto"/>
                <w:w w:val="97"/>
              </w:rPr>
              <w:t>Amount</w:t>
            </w:r>
          </w:p>
        </w:tc>
        <w:tc>
          <w:tcPr>
            <w:tcW w:w="16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Income</w:t>
            </w:r>
          </w:p>
        </w:tc>
        <w:tc>
          <w:tcPr>
            <w:tcW w:w="1240" w:type="dxa"/>
            <w:vAlign w:val="bottom"/>
            <w:gridSpan w:val="2"/>
          </w:tcPr>
          <w:p>
            <w:pPr>
              <w:jc w:val="center"/>
              <w:ind w:right="179"/>
              <w:spacing w:after="0"/>
              <w:rPr>
                <w:sz w:val="20"/>
                <w:szCs w:val="20"/>
                <w:color w:val="auto"/>
              </w:rPr>
            </w:pPr>
            <w:r>
              <w:rPr>
                <w:rFonts w:ascii="Arial" w:cs="Arial" w:eastAsia="Arial" w:hAnsi="Arial"/>
                <w:sz w:val="16"/>
                <w:szCs w:val="16"/>
                <w:color w:val="auto"/>
              </w:rPr>
              <w:t>Deficit</w:t>
            </w: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3"/>
        </w:trPr>
        <w:tc>
          <w:tcPr>
            <w:tcW w:w="2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January 1, 2021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40,701,022</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$ 407,014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$ 330,289,596</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7"/>
              </w:rPr>
              <w:t>$ (85,188)</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90"/>
              </w:rPr>
              <w:t>$ (312,000,341)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18,611,081</w:t>
            </w: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19"/>
              <w:spacing w:after="0"/>
              <w:rPr>
                <w:sz w:val="20"/>
                <w:szCs w:val="20"/>
                <w:color w:val="auto"/>
              </w:rPr>
            </w:pPr>
            <w:r>
              <w:rPr>
                <w:rFonts w:ascii="Arial" w:cs="Arial" w:eastAsia="Arial" w:hAnsi="Arial"/>
                <w:sz w:val="16"/>
                <w:szCs w:val="16"/>
                <w:color w:val="auto"/>
              </w:rPr>
              <w:t>(16,547,944)</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(16,547,944)</w:t>
            </w:r>
          </w:p>
        </w:tc>
        <w:tc>
          <w:tcPr>
            <w:tcW w:w="0" w:type="dxa"/>
            <w:vAlign w:val="bottom"/>
          </w:tcPr>
          <w:p>
            <w:pPr>
              <w:spacing w:after="0"/>
              <w:rPr>
                <w:sz w:val="1"/>
                <w:szCs w:val="1"/>
                <w:color w:val="auto"/>
              </w:rPr>
            </w:pPr>
          </w:p>
        </w:tc>
      </w:tr>
      <w:tr>
        <w:trPr>
          <w:trHeight w:val="19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 of equity through equity financing</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facilities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44,632,547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446,326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52,242,619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52,688,945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60" w:type="dxa"/>
            <w:vAlign w:val="bottom"/>
            <w:gridSpan w:val="2"/>
          </w:tcPr>
          <w:p>
            <w:pPr>
              <w:spacing w:after="0"/>
              <w:rPr>
                <w:sz w:val="20"/>
                <w:szCs w:val="20"/>
                <w:color w:val="auto"/>
              </w:rPr>
            </w:pPr>
            <w:r>
              <w:rPr>
                <w:rFonts w:ascii="Arial" w:cs="Arial" w:eastAsia="Arial" w:hAnsi="Arial"/>
                <w:sz w:val="16"/>
                <w:szCs w:val="16"/>
                <w:color w:val="auto"/>
              </w:rPr>
              <w:t>Shares issued upon exercise of common</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6"/>
                <w:szCs w:val="16"/>
                <w:color w:val="auto"/>
              </w:rPr>
              <w:t>stock warrants, net of fees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1,216,667</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12,166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1,496,500</w:t>
            </w: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1,508,666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Shares issued upon exercise of options to</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common stock</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60" w:type="dxa"/>
            <w:vAlign w:val="bottom"/>
            <w:gridSpan w:val="2"/>
          </w:tcPr>
          <w:p>
            <w:pPr>
              <w:spacing w:after="0"/>
              <w:rPr>
                <w:sz w:val="20"/>
                <w:szCs w:val="20"/>
                <w:color w:val="auto"/>
              </w:rPr>
            </w:pPr>
            <w:r>
              <w:rPr>
                <w:rFonts w:ascii="Arial" w:cs="Arial" w:eastAsia="Arial" w:hAnsi="Arial"/>
                <w:sz w:val="16"/>
                <w:szCs w:val="16"/>
                <w:color w:val="auto"/>
                <w:w w:val="98"/>
              </w:rPr>
              <w:t>Realized and unrealized gains and losses,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6"/>
                <w:szCs w:val="16"/>
                <w:color w:val="auto"/>
              </w:rPr>
              <w:t>net, on investments securities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2,139</w:t>
            </w:r>
          </w:p>
        </w:tc>
        <w:tc>
          <w:tcPr>
            <w:tcW w:w="260" w:type="dxa"/>
            <w:vAlign w:val="bottom"/>
          </w:tcPr>
          <w:p>
            <w:pPr>
              <w:spacing w:after="0"/>
              <w:rPr>
                <w:sz w:val="18"/>
                <w:szCs w:val="18"/>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3,073,569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Balance at September 30, 2021</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1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1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gridSpan w:val="2"/>
            <w:vMerge w:val="continue"/>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86,557,736</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$ 865,581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$ 387,106,934</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334</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5"/>
              </w:rPr>
              <w:t>$ (85,188</w:t>
            </w:r>
          </w:p>
        </w:tc>
        <w:tc>
          <w:tcPr>
            <w:tcW w:w="260" w:type="dxa"/>
            <w:vAlign w:val="bottom"/>
            <w:vMerge w:val="continue"/>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2,139</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89"/>
              </w:rPr>
              <w:t>$ (328,548,285</w:t>
            </w:r>
          </w:p>
        </w:tc>
        <w:tc>
          <w:tcPr>
            <w:tcW w:w="2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59,341,181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91"/>
              </w:rPr>
              <w:t>Common Stock</w:t>
            </w:r>
          </w:p>
        </w:tc>
        <w:tc>
          <w:tcPr>
            <w:tcW w:w="140" w:type="dxa"/>
            <w:vAlign w:val="bottom"/>
          </w:tcPr>
          <w:p>
            <w:pPr>
              <w:spacing w:after="0"/>
              <w:rPr>
                <w:sz w:val="24"/>
                <w:szCs w:val="2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Accumulated</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Other</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760"/>
              <w:spacing w:after="0"/>
              <w:rPr>
                <w:sz w:val="20"/>
                <w:szCs w:val="20"/>
                <w:color w:val="auto"/>
              </w:rPr>
            </w:pPr>
            <w:r>
              <w:rPr>
                <w:rFonts w:ascii="Arial" w:cs="Arial" w:eastAsia="Arial" w:hAnsi="Arial"/>
                <w:sz w:val="16"/>
                <w:szCs w:val="16"/>
                <w:color w:val="auto"/>
              </w:rPr>
              <w:t>Nine Months Ended</w:t>
            </w: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Paid in</w:t>
            </w:r>
          </w:p>
        </w:tc>
        <w:tc>
          <w:tcPr>
            <w:tcW w:w="14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Treasury Stock</w:t>
            </w:r>
          </w:p>
        </w:tc>
        <w:tc>
          <w:tcPr>
            <w:tcW w:w="260" w:type="dxa"/>
            <w:vAlign w:val="bottom"/>
          </w:tcPr>
          <w:p>
            <w:pPr>
              <w:spacing w:after="0"/>
              <w:rPr>
                <w:sz w:val="19"/>
                <w:szCs w:val="19"/>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color w:val="auto"/>
                <w:w w:val="91"/>
              </w:rPr>
              <w:t>Comprehensive</w:t>
            </w:r>
          </w:p>
        </w:tc>
        <w:tc>
          <w:tcPr>
            <w:tcW w:w="1240" w:type="dxa"/>
            <w:vAlign w:val="bottom"/>
            <w:gridSpan w:val="2"/>
          </w:tcPr>
          <w:p>
            <w:pPr>
              <w:jc w:val="center"/>
              <w:ind w:right="179"/>
              <w:spacing w:after="0"/>
              <w:rPr>
                <w:sz w:val="20"/>
                <w:szCs w:val="20"/>
                <w:color w:val="auto"/>
              </w:rPr>
            </w:pPr>
            <w:r>
              <w:rPr>
                <w:rFonts w:ascii="Arial" w:cs="Arial" w:eastAsia="Arial" w:hAnsi="Arial"/>
                <w:sz w:val="16"/>
                <w:szCs w:val="16"/>
                <w:color w:val="auto"/>
                <w:w w:val="92"/>
              </w:rPr>
              <w:t>Accumulated</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760"/>
              <w:spacing w:after="0"/>
              <w:rPr>
                <w:sz w:val="20"/>
                <w:szCs w:val="20"/>
                <w:color w:val="auto"/>
              </w:rPr>
            </w:pPr>
            <w:r>
              <w:rPr>
                <w:rFonts w:ascii="Arial" w:cs="Arial" w:eastAsia="Arial" w:hAnsi="Arial"/>
                <w:sz w:val="16"/>
                <w:szCs w:val="16"/>
                <w:color w:val="auto"/>
              </w:rPr>
              <w:t>September 30, 2020</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Capital</w:t>
            </w:r>
          </w:p>
        </w:tc>
        <w:tc>
          <w:tcPr>
            <w:tcW w:w="800" w:type="dxa"/>
            <w:vAlign w:val="bottom"/>
            <w:gridSpan w:val="2"/>
          </w:tcPr>
          <w:p>
            <w:pPr>
              <w:ind w:left="60"/>
              <w:spacing w:after="0"/>
              <w:rPr>
                <w:sz w:val="20"/>
                <w:szCs w:val="20"/>
                <w:color w:val="auto"/>
              </w:rPr>
            </w:pPr>
            <w:r>
              <w:rPr>
                <w:rFonts w:ascii="Arial" w:cs="Arial" w:eastAsia="Arial" w:hAnsi="Arial"/>
                <w:sz w:val="16"/>
                <w:szCs w:val="16"/>
                <w:color w:val="auto"/>
              </w:rPr>
              <w:t>Shares</w:t>
            </w:r>
          </w:p>
        </w:tc>
        <w:tc>
          <w:tcPr>
            <w:tcW w:w="860" w:type="dxa"/>
            <w:vAlign w:val="bottom"/>
            <w:gridSpan w:val="2"/>
          </w:tcPr>
          <w:p>
            <w:pPr>
              <w:jc w:val="right"/>
              <w:ind w:right="219"/>
              <w:spacing w:after="0"/>
              <w:rPr>
                <w:sz w:val="20"/>
                <w:szCs w:val="20"/>
                <w:color w:val="auto"/>
              </w:rPr>
            </w:pPr>
            <w:r>
              <w:rPr>
                <w:rFonts w:ascii="Arial" w:cs="Arial" w:eastAsia="Arial" w:hAnsi="Arial"/>
                <w:sz w:val="16"/>
                <w:szCs w:val="16"/>
                <w:color w:val="auto"/>
                <w:w w:val="97"/>
              </w:rPr>
              <w:t>Amount</w:t>
            </w:r>
          </w:p>
        </w:tc>
        <w:tc>
          <w:tcPr>
            <w:tcW w:w="16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Income</w:t>
            </w:r>
          </w:p>
        </w:tc>
        <w:tc>
          <w:tcPr>
            <w:tcW w:w="1240" w:type="dxa"/>
            <w:vAlign w:val="bottom"/>
            <w:gridSpan w:val="2"/>
          </w:tcPr>
          <w:p>
            <w:pPr>
              <w:jc w:val="center"/>
              <w:ind w:right="179"/>
              <w:spacing w:after="0"/>
              <w:rPr>
                <w:sz w:val="20"/>
                <w:szCs w:val="20"/>
                <w:color w:val="auto"/>
              </w:rPr>
            </w:pPr>
            <w:r>
              <w:rPr>
                <w:rFonts w:ascii="Arial" w:cs="Arial" w:eastAsia="Arial" w:hAnsi="Arial"/>
                <w:sz w:val="16"/>
                <w:szCs w:val="16"/>
                <w:color w:val="auto"/>
              </w:rPr>
              <w:t>Deficit</w:t>
            </w: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3"/>
        </w:trPr>
        <w:tc>
          <w:tcPr>
            <w:tcW w:w="2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January 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23,255,818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$ 232,562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$ 304,885,663</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7"/>
              </w:rPr>
              <w:t>$ (85,188)</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42,778</w:t>
            </w: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90"/>
              </w:rPr>
              <w:t>$ (290,516,780)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14,559,035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19"/>
              <w:spacing w:after="0"/>
              <w:rPr>
                <w:sz w:val="20"/>
                <w:szCs w:val="20"/>
                <w:color w:val="auto"/>
              </w:rPr>
            </w:pPr>
            <w:r>
              <w:rPr>
                <w:rFonts w:ascii="Arial" w:cs="Arial" w:eastAsia="Arial" w:hAnsi="Arial"/>
                <w:sz w:val="16"/>
                <w:szCs w:val="16"/>
                <w:color w:val="auto"/>
              </w:rPr>
              <w:t>(18,471,409)</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(18,471,409)</w:t>
            </w:r>
          </w:p>
        </w:tc>
        <w:tc>
          <w:tcPr>
            <w:tcW w:w="0" w:type="dxa"/>
            <w:vAlign w:val="bottom"/>
          </w:tcPr>
          <w:p>
            <w:pPr>
              <w:spacing w:after="0"/>
              <w:rPr>
                <w:sz w:val="1"/>
                <w:szCs w:val="1"/>
                <w:color w:val="auto"/>
              </w:rPr>
            </w:pPr>
          </w:p>
        </w:tc>
      </w:tr>
      <w:tr>
        <w:trPr>
          <w:trHeight w:val="19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 of equity through equity financing</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facilities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12,330,243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123,301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20,127,125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20,250,426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60" w:type="dxa"/>
            <w:vAlign w:val="bottom"/>
            <w:gridSpan w:val="2"/>
          </w:tcPr>
          <w:p>
            <w:pPr>
              <w:spacing w:after="0"/>
              <w:rPr>
                <w:sz w:val="20"/>
                <w:szCs w:val="20"/>
                <w:color w:val="auto"/>
              </w:rPr>
            </w:pPr>
            <w:r>
              <w:rPr>
                <w:rFonts w:ascii="Arial" w:cs="Arial" w:eastAsia="Arial" w:hAnsi="Arial"/>
                <w:sz w:val="16"/>
                <w:szCs w:val="16"/>
                <w:color w:val="auto"/>
              </w:rPr>
              <w:t>Issuance of common stock upon exercise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6"/>
                <w:szCs w:val="16"/>
                <w:color w:val="auto"/>
              </w:rPr>
              <w:t>of options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140,864</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1,409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370,486</w:t>
            </w: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371,895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warrants issued in</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exchange for services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44,798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rPr>
                <w:sz w:val="20"/>
                <w:szCs w:val="20"/>
                <w:color w:val="auto"/>
              </w:rPr>
            </w:pPr>
            <w:r>
              <w:rPr>
                <w:rFonts w:ascii="Arial" w:cs="Arial" w:eastAsia="Arial" w:hAnsi="Arial"/>
                <w:sz w:val="16"/>
                <w:szCs w:val="16"/>
                <w:color w:val="auto"/>
              </w:rPr>
              <w:t>Issuance of restricted stock</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3,000</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30</w:t>
            </w:r>
          </w:p>
        </w:tc>
        <w:tc>
          <w:tcPr>
            <w:tcW w:w="1300" w:type="dxa"/>
            <w:vAlign w:val="bottom"/>
            <w:gridSpan w:val="3"/>
          </w:tcPr>
          <w:p>
            <w:pPr>
              <w:jc w:val="right"/>
              <w:ind w:right="200"/>
              <w:spacing w:after="0"/>
              <w:rPr>
                <w:sz w:val="20"/>
                <w:szCs w:val="20"/>
                <w:color w:val="auto"/>
              </w:rPr>
            </w:pPr>
            <w:r>
              <w:rPr>
                <w:rFonts w:ascii="Arial" w:cs="Arial" w:eastAsia="Arial" w:hAnsi="Arial"/>
                <w:sz w:val="16"/>
                <w:szCs w:val="16"/>
                <w:color w:val="auto"/>
              </w:rPr>
              <w:t>(30)</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Realized and unrealized gains and losses,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on investments securities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(42,778)</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(42,778)</w:t>
            </w: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1,448,202</w:t>
            </w:r>
          </w:p>
        </w:tc>
        <w:tc>
          <w:tcPr>
            <w:tcW w:w="2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1,448,202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issued to settle accrued</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bonuses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429,855</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4,299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494,333</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Balance at September 30, 2020</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1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1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gridSpan w:val="2"/>
            <w:vMerge w:val="continue"/>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36,159,780</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$ 361,601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$ 327,370,577</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334</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5"/>
              </w:rPr>
              <w:t>$ (85,188</w:t>
            </w:r>
          </w:p>
        </w:tc>
        <w:tc>
          <w:tcPr>
            <w:tcW w:w="260" w:type="dxa"/>
            <w:vAlign w:val="bottom"/>
            <w:vMerge w:val="continue"/>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w w:val="89"/>
              </w:rPr>
              <w:t>$ (308,988,189</w:t>
            </w:r>
          </w:p>
        </w:tc>
        <w:tc>
          <w:tcPr>
            <w:tcW w:w="2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18,658,801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which include the accounts of the Company and its wholly owned subsidiaries, CLSN Laboratories, Inc. and Celsion, GmbH,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and nine-month periods ended September 30, 2021 and 2020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2020 filed with the Securities and Exchange Commission (SEC) on March 19, 2021.</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The Company continues to monitor the impact of the COVID-19 pandemic on its financial condition and results of operations, along with the valuation of its long-term assets, intangible assets, and goodwill. The effect of this matter could potentially have an impact on the valuation of such assets in the future. The COVID-19 pandemic is discussed in more detail in Note 3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September 30, 2021, the Company has incurred approximately $329 million of cumulative net losses and had approximately $60.6 million in cash and cash equivalents, restricted cash, short-term investments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6"/>
          <w:szCs w:val="16"/>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2020 and into 2021 due to COVID-19. While the extent to which COVID-19 impacts the Company’s future results will depend on future developments, the pandemic and associated economic impacts could result in a material impact to the Company’s future financial condition, results of operations and cash flows. 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The specific impact, if any, is not readily determinable as of the date of these financial statements.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13, 2020, the Company announced that it has received a recommendation from the independent Data Management Committee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cumulative NOL’s from 2011 to 2018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During 2021, the New Jersey State Legislature increased the maximum lifetime benefit per company from $15 million to $20 million, which will allow the Company to participate in this program in future years. On June 16, 2021, the Company filed another application to sell approximately $1.6 million of net operating losses during 2021 and expects to receive up to approximately $1.4 million under the current year program.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6"/>
          <w:szCs w:val="16"/>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11 to these condensed consolidated financial statements,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The funding is in the form of money market secured indebtedness bearing interest at a calculated WSJ Prime-based variable rate of 3.25%. Payments under the loan agreement are interest only for the first 24 months after loan closing, followed by a 24-month amortization period of principal and interest through the scheduled maturity date.</w:t>
      </w:r>
    </w:p>
    <w:p>
      <w:pPr>
        <w:spacing w:after="0" w:line="16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more fully discussed in Note 12, during 2021 through the date of the filing of this Quarterly Report on Form 10-Q, the Company has raised approximately $6.9 million in gross proceeds from the use of its JonesTrading Capital on Demand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financing facility, $35 million from a registered direct financing completed in January 2021, $15 million from a registered direct financing completed on April 5, 2021, and $1.5 million from warrant exercises. With $60.6 million in cash and cash equivalents, restricted cash, short-term investments and interest receivable, the Company believes it has sufficient capital resources to fund its operations through the end of 2024.</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modifies the measurement of expected credit losses on certain financial instruments. The Company adopted ASU 2016-13 in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2021 utilizing the modified retrospective transition method. Based on the composition of the Company’s investment portfolio and current market conditions, the adoption of ASU 2016-13 did not have a material impact on its consolidated financial statements.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The Company adopted this standard during the first quarter of 2021. The adoption of ASU 2019-12 did not have a material impact on its consolidated financial statements.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connection with the upcoming elimination of the London Inter-bank Offered Rate, (“LIBOR”) and other reference interest rates, the FASB issued ASU 2020-04, </w:t>
      </w:r>
      <w:r>
        <w:rPr>
          <w:rFonts w:ascii="Arial" w:cs="Arial" w:eastAsia="Arial" w:hAnsi="Arial"/>
          <w:sz w:val="17"/>
          <w:szCs w:val="17"/>
          <w:i w:val="1"/>
          <w:iCs w:val="1"/>
          <w:color w:val="auto"/>
        </w:rPr>
        <w:t>Reference Rate Reform (Topic 848) Facilitation of the Effects of Reference Reform on Financial Reporting</w:t>
      </w:r>
      <w:r>
        <w:rPr>
          <w:rFonts w:ascii="Arial" w:cs="Arial" w:eastAsia="Arial" w:hAnsi="Arial"/>
          <w:sz w:val="17"/>
          <w:szCs w:val="17"/>
          <w:color w:val="auto"/>
        </w:rPr>
        <w:t>. ASU 2020-04, which is available for contract modifications and hedging relationship modifications entered into or evaluated before December 31, 2022, provides certain practical expedients related to simplifying the accounting for contract modifications resulting from the change in terms from LIBOR to a new required interest rate benchmark. The Company is currently evaluating the effects of adopting this accounting standards update.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7"/>
          <w:szCs w:val="17"/>
          <w:color w:val="auto"/>
        </w:rPr>
        <w:t>In May 2021, the FASB issued ASU No. 2021-04 “</w:t>
      </w:r>
      <w:r>
        <w:rPr>
          <w:rFonts w:ascii="Arial" w:cs="Arial" w:eastAsia="Arial" w:hAnsi="Arial"/>
          <w:sz w:val="17"/>
          <w:szCs w:val="17"/>
          <w:i w:val="1"/>
          <w:iCs w:val="1"/>
          <w:color w:val="auto"/>
        </w:rPr>
        <w:t>Earnings Per Share (Topic 260), Debt-Modifications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(a consensus of the FASB Emerging Issues Task Force)”. </w:t>
      </w:r>
      <w:r>
        <w:rPr>
          <w:rFonts w:ascii="Arial" w:cs="Arial" w:eastAsia="Arial" w:hAnsi="Arial"/>
          <w:sz w:val="17"/>
          <w:szCs w:val="17"/>
          <w:color w:val="auto"/>
        </w:rPr>
        <w:t>This</w:t>
      </w:r>
      <w:r>
        <w:rPr>
          <w:rFonts w:ascii="Arial" w:cs="Arial" w:eastAsia="Arial" w:hAnsi="Arial"/>
          <w:sz w:val="17"/>
          <w:szCs w:val="17"/>
          <w:i w:val="1"/>
          <w:iCs w:val="1"/>
          <w:color w:val="auto"/>
        </w:rPr>
        <w:t xml:space="preserve"> </w:t>
      </w:r>
      <w:r>
        <w:rPr>
          <w:rFonts w:ascii="Arial" w:cs="Arial" w:eastAsia="Arial" w:hAnsi="Arial"/>
          <w:sz w:val="17"/>
          <w:szCs w:val="17"/>
          <w:color w:val="auto"/>
        </w:rPr>
        <w:t>ASU is intended to clarify and reduce diversity in an issuer’s accounting for modifications or exchanges of freestanding equity-classified written call options (for example, warrants) that remain equity classified after modification or exchange. The guidance clarifies whether an issuer should account for a modification or an exchange of a freestanding equity-classified written call option that remains equity classified after modification or exchange as (1) an adjustment to equity and, if so, the related earnings per share effects, if any, or (2) an expense and, if so, the manner and pattern of recognition. The amendments in this ASU affect all entities that issue freestanding written call options that are classified in equity. The amendments do not apply to modifications or exchanges of financial instruments that are within the scope of another Topic and do not affect a holder’s accounting for freestanding call options. The amendments in this ASU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for all entities, including adoption in an interim period. The Company is currently evaluating the impact of adopting ASU 2021-04 on its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Restricted Cash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condition of the $10 million loan facility with Silicon Valley Bank (“SVB”) entered into on June 18, 2021 as further discussed in Note 11, the Company is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may restrict withdrawals or transfers by or on behalf of the Company that would violate this requirement. The required reserve totaled $6.0 million as of September 30, 2021. This amount is presented in part as restricted cash in other non-current assets on the accompanying condensed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cash and cash equivalents and restricted cash per the balance sheet to the condensed statements of cash flows: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September 30, 2021</w:t>
            </w:r>
          </w:p>
        </w:tc>
        <w:tc>
          <w:tcPr>
            <w:tcW w:w="16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2020</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25,648,849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Money market investments, restricted</w:t>
            </w: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31,648,849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number of shares of common stock issuable upon exercise of warrants, stock option grants and equity awards were 9,250,354 and 8,507,041 shares for the three-month and nine-month periods ended September 30, 2021 and 2020, respectively. Warrants with an exercise price of $0.01 exercisable for 200,000 shares of common stock were considered issued in calculating basic loss per share during the first nine-months of 2020. These warrants were exercised in October 2020. For the three-month and nine-month periods ended September 30, 2021 and 2020,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nine months of 2021 or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Debt Securities-Available for Sale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Investments in debt securities available for sale with a fair value of $28,864,364 as of September 30, 2021, consisted of government backed debt securities and commercial paper. These investments are valued at estimated fair value, with unrealized gains and losses reported as a separate component of stockholders’ equity in accumulated other comprehensive loss. The Company only had investments in cash and cash equivalents on December 31, 2020.</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6"/>
          </w:tcPr>
          <w:p>
            <w:pPr>
              <w:ind w:left="420"/>
              <w:spacing w:after="0"/>
              <w:rPr>
                <w:sz w:val="20"/>
                <w:szCs w:val="20"/>
                <w:color w:val="auto"/>
              </w:rPr>
            </w:pPr>
            <w:r>
              <w:rPr>
                <w:rFonts w:ascii="Arial" w:cs="Arial" w:eastAsia="Arial" w:hAnsi="Arial"/>
                <w:sz w:val="18"/>
                <w:szCs w:val="18"/>
                <w:color w:val="auto"/>
              </w:rPr>
              <w:t>September 30, 2021</w:t>
            </w:r>
          </w:p>
        </w:tc>
        <w:tc>
          <w:tcPr>
            <w:tcW w:w="260" w:type="dxa"/>
            <w:vAlign w:val="bottom"/>
          </w:tcPr>
          <w:p>
            <w:pPr>
              <w:spacing w:after="0"/>
              <w:rPr>
                <w:sz w:val="20"/>
                <w:szCs w:val="20"/>
                <w:color w:val="auto"/>
              </w:rPr>
            </w:pPr>
          </w:p>
        </w:tc>
        <w:tc>
          <w:tcPr>
            <w:tcW w:w="2620" w:type="dxa"/>
            <w:vAlign w:val="bottom"/>
            <w:gridSpan w:val="7"/>
          </w:tcPr>
          <w:p>
            <w:pPr>
              <w:ind w:left="420"/>
              <w:spacing w:after="0"/>
              <w:rPr>
                <w:sz w:val="20"/>
                <w:szCs w:val="20"/>
                <w:color w:val="auto"/>
              </w:rPr>
            </w:pPr>
            <w:r>
              <w:rPr>
                <w:rFonts w:ascii="Arial" w:cs="Arial" w:eastAsia="Arial" w:hAnsi="Arial"/>
                <w:sz w:val="18"/>
                <w:szCs w:val="18"/>
                <w:color w:val="auto"/>
              </w:rPr>
              <w:t>December 31, 2020</w:t>
            </w:r>
          </w:p>
        </w:tc>
      </w:tr>
      <w:tr>
        <w:trPr>
          <w:trHeight w:val="237"/>
        </w:trPr>
        <w:tc>
          <w:tcPr>
            <w:tcW w:w="5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Cost</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Cost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Fair Value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7,784,165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7,784,894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Government backed debt securities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21,078,059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21,079,470</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28,862,224</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6"/>
              </w:rPr>
              <w:t>28,864,364</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6"/>
          </w:tcPr>
          <w:p>
            <w:pPr>
              <w:ind w:left="420"/>
              <w:spacing w:after="0"/>
              <w:rPr>
                <w:sz w:val="20"/>
                <w:szCs w:val="20"/>
                <w:color w:val="auto"/>
              </w:rPr>
            </w:pPr>
            <w:r>
              <w:rPr>
                <w:rFonts w:ascii="Arial" w:cs="Arial" w:eastAsia="Arial" w:hAnsi="Arial"/>
                <w:sz w:val="18"/>
                <w:szCs w:val="18"/>
                <w:color w:val="auto"/>
              </w:rPr>
              <w:t>September 30, 2021</w:t>
            </w:r>
          </w:p>
        </w:tc>
        <w:tc>
          <w:tcPr>
            <w:tcW w:w="260" w:type="dxa"/>
            <w:vAlign w:val="bottom"/>
          </w:tcPr>
          <w:p>
            <w:pPr>
              <w:spacing w:after="0"/>
              <w:rPr>
                <w:sz w:val="24"/>
                <w:szCs w:val="24"/>
                <w:color w:val="auto"/>
              </w:rPr>
            </w:pPr>
          </w:p>
        </w:tc>
        <w:tc>
          <w:tcPr>
            <w:tcW w:w="2620" w:type="dxa"/>
            <w:vAlign w:val="bottom"/>
            <w:gridSpan w:val="7"/>
          </w:tcPr>
          <w:p>
            <w:pPr>
              <w:ind w:left="420"/>
              <w:spacing w:after="0"/>
              <w:rPr>
                <w:sz w:val="20"/>
                <w:szCs w:val="20"/>
                <w:color w:val="auto"/>
              </w:rPr>
            </w:pPr>
            <w:r>
              <w:rPr>
                <w:rFonts w:ascii="Arial" w:cs="Arial" w:eastAsia="Arial" w:hAnsi="Arial"/>
                <w:sz w:val="18"/>
                <w:szCs w:val="18"/>
                <w:color w:val="auto"/>
              </w:rPr>
              <w:t>December 31, 2020</w:t>
            </w:r>
          </w:p>
        </w:tc>
      </w:tr>
      <w:tr>
        <w:trPr>
          <w:trHeight w:val="237"/>
        </w:trPr>
        <w:tc>
          <w:tcPr>
            <w:tcW w:w="5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Cost</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Cost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Fair Value</w:t>
            </w:r>
          </w:p>
        </w:tc>
        <w:tc>
          <w:tcPr>
            <w:tcW w:w="100" w:type="dxa"/>
            <w:vAlign w:val="bottom"/>
            <w:gridSpan w:val="2"/>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 maturities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Within 3 months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11,998,304</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11,999,400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16,863,920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16,864,964</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28,862,224</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6"/>
              </w:rPr>
              <w:t>28,864,364</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September 30, 2021 and December 31, 2020. The Company has reviewed individual securities to determine whether a decline in fair value below the amortizable cost basis is other than temporary.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6"/>
          </w:tcPr>
          <w:p>
            <w:pPr>
              <w:jc w:val="right"/>
              <w:ind w:right="1020"/>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20"/>
                <w:szCs w:val="20"/>
                <w:color w:val="auto"/>
              </w:rPr>
            </w:pPr>
          </w:p>
        </w:tc>
        <w:tc>
          <w:tcPr>
            <w:tcW w:w="2480" w:type="dxa"/>
            <w:vAlign w:val="bottom"/>
            <w:gridSpan w:val="4"/>
          </w:tcPr>
          <w:p>
            <w:pPr>
              <w:jc w:val="right"/>
              <w:ind w:right="470"/>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lef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w w:val="96"/>
              </w:rPr>
              <w:t>Available for sale securities (all unrealized holding gains and losses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Holding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00" w:type="dxa"/>
            <w:vAlign w:val="bottom"/>
            <w:gridSpan w:val="2"/>
          </w:tcPr>
          <w:p>
            <w:pPr>
              <w:spacing w:after="0"/>
              <w:rPr>
                <w:sz w:val="20"/>
                <w:szCs w:val="20"/>
                <w:color w:val="auto"/>
              </w:rPr>
            </w:pPr>
            <w:r>
              <w:rPr>
                <w:rFonts w:ascii="Arial" w:cs="Arial" w:eastAsia="Arial" w:hAnsi="Arial"/>
                <w:sz w:val="18"/>
                <w:szCs w:val="18"/>
                <w:color w:val="auto"/>
              </w:rPr>
              <w:t>are less than 12 months at date of measurement)</w:t>
            </w:r>
          </w:p>
        </w:tc>
        <w:tc>
          <w:tcPr>
            <w:tcW w:w="16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Fair Value</w:t>
            </w:r>
          </w:p>
        </w:tc>
        <w:tc>
          <w:tcPr>
            <w:tcW w:w="180" w:type="dxa"/>
            <w:vAlign w:val="bottom"/>
          </w:tcPr>
          <w:p>
            <w:pPr>
              <w:spacing w:after="0"/>
              <w:rPr>
                <w:sz w:val="20"/>
                <w:szCs w:val="20"/>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Gains (Losses)</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Gains (Losses)</w:t>
            </w:r>
          </w:p>
        </w:tc>
      </w:tr>
      <w:tr>
        <w:trPr>
          <w:trHeight w:val="216"/>
        </w:trPr>
        <w:tc>
          <w:tcPr>
            <w:tcW w:w="4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with unrealized gains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21,029,520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Investments with unrealized losses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7,834,844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28,864,364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(loss) income, which includes net realized losses on sales of available for sale securities and investment income interest and dividends, is summarized as follows:</w:t>
      </w:r>
    </w:p>
    <w:p>
      <w:pPr>
        <w:spacing w:after="0" w:line="16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8"/>
                <w:szCs w:val="18"/>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Realized (losses) gains</w:t>
            </w:r>
          </w:p>
        </w:tc>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(2,736)</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7,257</w:t>
            </w:r>
          </w:p>
        </w:tc>
      </w:tr>
      <w:tr>
        <w:trPr>
          <w:trHeight w:val="23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66,029</w:t>
            </w:r>
          </w:p>
        </w:tc>
        <w:tc>
          <w:tcPr>
            <w:tcW w:w="100" w:type="dxa"/>
            <w:vAlign w:val="bottom"/>
            <w:shd w:val="clear" w:color="auto" w:fill="CCEEFF"/>
          </w:tcPr>
          <w:p>
            <w:pPr>
              <w:spacing w:after="0"/>
              <w:rPr>
                <w:sz w:val="18"/>
                <w:szCs w:val="18"/>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Realized (losses) gains</w:t>
            </w: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(4,521)</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53,354</w:t>
            </w:r>
          </w:p>
        </w:tc>
      </w:tr>
      <w:tr>
        <w:trPr>
          <w:trHeight w:val="229"/>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FASB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2021 and 2020. There were no transfers of assets or liabilities between Level 1 and Level 2 and no transfers in or out of Level 3 during the nine-months ended September 30, 2021 or during the year ended December 31, 2020.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w w:val="93"/>
              </w:rPr>
              <w:t>Assets and liabilities measured at fair value are summarized below:</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Quoted Prices in</w:t>
            </w:r>
          </w:p>
        </w:tc>
        <w:tc>
          <w:tcPr>
            <w:tcW w:w="12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Active Markets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 Fair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Assets/Liabilities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September 30, 2021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w w:val="99"/>
              </w:rPr>
              <w:t>Investment in debt securities - available for sale, at fair value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28,864,364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28,864,364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Non-recurring items as of September 30, 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R&amp;D (Note 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13,366,234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Non-recurring items as of December 31, 2020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In-process R&amp;D (Note 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13,366,234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Recurring items as of September 30, 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milestone liability (Note 14)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7,345,000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7,345,000</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Earn-out milestone liability (Note 14)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7,018,000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7,018,000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2014, we completed the acquisition of substantially all of the assets of EGEN, Inc., an Alabama corporation, which has changed its company name to EGWU, Inc. after the closing of the acquisition (“EGEN”).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The Company’s ovarian cancer indication, with original value of $13.3 million, has not been impaired since its acquisition. At September 30, 2021, the Company evaluated its IPR&amp;D of the ovarian cancer indication and concluded that it is not more likely than not that the asset is impaired. As no other indicators of impairment existed during the fourth quarter of 2020 or first nine months of 2021, no impairment charges were recorded during the three or nine-months ended September 30, 2021 and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GBM candidate, with original value of $9.4 million, had cumulative impairments through 2018 of $7 million, with remaining carrying value of $2.4 million at December 31, 2019. On September 30, 2020, the Company evaluated its IPR&amp;D for the (GBM) product candidate and concluded that it is more likely than not that the asset is further impaired. After this assessment on September 30, 2020, the Company wrote off the remaining $2.4 million of this asset, thereby recognizing a non-cash charge of $2.4 million in the third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the remaining carrying value of $113,660 as amortization expense in the first half of 2021. The carrying value of the Covenant Not to Compete was fully amortized as of June 30, 2021 and had a carrying value of $113,660, net of $1,477,554 accumulated amortization, as of December 31, 2020. The Company recognized amortization expense of $56,830 and 170,487 in the three-month and nine-month periods ended September 30,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2021, we concluded that the Company’s fair value exceeded its carrying value therefore “it is not more likely than not” that the Goodwill was impaired.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the net fair value of the assets acquired in the EGEN asset acquisition for the nine-month period ended September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Covenant Not To</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8"/>
                <w:szCs w:val="18"/>
                <w:color w:val="auto"/>
                <w:w w:val="98"/>
              </w:rPr>
              <w:t>IPR&amp;D</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Goodwill</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Compete</w:t>
            </w:r>
          </w:p>
        </w:tc>
        <w:tc>
          <w:tcPr>
            <w:tcW w:w="0" w:type="dxa"/>
            <w:vAlign w:val="bottom"/>
          </w:tcPr>
          <w:p>
            <w:pPr>
              <w:spacing w:after="0"/>
              <w:rPr>
                <w:sz w:val="1"/>
                <w:szCs w:val="1"/>
                <w:color w:val="auto"/>
              </w:rPr>
            </w:pPr>
          </w:p>
        </w:tc>
      </w:tr>
      <w:tr>
        <w:trPr>
          <w:trHeight w:val="216"/>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 the nine-months ended September 30, 2021</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Balance at January 1, 2021, net</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13,366,234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rPr>
              <w:t>1,976,101</w:t>
            </w:r>
          </w:p>
        </w:tc>
        <w:tc>
          <w:tcPr>
            <w:tcW w:w="3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113,660</w:t>
            </w:r>
          </w:p>
        </w:tc>
        <w:tc>
          <w:tcPr>
            <w:tcW w:w="0" w:type="dxa"/>
            <w:vAlign w:val="bottom"/>
          </w:tcPr>
          <w:p>
            <w:pPr>
              <w:spacing w:after="0"/>
              <w:rPr>
                <w:sz w:val="1"/>
                <w:szCs w:val="1"/>
                <w:color w:val="auto"/>
              </w:rPr>
            </w:pPr>
          </w:p>
        </w:tc>
      </w:tr>
      <w:tr>
        <w:trPr>
          <w:trHeight w:val="25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(113,660)</w:t>
            </w:r>
          </w:p>
        </w:tc>
        <w:tc>
          <w:tcPr>
            <w:tcW w:w="0" w:type="dxa"/>
            <w:vAlign w:val="bottom"/>
          </w:tcPr>
          <w:p>
            <w:pPr>
              <w:spacing w:after="0"/>
              <w:rPr>
                <w:sz w:val="1"/>
                <w:szCs w:val="1"/>
                <w:color w:val="auto"/>
              </w:rPr>
            </w:pPr>
          </w:p>
        </w:tc>
      </w:tr>
      <w:tr>
        <w:trPr>
          <w:trHeight w:val="217"/>
        </w:trPr>
        <w:tc>
          <w:tcPr>
            <w:tcW w:w="6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2021, net</w:t>
            </w: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13,366,234</w:t>
            </w: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1,976,101</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Note 10. Accrued Liabilities</w:t>
            </w: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3"/>
          </w:tcPr>
          <w:p>
            <w:pPr>
              <w:spacing w:after="0"/>
              <w:rPr>
                <w:sz w:val="20"/>
                <w:szCs w:val="20"/>
                <w:color w:val="auto"/>
              </w:rPr>
            </w:pPr>
            <w:r>
              <w:rPr>
                <w:rFonts w:ascii="Arial" w:cs="Arial" w:eastAsia="Arial" w:hAnsi="Arial"/>
                <w:sz w:val="18"/>
                <w:szCs w:val="18"/>
                <w:color w:val="auto"/>
                <w:w w:val="91"/>
              </w:rPr>
              <w:t>Other accrued liabilities at September 30, 2021 and December 31, 2020 include the following:</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September 30, 2021</w:t>
            </w:r>
          </w:p>
        </w:tc>
        <w:tc>
          <w:tcPr>
            <w:tcW w:w="40" w:type="dxa"/>
            <w:vAlign w:val="bottom"/>
          </w:tcPr>
          <w:p>
            <w:pPr>
              <w:spacing w:after="0"/>
              <w:rPr>
                <w:sz w:val="24"/>
                <w:szCs w:val="2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16"/>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Amounts due to contract research organizations and other contractual agreements</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1,276,317</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1,247,460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1,736,271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265,350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16,250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19,411</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17"/>
        </w:trPr>
        <w:tc>
          <w:tcPr>
            <w:tcW w:w="6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2,824,788</w:t>
            </w: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2,458,532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55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1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SVB Loan Facility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18, 2021, the Company entered into a $10 million loan facility (the “SVB Loan Facility”) with Silicon Valley Bank (“SVB”). Celsion immediately used $6 million from the SVB Loan Facility to retire all outstanding indebtedness with Horizon Technology Finance Corporation as further discussed below. Concurrently with this transaction, the Company used $6.0 million of other available funds to establish a restricted cash account which serves as security for the SVB Loan Facility. The remaining $4 million will be available to be drawn down up to 12 months after closing and will be used for working capital and to fund the advancement of the Company’s product pipeline, including GEN-1 for the treatment of newly diagnosed advanced ovarian cancer, as well as other strategic initiatives intended to broaden its product pipeline.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SVB Loan Facility is in the form of money market secured indebtedness bearing interest at a calculated WSJ Prime-based variable rate (currently 3.25%).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SVB Loan Facility, the Company incurred financing fees and expenses totaling $243,370 which is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are being amortized as interest expense using the effective interest method over the life of the loan. During the three-month and nine-month periods ended September 30, 2021, the Company incurred interest expense of $49,883 and $56,875, respectively, and amortized $45,687 and $52,144, respectively, as interest expense for debt discounts and end-of-term fee in connection with the SVB Financing Facility.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schedule of future principal payments, net of unamortized debt discounts and amortized end-of-term fee, due on the SVB Loan Facility:</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As of</w:t>
            </w:r>
          </w:p>
        </w:tc>
      </w:tr>
      <w:tr>
        <w:trPr>
          <w:trHeight w:val="241"/>
        </w:trPr>
        <w:tc>
          <w:tcPr>
            <w:tcW w:w="4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September 30,</w:t>
            </w:r>
          </w:p>
        </w:tc>
      </w:tr>
      <w:tr>
        <w:trPr>
          <w:trHeight w:val="216"/>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2023</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r>
      <w:tr>
        <w:trPr>
          <w:trHeight w:val="23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20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tcBorders>
              <w:bottom w:val="single" w:sz="8" w:color="CCEEFF"/>
            </w:tcBorders>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Subtotal of future principal payments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18"/>
                <w:szCs w:val="18"/>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Unamortized debt premium, net</w:t>
            </w:r>
          </w:p>
        </w:tc>
        <w:tc>
          <w:tcPr>
            <w:tcW w:w="2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(191,226)</w:t>
            </w:r>
          </w:p>
        </w:tc>
      </w:tr>
      <w:tr>
        <w:trPr>
          <w:trHeight w:val="230"/>
        </w:trPr>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5,808,774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“Amendment”) whereby Celsion repaid $5 million of the $10 million loan and $0.2 million in related end of term charges, and the remaining $5 million in obligations were restructured as set forth below.</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Amendment, the remaining $5 million in obligations of Celsion under the Horizon Credit Agreement was secured by a first-priority security interest in substantially all assets of Celsion other than intellectual property assets. The obligations bore interest at a rate calculated based an amount by which the one-month LIBOR exceeds 2% plus 7.625%. In no event shall the interest rate be less than 9.625%. Payments pursuant to the Amendment were interest only for the first twelve (12) months after August 1, 2020, followed by a 21-month amortization period of principal and interest through the scheduled maturity date on April 1, 2023. In addition, the remaining $5 million in obligations was subject to an end of term fee equal, in the aggregate, to $275,000, which amount was payable upon the maturity of the obligations or upon the date of final payment or default, as applicable. In connection with the Amendment, Celsion agreed to a liquidity covenant which provides that, at all times, Celsion shall maintain unrestricted cash and/or cash equivalents on deposit in accounts over which the applicable Lenders maintain an account control agreement in an amount not less than $2.5 million. In addition, pursuant to the Amendment, Celsion agreed to provide evidence to Horizon on or before March 31, 2021, that it received aggregate cash proceeds of not less than $5 million from the sale of equity, debt, its New Jersey net operating losses, or a combination thereof, subsequent to the date of the Amendment. The Company met this requirement during the fourth quarter of 2020.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In connection with the Horizon Credit Agreement, the Company incurred financing fees and expenses totaling $175,000 which were recorded and classified as debt discount. In addition, the Company paid loan origination fees of $100,000 which were recorded and classified as debt discount. These debt discount amounts totaling $782,116 were being amortized as interest expense using the effective interest method over the life of the loan. Also, in connection with each of the Horizon Credit Agreement, the Company was required to pay an end of term charge equal to 4.0% of the original loan amount at time of maturity. Therefore, those amounts totaling $400,000 were being amortized as interest expense using the effective interest method over the life of the loan.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fee in connection with the Horizon Credit Agreement, Celsion issued Horizon warrants exercisable for a total of 190,114 shares of Celsion’s common stock (the “Existing Warrants”) at a per share exercise price of $2.63. The Horizon Warrants were immediately exercisable for cash or by net exercise from the date of grant and will expire after ten years from the date of grant. The Company valued the Horizon Warrants issued using the Black-Scholes option pricing model and recorded a total of $507,116 as a direct deduction from the debt liability, consistent with the presentation of debt discounts, and are being amortized as interest expense using the effective interest method over the life of the loan. Pursuant to the Amendment, one-half of the aggregate Existing Warrants, exercisable for a total of 95,057 shares of Celsion’s common stock, have been canceled, and, in connection with the Amendment, Celsion issued Horizon new warrants exercisable at a per share exercise price equal to $1.01 for a total of 247,525 shares of Celsion’s common stock (the “New Warrants” and, together with the Existing Warrants, the “Warrants”). The remaining 95,057 Existing Warrants issued in connection with the Horizon Credit Agreement remain outstanding at a per share exercise price of $2.63.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Warrants were immediately exercisable for cash or by net exercise from the date of grant and will expire after ten years from the date of grant. 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Amendment was evaluated in accordance with FASB ASC 470-50, </w:t>
      </w:r>
      <w:r>
        <w:rPr>
          <w:rFonts w:ascii="Arial" w:cs="Arial" w:eastAsia="Arial" w:hAnsi="Arial"/>
          <w:sz w:val="18"/>
          <w:szCs w:val="18"/>
          <w:i w:val="1"/>
          <w:iCs w:val="1"/>
          <w:color w:val="auto"/>
        </w:rPr>
        <w:t>Debt-Modifications and Extinguishments</w:t>
      </w:r>
      <w:r>
        <w:rPr>
          <w:rFonts w:ascii="Arial" w:cs="Arial" w:eastAsia="Arial" w:hAnsi="Arial"/>
          <w:sz w:val="18"/>
          <w:szCs w:val="18"/>
          <w:color w:val="auto"/>
        </w:rPr>
        <w:t>, for debt modification and extinguishment accounting. We accounted for the $5 million we repaid as a debt extinguishment thereby reducing the principal obligations accordingly. Also, in connection with the $5 million repayment, we recognized as interest expense, approximately $0.2 million of unamortized debt discount, deferred financing and end of term fees related to the repaid obligation in August 2020.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accounted for the remaining $5 million of obligation under the Amendment as a debt modification to the initial agreement with respect to the minor changes in cash flows. Also, in connection with the $5 million remaining obligations, we recorded $5,000 of financing fees and the New Warrant fair value of $247,548 as additional debt discount on the $5 million remaining obligation. Therefore, approximately $109,706 of unamortized debt discount will be amortized over the remaining life of the new obligations. The $275,000 of end of term fees, net of previously amortized end of term fees totaling $142,605 previously accrued on the original note associated with the $5 million remaining obligation, will be amortized as interest expense over the remaining life of the new obligations.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 interest expense was recognized during the three months ended September 31, 2021 as the amounts owed under the Horizon Credit agreement were paid off in June 2021. During the nine-month period ended September 30, 2021, the Company incurred $225,920 in interest expense and amortized $139,428 as interest expense for debt discounts and end of term charges in connection with the Horizon Credit Agreement. During the three-month period ended September 30, 2020, the Company incurred $198,738 in interest expense and amortized $251,993 as interest expense for debt discounts and end of term charges in connection with the Initial Horizon Credit Agreement and Amendment. During the nine-month period ended September 30, 2020, the Company incurred $685,913 in interest expense and amortized $444,786 as interest expense for debt discounts and end of term charges in connection with the Initial Horizon Credit Agreement and Amendment.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18, 2021, as a condition of entering into the SVB Loan Facility, the Company paid the outstanding principal balance, an early termination fee and the end of term charges in full satisfaction of the Horizon Credit Agreement, as amended. Following is a schedule of the amounts paid to Horizon on June 18,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 at June 18, 2021</w:t>
            </w:r>
          </w:p>
        </w:tc>
        <w:tc>
          <w:tcPr>
            <w:tcW w:w="41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Early termination fees</w:t>
            </w:r>
          </w:p>
        </w:tc>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term charges</w:t>
            </w:r>
          </w:p>
        </w:tc>
        <w:tc>
          <w:tcPr>
            <w:tcW w:w="3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18"/>
                <w:szCs w:val="18"/>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0" w:type="dxa"/>
            <w:vAlign w:val="bottom"/>
            <w:vMerge w:val="restart"/>
          </w:tcPr>
          <w:p>
            <w:pPr>
              <w:jc w:val="right"/>
              <w:ind w:right="2170"/>
              <w:spacing w:after="0"/>
              <w:rPr>
                <w:sz w:val="20"/>
                <w:szCs w:val="20"/>
                <w:color w:val="auto"/>
              </w:rPr>
            </w:pPr>
            <w:r>
              <w:rPr>
                <w:rFonts w:ascii="Arial" w:cs="Arial" w:eastAsia="Arial" w:hAnsi="Arial"/>
                <w:sz w:val="18"/>
                <w:szCs w:val="18"/>
                <w:color w:val="auto"/>
              </w:rPr>
              <w:t>17</w:t>
            </w: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Company recorded a loss of $234,419 on the termination of the Horizon Credit Agreement, as amended, which represented the early termination fee and the end of term fees, net of previously amortized interest expense totaling $190,581 on the date of its payoff.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was fully utilized by the end of January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the Company filed with the SEC a new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29"/>
          <w:szCs w:val="29"/>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2020 through September 30, 2020, the Company sold and issued an aggregate of 2.1 million shares under the Capital on Demand Agreement, receiving approximately $4.3 million in gross proceeds. During the first nine months of 2021, the Company sold 7.2 million shares under the Capital on Demand Agreement, receiving approximately $6.9 million in gross proceeds under the Capital on Demand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Direct Offering</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27, 2020, we entered into a Securities Purchase Agreement (the “February 2020 Purchase Agreement”) with several institutional investors, pursuant to which we agreed to issue and sell, in a registered direct offering (the “February 2020 Offering”), an aggregate of 4,571,428 shares of our common stock at an offering price of $1.05 per Share for gross proceeds of approximately $4.8 million before the deduction of the Placement Agent fees and offering expenses. In a concurrent private placement (the “Private Placement”), the Company issued to the investors that participated in the February 2020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through the date of this Quarterly Report on Form 10-Q, the Company issued 1.2 million shares pursuant to investors exercising Exchange Warrants, receiving approximately $1.5 million in net proceeds.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Pursuant to the Underwriting Agreement, until December 31, 2020, the Underwriter had a right of first refusal to act as sole underwriter, initial purchaser, placement/selling agent, or arranger, as the case may be, on any new financing for the Company (excluding equipment lease financings, loans or grants from governmental authorities or in connection with government programs and financings relating to or sales of tax attributes) during such period. The Underwriter had the sole right to determine whether or not any other broker dealer could participate in any such offering and the economic terms of any such participation.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2021 Registered Direct Offering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25,925,925 shares of the Company’s common stock at an offering price of $1.35 per share for gross proceeds of approximately $35 million before the deduction of the January 2021 Placement Agents (as defined below) fee and offering expenses. The January 2021 Purchase Agreement contains customary representations, warranties and agreements by the Company and customary conditions to closing. The closing of the January 2021 Offering occurred on January 26, 2021.</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January 2021 Offering, the Company entered into a placement agent agreement (the “January 2021 Placement Agent Agreement”) with A.G.P./Alliance Global Partners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March 2021 Registered Direct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11,538,462 shares of the Company’s common stock, at an offering price of $1.30 per share for gross proceeds of approximately $15 million before the deduction of the placement agents fee and offering expenses. The shares were offered by the Company pursuant to the 2021 Registration Statement. The closing of the Offering occurred on April 5, 2021.</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March 2021 Offering, the Company entered into a placement agent agreement (the “March 2021 Placement Agent Agreement”) with A.G.P./Alliance Global Partners, as lead placement agent (“AGP,” and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March 2021 Purchase Agreement and March 2021 Placement Agent Agreement, the Company and its subsidiaries were prohibited, for a period of 90 days after the closing, from entering into any agreement to issue or announcing any issuance or proposed issuance of common stock or any other securities that are at any time convertible into, or exercisable or exchangeable for, or otherwise entitle the holder thereof to receive common stock without the prior written consent of AGP or the investors participating in the offering. For purposes of this offering, AGP and the investors from the Company’s January 2021 Offering waived a similar 90-day restriction in the placement agent agreement and purchase agreement for that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LPC Purchase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“LPC Offering”). During 2020, the Company sold and issued an aggregate of 3.3 million shares, including the 437,828 commitment shares, under the LPC Purchase Agreement, receiving approximately $2.2 million in gross proceeds. On January 21, 2021, the Company terminated the LPC Purchase Agreement. The Company did not sell any shares under the LPC Purchase Agreement in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1,200,000 to a total of 3,900,000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2,500,000 to a total of 6,400,000 under the 2018 Plan, as amended. At the 2021 Annual Stockholders Meeting of the Company held on June 10, 2020, stockholders approved an amendment to the 2018 Plan, as previously amended, whereby the Company increased the number of shares of common stock available by 7,700,000 to a total of 14,100,000 under the 2018 Plan, as amended.</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28, 2018, and again on February 19, 2019, the Compensation Committee of the Board of Directors approved the grant of (i) inducement stock options (the “Inducement Option Grants”) to purchase a total of 164,004 and 140,004 shares of Celsion common stock, respectively, and (ii) inducement restricted stock awards (the “Inducement Stock Grants”) totaling 19,000 and 13,000 shares of Celsion common stock to five new employees collectively. Each award has a grant date of the date of grant. Each Inducement Option Grant has an exercise price per share equal to $2.77 and $2.18 which represents the closing price of Celsion’s common stock as reported by Nasdaq on September 28, 2018 and February 19, 2019, respectively.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there were a total of 14,198,424 shares of Celsion common stock reserved for issuance under the 2018 Plan, which were comprised of 6,473,451 shares of Celsion common stock subject to equity awards previously granted under the 2018 Plan and 2007 Plan and 7,724,973 shares of Celsion common stock available for future issuance under the 2018 Plan. As of September 30, 2021, there were a total of 140,004 shares of Celsion common stock subject to outstanding inducement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A summary of stock option awards and restricted stock grants for the nine-months ended September 30, 2021 is presented below:</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00"/>
        <w:spacing w:after="0" w:line="500" w:lineRule="auto"/>
        <w:rPr>
          <w:sz w:val="20"/>
          <w:szCs w:val="20"/>
          <w:color w:val="auto"/>
        </w:rPr>
      </w:pPr>
      <w:r>
        <w:rPr>
          <w:rFonts w:ascii="Arial" w:cs="Arial" w:eastAsia="Arial" w:hAnsi="Arial"/>
          <w:sz w:val="18"/>
          <w:szCs w:val="18"/>
          <w:color w:val="auto"/>
        </w:rPr>
        <w:t>Equity awards outstanding at January 1, 2021 Equity awards granted</w:t>
      </w:r>
    </w:p>
    <w:p>
      <w:pPr>
        <w:spacing w:after="0" w:line="2" w:lineRule="exact"/>
        <w:rPr>
          <w:sz w:val="20"/>
          <w:szCs w:val="20"/>
          <w:color w:val="auto"/>
        </w:rPr>
      </w:pPr>
    </w:p>
    <w:p>
      <w:pPr>
        <w:ind w:right="340"/>
        <w:spacing w:after="0" w:line="589" w:lineRule="auto"/>
        <w:rPr>
          <w:sz w:val="20"/>
          <w:szCs w:val="20"/>
          <w:color w:val="auto"/>
        </w:rPr>
      </w:pPr>
      <w:r>
        <w:rPr>
          <w:rFonts w:ascii="Arial" w:cs="Arial" w:eastAsia="Arial" w:hAnsi="Arial"/>
          <w:sz w:val="16"/>
          <w:szCs w:val="16"/>
          <w:color w:val="auto"/>
        </w:rPr>
        <w:t>Equity awards exercised or vested and issued Equity awards forfeited, cancelled or expired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Equity awards outstanding at September 30, 2021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41"/>
        </w:trPr>
        <w:tc>
          <w:tcPr>
            <w:tcW w:w="2960" w:type="dxa"/>
            <w:vAlign w:val="bottom"/>
            <w:gridSpan w:val="6"/>
          </w:tcPr>
          <w:p>
            <w:pPr>
              <w:ind w:left="760"/>
              <w:spacing w:after="0"/>
              <w:rPr>
                <w:sz w:val="20"/>
                <w:szCs w:val="20"/>
                <w:color w:val="auto"/>
              </w:rPr>
            </w:pPr>
            <w:r>
              <w:rPr>
                <w:rFonts w:ascii="Arial" w:cs="Arial" w:eastAsia="Arial" w:hAnsi="Arial"/>
                <w:sz w:val="18"/>
                <w:szCs w:val="18"/>
                <w:b w:val="1"/>
                <w:bCs w:val="1"/>
                <w:color w:val="auto"/>
              </w:rPr>
              <w:t>Stock Options</w:t>
            </w:r>
          </w:p>
        </w:tc>
        <w:tc>
          <w:tcPr>
            <w:tcW w:w="28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Restricted Stock Awards</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Non-vested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Terms of</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Grant</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Exercise</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41"/>
        </w:trPr>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Outstanding</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Fair Value</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30"/>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4,624,725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3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2,171,250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(7,500)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2.59</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2.22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4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(185,770</w:t>
            </w:r>
          </w:p>
        </w:tc>
        <w:tc>
          <w:tcPr>
            <w:tcW w:w="20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40" w:type="dxa"/>
            <w:vAlign w:val="bottom"/>
            <w:tcBorders>
              <w:bottom w:val="single" w:sz="8" w:color="auto"/>
            </w:tcBorders>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9"/>
        </w:trPr>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6,602,705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10,750</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-1311275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-1028065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-753745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-479425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-179070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580"/>
            <w:col w:w="7060"/>
          </w:cols>
          <w:pgMar w:left="320" w:top="692" w:right="3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awards at September 30, 2021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2,538</w:t>
            </w:r>
          </w:p>
        </w:tc>
        <w:tc>
          <w:tcPr>
            <w:tcW w:w="6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740" w:type="dxa"/>
            <w:vAlign w:val="bottom"/>
            <w:gridSpan w:val="2"/>
            <w:shd w:val="clear" w:color="auto" w:fill="CCEEFF"/>
          </w:tcPr>
          <w:p>
            <w:pPr>
              <w:jc w:val="right"/>
              <w:ind w:right="2960"/>
              <w:spacing w:after="0"/>
              <w:rPr>
                <w:sz w:val="20"/>
                <w:szCs w:val="20"/>
                <w:color w:val="auto"/>
              </w:rPr>
            </w:pPr>
            <w:r>
              <w:rPr>
                <w:rFonts w:ascii="Arial" w:cs="Arial" w:eastAsia="Arial" w:hAnsi="Arial"/>
                <w:sz w:val="18"/>
                <w:szCs w:val="18"/>
                <w:color w:val="auto"/>
              </w:rPr>
              <w:t>12,383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September 30, 2021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4,291,685</w:t>
            </w:r>
          </w:p>
        </w:tc>
        <w:tc>
          <w:tcPr>
            <w:tcW w:w="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 intrinsic value of equity awards exercisable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2021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$700,624 and $417,476 for the three-month periods ended September 30, 2021 and 2020, respectively. Of these amounts, $241,288 and $164,035 was charged to research and development during the three-month periods ended September 30, 2021 and 2020, respectively, and $459,336 and $253,441 was charged to general and administrative expenses during the three-month periods ended September 30, 2021 and 2020,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$3,073,569 and $1,448,202 for the nine-month periods ended September 30, 2021 and 2020, respectively. Of these amounts, $1,123,376 and $542,157 was charged to research and development during the nine-month periods ended September 30, 2021 and 2020, respectively, and $1,950,193 and $906,045 was charged to general and administrative expenses during the nine-month periods ended September 30, 2021 and 2020,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there was $2.4 million of total unrecognized compensation cost related to non-vested stock-based compensation arrangements. That cost is expected to be recognized over a weighted-average period of 1.0 years. The weighted average grant date fair values of the stock options granted was $1.97 and $3.07 during the nine-month periods ended September 30, 2021 and 2020,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40" w:type="dxa"/>
            <w:vAlign w:val="bottom"/>
            <w:tcBorders>
              <w:bottom w:val="single" w:sz="8" w:color="CCEEFF"/>
            </w:tcBorders>
          </w:tcPr>
          <w:p>
            <w:pPr>
              <w:spacing w:after="0"/>
              <w:rPr>
                <w:sz w:val="21"/>
                <w:szCs w:val="21"/>
                <w:color w:val="auto"/>
              </w:rPr>
            </w:pPr>
          </w:p>
        </w:tc>
        <w:tc>
          <w:tcPr>
            <w:tcW w:w="3260" w:type="dxa"/>
            <w:vAlign w:val="bottom"/>
            <w:tcBorders>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1"/>
                <w:szCs w:val="2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 to 1.74%</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 to 1.33%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Expected volatility</w:t>
            </w:r>
          </w:p>
        </w:tc>
        <w:tc>
          <w:tcPr>
            <w:tcW w:w="3260" w:type="dxa"/>
            <w:vAlign w:val="bottom"/>
          </w:tcPr>
          <w:p>
            <w:pPr>
              <w:spacing w:after="0"/>
              <w:rPr>
                <w:sz w:val="18"/>
                <w:szCs w:val="18"/>
                <w:color w:val="auto"/>
              </w:rPr>
            </w:pP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106.8 to 113.2%</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100.4 to 104.8%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2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 to 10.0</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 to 10.0</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25"/>
        </w:trPr>
        <w:tc>
          <w:tcPr>
            <w:tcW w:w="36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21</w:t>
            </w:r>
          </w:p>
        </w:tc>
        <w:tc>
          <w:tcPr>
            <w:tcW w:w="1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type w:val="continuous"/>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Earn-Out Milestone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June 30, 2021, and December 31, 2020, the Company calculated the fair value of the earn-out milestone liability at $7.3 million, $7.1 million and $7.0 million, respectively, and recognized a non-cash charge of $0.3 million and for each of the three-months and nine months ended September 30, 2021. In assessing the earnout milestone liability at September 30, 2021 and June 30, 2021, the Company determined the fair value of each of the two payment options per the Amended Asset Purchase Agreement and weighted them at 50% and 50% probability for the $7.0 million and the $12.4 million payments, respectively.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2020, June 30, 2020 and December 31, 2019, the Company calculated the fair value of the earn-out milestone liability at $7.1 million, $6.0 million, and $5.7 million, respectively, and recognized a non-cash charge of $1.1 and $1.4 million for the three-month and nine-month periods ended September 30, 2020, respectively. In assessing the earnout milestone liability at September 30, 2020, the Company fair valued each of the two payment options per the Amended Asset Purchase Agreement and weighted them at 50% and 50% probability for the $7.0 million and the $12.4 million payments, respectively, and at June 30, 2020, the Company determined the fair value of each of the two payment options per the Amended Asset Purchase Agreement and weighted them at 80% and 20% probability for the $7.0 million and the $12.4 million payments,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the nine-month period ended September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2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Non-cash loss from the change in fair value</w:t>
            </w:r>
          </w:p>
        </w:tc>
        <w:tc>
          <w:tcPr>
            <w:tcW w:w="2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(327,000)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spacing w:after="0"/>
              <w:rPr>
                <w:sz w:val="20"/>
                <w:szCs w:val="20"/>
                <w:color w:val="auto"/>
              </w:rPr>
            </w:pPr>
            <w:r>
              <w:rPr>
                <w:rFonts w:ascii="Arial" w:cs="Arial" w:eastAsia="Arial" w:hAnsi="Arial"/>
                <w:sz w:val="18"/>
                <w:szCs w:val="18"/>
                <w:color w:val="auto"/>
                <w:w w:val="90"/>
              </w:rPr>
              <w:t>The following is a schedule of the Company’s risk-adjustment assessment of each milestone:</w:t>
            </w: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gridSpan w:val="4"/>
            <w:vMerge w:val="continue"/>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Risk-adjustment</w:t>
            </w: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Assessment</w:t>
            </w: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of Achieving Each</w:t>
            </w: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Estimated Time</w:t>
            </w:r>
          </w:p>
        </w:tc>
        <w:tc>
          <w:tcPr>
            <w:tcW w:w="0" w:type="dxa"/>
            <w:vAlign w:val="bottom"/>
          </w:tcPr>
          <w:p>
            <w:pPr>
              <w:spacing w:after="0"/>
              <w:rPr>
                <w:sz w:val="1"/>
                <w:szCs w:val="1"/>
                <w:color w:val="auto"/>
              </w:rPr>
            </w:pPr>
          </w:p>
        </w:tc>
      </w:tr>
      <w:tr>
        <w:trPr>
          <w:trHeight w:val="241"/>
        </w:trPr>
        <w:tc>
          <w:tcPr>
            <w:tcW w:w="4240" w:type="dxa"/>
            <w:vAlign w:val="bottom"/>
            <w:gridSpan w:val="2"/>
          </w:tcPr>
          <w:p>
            <w:pPr>
              <w:ind w:left="1840"/>
              <w:spacing w:after="0"/>
              <w:rPr>
                <w:sz w:val="20"/>
                <w:szCs w:val="20"/>
                <w:color w:val="auto"/>
              </w:rPr>
            </w:pPr>
            <w:r>
              <w:rPr>
                <w:rFonts w:ascii="Arial" w:cs="Arial" w:eastAsia="Arial" w:hAnsi="Arial"/>
                <w:sz w:val="18"/>
                <w:szCs w:val="18"/>
                <w:color w:val="auto"/>
              </w:rPr>
              <w:t>Date</w:t>
            </w: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Milestone</w:t>
            </w:r>
          </w:p>
        </w:tc>
        <w:tc>
          <w:tcPr>
            <w:tcW w:w="2740" w:type="dxa"/>
            <w:vAlign w:val="bottom"/>
            <w:gridSpan w:val="3"/>
          </w:tcPr>
          <w:p>
            <w:pPr>
              <w:jc w:val="right"/>
              <w:ind w:right="1090"/>
              <w:spacing w:after="0"/>
              <w:rPr>
                <w:sz w:val="20"/>
                <w:szCs w:val="20"/>
                <w:color w:val="auto"/>
              </w:rPr>
            </w:pPr>
            <w:r>
              <w:rPr>
                <w:rFonts w:ascii="Arial" w:cs="Arial" w:eastAsia="Arial" w:hAnsi="Arial"/>
                <w:sz w:val="18"/>
                <w:szCs w:val="18"/>
                <w:color w:val="auto"/>
              </w:rPr>
              <w:t>Discount Rate</w:t>
            </w: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to Achieve</w:t>
            </w:r>
          </w:p>
        </w:tc>
        <w:tc>
          <w:tcPr>
            <w:tcW w:w="0" w:type="dxa"/>
            <w:vAlign w:val="bottom"/>
          </w:tcPr>
          <w:p>
            <w:pPr>
              <w:spacing w:after="0"/>
              <w:rPr>
                <w:sz w:val="1"/>
                <w:szCs w:val="1"/>
                <w:color w:val="auto"/>
              </w:rPr>
            </w:pPr>
          </w:p>
        </w:tc>
      </w:tr>
      <w:tr>
        <w:trPr>
          <w:trHeight w:val="216"/>
        </w:trPr>
        <w:tc>
          <w:tcPr>
            <w:tcW w:w="4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74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6.54% to 6.60%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 to 1.29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250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24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0.42 to 1.42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 to 1.54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 to 1.38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250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24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0.54 to 1.54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 to 2.12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15. Warrants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w w:val="92"/>
              </w:rPr>
              <w:t>Following is a summary of all warrant activity for the nine-months ended September 30, 2021: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Warrants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69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Issued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w:t>
            </w:r>
          </w:p>
        </w:tc>
      </w:tr>
      <w:tr>
        <w:trPr>
          <w:trHeight w:val="216"/>
        </w:trPr>
        <w:tc>
          <w:tcPr>
            <w:tcW w:w="6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December 31, 2020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3,853,566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exercised during the nine months ended September 30, 2021 (see Note 12)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(1,216,667)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September 30, 2021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2,636,899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September 30, 2021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159,857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September 30, 2021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16. Leases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This Lease was set to expire on April 30, 2017. In April 2017, the Company and the landlord amended the Lease effective May 1, 2017.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w:t>
      </w:r>
      <w:r>
        <w:rPr>
          <w:rFonts w:ascii="Arial" w:cs="Arial" w:eastAsia="Arial" w:hAnsi="Arial"/>
          <w:sz w:val="26"/>
          <w:szCs w:val="26"/>
          <w:color w:val="auto"/>
          <w:vertAlign w:val="superscript"/>
        </w:rPr>
        <w:t>st</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Lease Amendment. Effective January 9, 2019, the Company amended the current terms of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Lease Amendment to increase the size of the premises by 2,285 square feet to 9,850 square feet and also extended the lease term by one year to September 1, 2023. The monthly rent ranges from approximately $25,035 in the first year to approximately $27,088 in the final year of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 On June 9, 2021 and, as amended on July 7, 2021, the Company and the Huntsville landlord entered into a 22-month lease for an additional 2,197 square foot premises with rent payments of approximately $5,500 per month.</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Condensed Consolidated Balance Sheet but had no impact on our condensed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terminated. In connection with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 In connection with the 2021 lease, as amended, the Company determined this lease should be treated as a separate contract. Therefore, during the third quarter of 2021, the Company increased the ROU assets and operating lease liabilities by $0.1 million.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w w:val="95"/>
              </w:rPr>
              <w:t>Following is a table of the lease payments and maturity of our operating lease liabilities as of September 30, 2021:</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year ending</w:t>
            </w:r>
          </w:p>
        </w:tc>
      </w:tr>
      <w:tr>
        <w:trPr>
          <w:trHeight w:val="241"/>
        </w:trPr>
        <w:tc>
          <w:tcPr>
            <w:tcW w:w="8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r>
      <w:tr>
        <w:trPr>
          <w:trHeight w:val="216"/>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149,573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601,495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238,609</w:t>
            </w:r>
          </w:p>
        </w:tc>
      </w:tr>
      <w:tr>
        <w:trPr>
          <w:trHeight w:val="237"/>
        </w:trPr>
        <w:tc>
          <w:tcPr>
            <w:tcW w:w="8700" w:type="dxa"/>
            <w:vAlign w:val="bottom"/>
          </w:tcPr>
          <w:p>
            <w:pPr>
              <w:spacing w:after="0"/>
              <w:rPr>
                <w:sz w:val="20"/>
                <w:szCs w:val="20"/>
                <w:color w:val="auto"/>
              </w:rPr>
            </w:pPr>
            <w:r>
              <w:rPr>
                <w:rFonts w:ascii="Arial" w:cs="Arial" w:eastAsia="Arial" w:hAnsi="Arial"/>
                <w:sz w:val="18"/>
                <w:szCs w:val="18"/>
                <w:color w:val="auto"/>
              </w:rPr>
              <w:t>2024 and thereafter</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future lease payments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989,677</w:t>
            </w: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(81,895)</w:t>
            </w:r>
          </w:p>
        </w:tc>
      </w:tr>
      <w:tr>
        <w:trPr>
          <w:trHeight w:val="223"/>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life</w:t>
            </w: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 years</w:t>
            </w:r>
          </w:p>
        </w:tc>
      </w:tr>
      <w:tr>
        <w:trPr>
          <w:trHeight w:val="216"/>
        </w:trPr>
        <w:tc>
          <w:tcPr>
            <w:tcW w:w="8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three-month and nine-month periods ended September 30, 2021, operating lease expense was $146,936 and $413,577, respectively and cash paid for operating leases included in operating cash flows was $149,115 and $418,696, respectively. For the three-month and nine-month periods ended September 30, 2020, operating lease expense was $130,595 and $391,785, respectively and cash paid for operating leases included in operating cash flows was $131,863 and $393,947,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the 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initially be limited to a percentage of the production requirements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with Hisun retaining an option for additional global supply after local regulatory approval in the China territory. In addition, Hisun will collaborate with Celsion around the regulatory approval</w:t>
      </w:r>
    </w:p>
    <w:p>
      <w:pPr>
        <w:jc w:val="both"/>
        <w:spacing w:after="0" w:line="228" w:lineRule="auto"/>
        <w:rPr>
          <w:sz w:val="20"/>
          <w:szCs w:val="20"/>
          <w:color w:val="auto"/>
        </w:rPr>
      </w:pPr>
      <w:r>
        <w:rPr>
          <w:rFonts w:ascii="Arial" w:cs="Arial" w:eastAsia="Arial" w:hAnsi="Arial"/>
          <w:sz w:val="18"/>
          <w:szCs w:val="18"/>
          <w:color w:val="auto"/>
        </w:rPr>
        <w:t>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the China State Food and Drug Administration (CHINA FDA). During the first quarter of 2015, Hisun completed the successful manufacture of three registration batches of ThermoDox</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8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9"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cooperation for the continued clinical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the technology transfer relating to the commercial manufacture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3" w:lineRule="exact"/>
        <w:rPr>
          <w:rFonts w:ascii="Arial" w:cs="Arial" w:eastAsia="Arial" w:hAnsi="Arial"/>
          <w:sz w:val="18"/>
          <w:szCs w:val="18"/>
          <w:b w:val="1"/>
          <w:bCs w:val="1"/>
          <w:color w:val="auto"/>
        </w:rPr>
      </w:pPr>
    </w:p>
    <w:p>
      <w:pPr>
        <w:ind w:left="660" w:hanging="652"/>
        <w:spacing w:after="0" w:line="186" w:lineRule="auto"/>
        <w:tabs>
          <w:tab w:leader="none" w:pos="66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coordinate with the Company around the clinical and regulatory approval 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other liposomal formations with the CHINA FDA; and</w:t>
      </w:r>
    </w:p>
    <w:p>
      <w:pPr>
        <w:spacing w:after="0" w:line="207" w:lineRule="exact"/>
        <w:rPr>
          <w:rFonts w:ascii="Arial" w:cs="Arial" w:eastAsia="Arial" w:hAnsi="Arial"/>
          <w:sz w:val="36"/>
          <w:szCs w:val="36"/>
          <w:b w:val="1"/>
          <w:bCs w:val="1"/>
          <w:color w:val="auto"/>
          <w:vertAlign w:val="superscript"/>
        </w:rPr>
      </w:pPr>
    </w:p>
    <w:p>
      <w:pPr>
        <w:ind w:left="660" w:hanging="652"/>
        <w:spacing w:after="0" w:line="186" w:lineRule="auto"/>
        <w:tabs>
          <w:tab w:leader="none" w:pos="66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Hisun will be granted a right of </w:t>
      </w:r>
      <w:r>
        <w:rPr>
          <w:rFonts w:ascii="Arial" w:cs="Arial" w:eastAsia="Arial" w:hAnsi="Arial"/>
          <w:sz w:val="18"/>
          <w:szCs w:val="18"/>
          <w:i w:val="1"/>
          <w:iCs w:val="1"/>
          <w:color w:val="auto"/>
        </w:rPr>
        <w:t>first</w:t>
      </w:r>
      <w:r>
        <w:rPr>
          <w:rFonts w:ascii="Arial" w:cs="Arial" w:eastAsia="Arial" w:hAnsi="Arial"/>
          <w:sz w:val="18"/>
          <w:szCs w:val="18"/>
          <w:color w:val="auto"/>
        </w:rPr>
        <w:t xml:space="preserve"> offer for a commercial license to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sale and distribution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China territory.</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CHINA FDA for site approval; and</w:t>
      </w:r>
    </w:p>
    <w:p>
      <w:pPr>
        <w:spacing w:after="0" w:line="170"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w:t>
      </w:r>
      <w:r>
        <w:rPr>
          <w:rFonts w:ascii="Arial" w:cs="Arial" w:eastAsia="Arial" w:hAnsi="Arial"/>
          <w:sz w:val="17"/>
          <w:szCs w:val="17"/>
          <w:i w:val="1"/>
          <w:iCs w:val="1"/>
          <w:color w:val="auto"/>
        </w:rPr>
        <w:t>O’Connor v. Braun et al., Docket No. MER-C-000068-19</w:t>
      </w:r>
      <w:r>
        <w:rPr>
          <w:rFonts w:ascii="Arial" w:cs="Arial" w:eastAsia="Arial" w:hAnsi="Arial"/>
          <w:sz w:val="17"/>
          <w:szCs w:val="17"/>
          <w:color w:val="auto"/>
        </w:rPr>
        <w:t xml:space="preserve"> (the “Shareholder Action”).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69" w:lineRule="auto"/>
        <w:rPr>
          <w:sz w:val="20"/>
          <w:szCs w:val="20"/>
          <w:color w:val="auto"/>
        </w:rPr>
      </w:pPr>
      <w:r>
        <w:rPr>
          <w:rFonts w:ascii="Arial" w:cs="Arial" w:eastAsia="Arial" w:hAnsi="Arial"/>
          <w:sz w:val="17"/>
          <w:szCs w:val="17"/>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was held on September 8, 2020 whereby the Court issued a final approval approving the Settlement. Pursuant to the Settlement, the Company paid $187,500 on October 1, 2020.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was desirable that the claims be settled on the terms and subject to the conditions set forth in the Settlement Agreement. The Company and the Individual Defendants entered into the Settlement Agreement for settlement purposes only and solely to avoid the cost and disruption of further litigation.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6"/>
          <w:szCs w:val="16"/>
          <w:i w:val="1"/>
          <w:iCs w:val="1"/>
          <w:color w:val="auto"/>
        </w:rPr>
        <w:t>Spar v. Celsion Corporation, et al.</w:t>
      </w:r>
      <w:r>
        <w:rPr>
          <w:rFonts w:ascii="Arial" w:cs="Arial" w:eastAsia="Arial" w:hAnsi="Arial"/>
          <w:sz w:val="16"/>
          <w:szCs w:val="16"/>
          <w:color w:val="auto"/>
        </w:rPr>
        <w:t>, Case No. 1:20-cv-15228. The plaintiff alleges that the Company and Individual Defendants made false and misleading statements regarding one of the Company’s product candidates,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of 2021, a complaint regarding a corporate books and records demand was filed against the Company in the Court of Chancery of the State of Delaware, captioned </w:t>
      </w:r>
      <w:r>
        <w:rPr>
          <w:rFonts w:ascii="Arial" w:cs="Arial" w:eastAsia="Arial" w:hAnsi="Arial"/>
          <w:sz w:val="18"/>
          <w:szCs w:val="18"/>
          <w:i w:val="1"/>
          <w:iCs w:val="1"/>
          <w:color w:val="auto"/>
        </w:rPr>
        <w:t>Pacheco v. Celsion Corporation</w:t>
      </w:r>
      <w:r>
        <w:rPr>
          <w:rFonts w:ascii="Arial" w:cs="Arial" w:eastAsia="Arial" w:hAnsi="Arial"/>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Due to the early stage of the case neither the likelihood that a loss, if any, will be realized, nor an estimate of possible loss or range of loss, if any, can be determined.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strong position to capitalize on this technology platform.</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Immunotherapy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therapy is ideal for long-term maintenance therapy.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OVATION I Study. </w:t>
      </w:r>
      <w:r>
        <w:rPr>
          <w:rFonts w:ascii="Arial" w:cs="Arial" w:eastAsia="Arial" w:hAnsi="Arial"/>
          <w:sz w:val="17"/>
          <w:szCs w:val="17"/>
          <w:color w:val="auto"/>
        </w:rPr>
        <w:t>In February 2015, we announced that the U.S. Food and Drug Administration (“FDA”) accepted, without objection, the Phase I dose-escalation clinical trial of GEN-1 in combination with the standard of care in neoadjuvant ovarian cancer (the “OVATION I Study”). On September 30, 2015, we announced enrollment of the first patient in the OVATION I Study. The OVATION I Study was designed to:</w:t>
      </w:r>
    </w:p>
    <w:p>
      <w:pPr>
        <w:spacing w:after="0" w:line="16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a safe, tolerable and therapeutically active dose of GEN-1 by recruiting and maximizing an immune response;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enroll three to six patients per dose level and evaluate safety and efficacy;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attempt to define an optimal dose for a follow-on Phase I/II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8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2019, the Company announced final progression free survival (“PFS”) results from the OVATION I Study. Median PFS in patients treated per protocol (n=14) was 21 months and was 17.1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OVATION 2 Study. </w:t>
      </w:r>
      <w:r>
        <w:rPr>
          <w:rFonts w:ascii="Arial" w:cs="Arial" w:eastAsia="Arial" w:hAnsi="Arial"/>
          <w:sz w:val="16"/>
          <w:szCs w:val="16"/>
          <w:color w:val="auto"/>
        </w:rPr>
        <w:t>The Company held an Advisory Board Meeting on September 27, 2017 with the clinical investigators and scientific experts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GEN-1 immunotherapy program.</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311" w:lineRule="auto"/>
        <w:rPr>
          <w:sz w:val="20"/>
          <w:szCs w:val="20"/>
          <w:color w:val="auto"/>
        </w:rPr>
      </w:pPr>
      <w:r>
        <w:rPr>
          <w:rFonts w:ascii="Arial" w:cs="Arial" w:eastAsia="Arial" w:hAnsi="Arial"/>
          <w:sz w:val="16"/>
          <w:szCs w:val="16"/>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10240" w:hanging="194"/>
        <w:spacing w:after="0"/>
        <w:tabs>
          <w:tab w:leader="none" w:pos="102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of</w:t>
      </w:r>
    </w:p>
    <w:p>
      <w:pPr>
        <w:spacing w:after="0" w:line="23"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Patients</w:t>
      </w:r>
    </w:p>
    <w:p>
      <w:pPr>
        <w:spacing w:after="0" w:line="9"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with R0</w:t>
      </w:r>
    </w:p>
    <w:p>
      <w:pPr>
        <w:spacing w:after="0" w:line="9"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Resections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840" w:type="dxa"/>
            <w:vAlign w:val="bottom"/>
            <w:shd w:val="clear" w:color="auto" w:fill="CCEEFF"/>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GEN-1 plus NACT</w:t>
            </w:r>
          </w:p>
        </w:tc>
        <w:tc>
          <w:tcPr>
            <w:tcW w:w="3560" w:type="dxa"/>
            <w:vAlign w:val="bottom"/>
            <w:shd w:val="clear" w:color="auto" w:fill="CCEEFF"/>
          </w:tcPr>
          <w:p>
            <w:pPr>
              <w:ind w:left="2860"/>
              <w:spacing w:after="0" w:line="203" w:lineRule="exact"/>
              <w:rPr>
                <w:sz w:val="20"/>
                <w:szCs w:val="20"/>
                <w:color w:val="auto"/>
              </w:rPr>
            </w:pPr>
            <w:r>
              <w:rPr>
                <w:rFonts w:ascii="Arial" w:cs="Arial" w:eastAsia="Arial" w:hAnsi="Arial"/>
                <w:sz w:val="18"/>
                <w:szCs w:val="18"/>
                <w:color w:val="auto"/>
              </w:rPr>
              <w:t>n=12</w:t>
            </w:r>
          </w:p>
        </w:tc>
        <w:tc>
          <w:tcPr>
            <w:tcW w:w="18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42%</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3560" w:type="dxa"/>
            <w:vAlign w:val="bottom"/>
          </w:tcPr>
          <w:p>
            <w:pPr>
              <w:ind w:left="2860"/>
              <w:spacing w:after="0"/>
              <w:rPr>
                <w:sz w:val="20"/>
                <w:szCs w:val="20"/>
                <w:color w:val="auto"/>
              </w:rPr>
            </w:pPr>
            <w:r>
              <w:rPr>
                <w:rFonts w:ascii="Arial" w:cs="Arial" w:eastAsia="Arial" w:hAnsi="Arial"/>
                <w:sz w:val="18"/>
                <w:szCs w:val="18"/>
                <w:color w:val="auto"/>
              </w:rPr>
              <w:t>n=17</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ind w:left="6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296" w:lineRule="auto"/>
        <w:rPr>
          <w:sz w:val="20"/>
          <w:szCs w:val="20"/>
          <w:color w:val="auto"/>
        </w:rPr>
      </w:pPr>
      <w:r>
        <w:rPr>
          <w:rFonts w:ascii="Arial" w:cs="Arial" w:eastAsia="Arial" w:hAnsi="Arial"/>
          <w:sz w:val="16"/>
          <w:szCs w:val="16"/>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27, 2020, the Company announced the randomization of the first two patients in the Phase II portion of the OVATION 2 Study with GEN-1 in advanced ovarian cancer. The Company anticipates completing enrollment of up to 110 patients in the first half of 2022. Because this is an open-label study, the Company intends to provide clinical updates throughout the course of treatment including response rates and surgical resection scores.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2021, the Company announced that it has received Fast Track designation from the FDA for GEN-1,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Currently, 27 patients have had their interval debulking surgery with the following results:</w:t>
      </w:r>
    </w:p>
    <w:p>
      <w:pPr>
        <w:spacing w:after="0" w:line="157"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 of 15, or 80%, of patients treated with GEN-1 had a R0 resection, which indicates a microscopically margin-negative complete resection in which no gross or microscopic tumor remains in the tumor bed.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 of 12 patients, or 58%, of patients in the control arm had an R0 resection.</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further reported that 22 clinical sites in the U.S. and Canada have been initiated, with three more sites expected to be added by the end of the first quarter. Clinical investigators met in early February 2021 in a virtual meeting and expressed excitement about the potential for GEN-1 to treat advanced ovarian cancer and, despite the challenges and earlier delays posed by the COVID-19 pandemic, they remain committed to completing enrollment in the study during the first half of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PLACCINE DNA VACCINE TECHNOLOGY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platform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Celsion’s PLACCINE DNA vaccine technology platform is characterized by a single multi-cistronic DNA plasmid vector expressing multiple pathogen antigens along with a potent immune modifier and delivered with a synthetic delivery system. It is easily adaptable to creating vaccines for a multitude of pathogens, including emerging pathogens leading to pandemics as well as infectious diseases that have yet to be effectively addressed with current vaccine technologies. This flexible vaccine platform is well supported by an already established supply chain to produce any plasmid vector and its assembly into a respective vaccine formulation.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nanoparticles are stable at storage temperatures of 4</w:t>
      </w:r>
      <w:r>
        <w:rPr>
          <w:rFonts w:ascii="Arial" w:cs="Arial" w:eastAsia="Arial" w:hAnsi="Arial"/>
          <w:sz w:val="29"/>
          <w:szCs w:val="29"/>
          <w:color w:val="auto"/>
          <w:vertAlign w:val="superscript"/>
        </w:rPr>
        <w:t>o</w:t>
      </w:r>
      <w:r>
        <w:rPr>
          <w:rFonts w:ascii="Arial" w:cs="Arial" w:eastAsia="Arial" w:hAnsi="Arial"/>
          <w:sz w:val="18"/>
          <w:szCs w:val="18"/>
          <w:color w:val="auto"/>
        </w:rPr>
        <w:t>C to 25</w:t>
      </w:r>
      <w:r>
        <w:rPr>
          <w:rFonts w:ascii="Arial" w:cs="Arial" w:eastAsia="Arial" w:hAnsi="Arial"/>
          <w:sz w:val="29"/>
          <w:szCs w:val="29"/>
          <w:color w:val="auto"/>
          <w:vertAlign w:val="superscript"/>
        </w:rPr>
        <w:t>o</w:t>
      </w:r>
      <w:r>
        <w:rPr>
          <w:rFonts w:ascii="Arial" w:cs="Arial" w:eastAsia="Arial" w:hAnsi="Arial"/>
          <w:sz w:val="18"/>
          <w:szCs w:val="18"/>
          <w:color w:val="auto"/>
        </w:rPr>
        <w:t>C, making vaccines developed on this platform easily suitable for broad world-wide distribution.</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COVID-19 Vaccine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The vast majority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Next Generation Vaccine Initiative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Celsion’s next generation vaccine initiative stands at the confluence of immunotherapy and immunogenicity and envisions delivery, on a single plasmid, multiple SARS-CoV-2 antigens in conjunction with a potent immune modifier, interleukin-12 (IL-12), which directs a TH-1 immune response, stimulates T-cell immunity, and also promises the promotion of humoral immunity (antibody response). While most COVID-19 vaccines in late-stage clinical development are monovalent (S protein antigen only), Celsion has taken this multivalent approach in an effort to generate an even more robust immune response that not only results in a strong neutralizing antibody response, but also a more robust and durable T-cell response.</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Celsion’s vaccine candidate approach comprises a single plasmid vector containing the DNA sequence encoding the cytokine IL-12 and multiple SARS-CoV-2 antigens, including S antigen in combination with the membrane (M) or nucleocapsid (N) antigen.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w:t>
      </w:r>
    </w:p>
    <w:p>
      <w:pPr>
        <w:spacing w:after="0" w:line="157" w:lineRule="exact"/>
        <w:rPr>
          <w:sz w:val="20"/>
          <w:szCs w:val="20"/>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While the antibodies against S antigen would prevent virus entry into cells, the M and N antibodies could help virus clearance through antibody-mediated opsonization and phagocytosis. The presentation of multiple antigens on the cell surface of vaccine-injected tissue produces a broad variety of killer T-cells which could potentially produce more efficient viral clearance than a single antigen vaccine.</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Since IL-12 is an essential regulator of the differentiation, proliferation, and maintenance of T helper 1 (TH-1) cells that generate killer T-cells and memory T-cells against virally infected cells, its simultaneous expression could boost the viral clearance by the vaccine and improve the immune system’s memory against any future exposure of the same virus.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Finally,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along with a potent immune modifier. It is delivered via a synthetic delivery system and has the potential to be easily modified to create vaccines against a multitude of infectious diseases, addressing:</w:t>
      </w:r>
    </w:p>
    <w:p>
      <w:pPr>
        <w:spacing w:after="0" w:line="172" w:lineRule="exact"/>
        <w:rPr>
          <w:sz w:val="20"/>
          <w:szCs w:val="20"/>
          <w:color w:val="auto"/>
        </w:rPr>
      </w:pPr>
    </w:p>
    <w:p>
      <w:pPr>
        <w:ind w:left="6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Viral Mutations</w:t>
      </w:r>
      <w:r>
        <w:rPr>
          <w:rFonts w:ascii="Arial" w:cs="Arial" w:eastAsia="Arial" w:hAnsi="Arial"/>
          <w:sz w:val="18"/>
          <w:szCs w:val="18"/>
          <w:color w:val="auto"/>
        </w:rPr>
        <w:t>: PLACCINE may offer broad-spectrum and mutational resistance (variants) by targeting multiple antigens on a single plasmid</w:t>
      </w:r>
      <w:r>
        <w:rPr>
          <w:rFonts w:ascii="Arial" w:cs="Arial" w:eastAsia="Arial" w:hAnsi="Arial"/>
          <w:sz w:val="18"/>
          <w:szCs w:val="18"/>
          <w:b w:val="1"/>
          <w:bCs w:val="1"/>
          <w:color w:val="auto"/>
        </w:rPr>
        <w:t xml:space="preserve"> </w:t>
      </w:r>
      <w:r>
        <w:rPr>
          <w:rFonts w:ascii="Arial" w:cs="Arial" w:eastAsia="Arial" w:hAnsi="Arial"/>
          <w:sz w:val="18"/>
          <w:szCs w:val="18"/>
          <w:color w:val="auto"/>
        </w:rPr>
        <w:t>vector.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Enhanced Efficacy</w:t>
      </w:r>
      <w:r>
        <w:rPr>
          <w:rFonts w:ascii="Arial" w:cs="Arial" w:eastAsia="Arial" w:hAnsi="Arial"/>
          <w:sz w:val="18"/>
          <w:szCs w:val="18"/>
          <w:color w:val="auto"/>
        </w:rPr>
        <w:t>: The potent immune modifier IL-12 may improve humoral and cellular responses to viral antigens and can be incorporated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plasmid.</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Durable Efficacy</w:t>
      </w:r>
      <w:r>
        <w:rPr>
          <w:rFonts w:ascii="Arial" w:cs="Arial" w:eastAsia="Arial" w:hAnsi="Arial"/>
          <w:sz w:val="18"/>
          <w:szCs w:val="18"/>
          <w:color w:val="auto"/>
        </w:rPr>
        <w:t>: PLACCINE delivers a DNA plasmid-based antigen that can result in durable antigen exposure and a robust vaccine response to</w:t>
      </w:r>
      <w:r>
        <w:rPr>
          <w:rFonts w:ascii="Arial" w:cs="Arial" w:eastAsia="Arial" w:hAnsi="Arial"/>
          <w:sz w:val="18"/>
          <w:szCs w:val="18"/>
          <w:b w:val="1"/>
          <w:bCs w:val="1"/>
          <w:color w:val="auto"/>
        </w:rPr>
        <w:t xml:space="preserve"> </w:t>
      </w:r>
      <w:r>
        <w:rPr>
          <w:rFonts w:ascii="Arial" w:cs="Arial" w:eastAsia="Arial" w:hAnsi="Arial"/>
          <w:sz w:val="18"/>
          <w:szCs w:val="18"/>
          <w:color w:val="auto"/>
        </w:rPr>
        <w:t>viral antigens.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Storage &amp; Distribution</w:t>
      </w:r>
      <w:r>
        <w:rPr>
          <w:rFonts w:ascii="Arial" w:cs="Arial" w:eastAsia="Arial" w:hAnsi="Arial"/>
          <w:sz w:val="18"/>
          <w:szCs w:val="18"/>
          <w:color w:val="auto"/>
        </w:rPr>
        <w:t>: PLACCINE allows for stability that is compatible with manageable vaccine storage and distribution.</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Simple Dosing &amp; Administration</w:t>
      </w:r>
      <w:r>
        <w:rPr>
          <w:rFonts w:ascii="Arial" w:cs="Arial" w:eastAsia="Arial" w:hAnsi="Arial"/>
          <w:sz w:val="18"/>
          <w:szCs w:val="18"/>
          <w:color w:val="auto"/>
        </w:rPr>
        <w:t>: PLACCINE is a synthetic delivery system that should require a simple injection that does not require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or special equipment to deliver its payload.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September 2, 2021, the Company announced results from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Celsion’s PLACCINE DNA vaccine, which is intended to provide broad-spectrum protection and resistance against variants by incorporating multiple viral antigens, to improve vaccine stability at storage temperatures of 4</w:t>
      </w:r>
      <w:r>
        <w:rPr>
          <w:rFonts w:ascii="Arial" w:cs="Arial" w:eastAsia="Arial" w:hAnsi="Arial"/>
          <w:sz w:val="28"/>
          <w:szCs w:val="28"/>
          <w:color w:val="auto"/>
          <w:vertAlign w:val="superscript"/>
        </w:rPr>
        <w:t>o</w:t>
      </w:r>
      <w:r>
        <w:rPr>
          <w:rFonts w:ascii="Arial" w:cs="Arial" w:eastAsia="Arial" w:hAnsi="Arial"/>
          <w:sz w:val="17"/>
          <w:szCs w:val="17"/>
          <w:color w:val="auto"/>
        </w:rPr>
        <w:t xml:space="preserve"> C and above, and to facilitate cheaper and easier manufacturing.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 DIRECTED CHEMOTHERAPY</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 Study</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OPTIMA Study represents an evaluation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a first line therapy, RFA, for newly diagnosed, intermediate stage hepatocellular carcinoma (“HCC”) patients. The OPTIMA Study was designed to enroll up to 550 patients globally at approximately 65 clinical sites in the</w:t>
      </w:r>
    </w:p>
    <w:p>
      <w:pPr>
        <w:jc w:val="both"/>
        <w:spacing w:after="0" w:line="238" w:lineRule="auto"/>
        <w:rPr>
          <w:sz w:val="20"/>
          <w:szCs w:val="20"/>
          <w:color w:val="auto"/>
        </w:rPr>
      </w:pPr>
      <w:r>
        <w:rPr>
          <w:rFonts w:ascii="Arial" w:cs="Arial" w:eastAsia="Arial" w:hAnsi="Arial"/>
          <w:sz w:val="17"/>
          <w:szCs w:val="17"/>
          <w:color w:val="auto"/>
        </w:rPr>
        <w:t>U.S., Canada, European Union (EU), China and other countries in the Asia-Pacific region and will evaluate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On February 24, 2014, we announced that the FDA provided clearance for the OPTIMA Study, which is a pivotal, double-blind, placebo-controlled Phase</w:t>
      </w:r>
    </w:p>
    <w:p>
      <w:pPr>
        <w:spacing w:after="0" w:line="46" w:lineRule="exact"/>
        <w:rPr>
          <w:sz w:val="20"/>
          <w:szCs w:val="20"/>
          <w:color w:val="auto"/>
        </w:rPr>
      </w:pPr>
    </w:p>
    <w:p>
      <w:pPr>
        <w:jc w:val="both"/>
        <w:ind w:right="20" w:firstLine="8"/>
        <w:spacing w:after="0" w:line="221" w:lineRule="auto"/>
        <w:tabs>
          <w:tab w:leader="none" w:pos="2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trial of ThermoDox</w:t>
      </w:r>
      <w:r>
        <w:rPr>
          <w:rFonts w:ascii="Arial" w:cs="Arial" w:eastAsia="Arial" w:hAnsi="Arial"/>
          <w:sz w:val="29"/>
          <w:szCs w:val="29"/>
          <w:color w:val="auto"/>
          <w:vertAlign w:val="superscript"/>
        </w:rPr>
        <w:t>®</w:t>
      </w:r>
      <w:r>
        <w:rPr>
          <w:rFonts w:ascii="Arial" w:cs="Arial" w:eastAsia="Arial" w:hAnsi="Arial"/>
          <w:sz w:val="18"/>
          <w:szCs w:val="18"/>
          <w:color w:val="auto"/>
        </w:rPr>
        <w:t>, in combination with standardized RFA, for the treatment of primary liver cancer. The trial design of the OPTIMA Study is based on the comprehensive analysis of data from an earlier Phase III clinical trial called the HEAT Study (the “HEAT Study”). The OPTIMA Study is supported by a hypothesis developed from an OS analysis of a large subgroup of patients from the HEAT Study.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spacing w:after="0" w:line="262" w:lineRule="auto"/>
        <w:rPr>
          <w:sz w:val="20"/>
          <w:szCs w:val="20"/>
          <w:color w:val="auto"/>
        </w:rPr>
      </w:pPr>
      <w:r>
        <w:rPr>
          <w:rFonts w:ascii="Arial" w:cs="Arial" w:eastAsia="Arial" w:hAnsi="Arial"/>
          <w:sz w:val="16"/>
          <w:szCs w:val="16"/>
          <w:color w:val="auto"/>
        </w:rPr>
        <w:t>Post-hoc data analysis from our earlier Phase III HEAT Study suggests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patients with a single lesion (n=285, 41% of the HEAT Study patients), treatment with a combination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optimized RFA provided an average 54% risk improvement in OS compared to optimized RFA alone. The HR at this analysis is 0.65 (95% CI 0.45 - 0.94) with a p-value of 0.02. Median OS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has been reached which translates into a two-year survival benefit over the optimized RFA group (projected to be</w:t>
      </w:r>
    </w:p>
    <w:p>
      <w:pPr>
        <w:spacing w:after="0" w:line="206" w:lineRule="auto"/>
        <w:rPr>
          <w:sz w:val="20"/>
          <w:szCs w:val="20"/>
          <w:color w:val="auto"/>
        </w:rPr>
      </w:pPr>
      <w:r>
        <w:rPr>
          <w:rFonts w:ascii="Arial" w:cs="Arial" w:eastAsia="Arial" w:hAnsi="Arial"/>
          <w:sz w:val="16"/>
          <w:szCs w:val="16"/>
          <w:color w:val="auto"/>
        </w:rPr>
        <w:t>greater than 80 months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plus optimized RFA group compared to less than 60 months projection for the optimized RFA only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should be viewed with caution since it is based on a retrospective analysis of a subgroup.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also conducted additional analyses that further strengthen the evidence for the HEAT Study subgroup.</w:t>
      </w:r>
    </w:p>
    <w:p>
      <w:pPr>
        <w:spacing w:after="0" w:line="225" w:lineRule="exact"/>
        <w:rPr>
          <w:sz w:val="20"/>
          <w:szCs w:val="20"/>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commissioned an independent computational model at the University of South Carolina Medical School. The results unequivocally indicate that longer RFA heating times correlate with significant increases in doxorubicin concentration around the RFA treated tissue.</w:t>
      </w:r>
    </w:p>
    <w:p>
      <w:pPr>
        <w:spacing w:after="0" w:line="146" w:lineRule="exact"/>
        <w:rPr>
          <w:rFonts w:ascii="Arial" w:cs="Arial" w:eastAsia="Arial" w:hAnsi="Arial"/>
          <w:sz w:val="17"/>
          <w:szCs w:val="17"/>
          <w:color w:val="auto"/>
        </w:rPr>
      </w:pPr>
    </w:p>
    <w:p>
      <w:pPr>
        <w:ind w:left="660" w:hanging="328"/>
        <w:spacing w:after="0" w:line="28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we conducted a prospective preclinical study in 22 pigs using two different manufacturers of RFA and human equivalent doses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that clearly support the relationship between increased heating duration and doxorubicin concentrations.</w:t>
      </w:r>
    </w:p>
    <w:p>
      <w:pPr>
        <w:spacing w:after="0" w:line="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with the full data set from the Company’s HEAT Study. The analysis evaluated the full data set to determine if there was a correlation between baseline tumor volume and RFA heating time</w:t>
      </w:r>
    </w:p>
    <w:p>
      <w:pPr>
        <w:jc w:val="both"/>
        <w:ind w:right="20"/>
        <w:spacing w:after="0" w:line="219" w:lineRule="auto"/>
        <w:rPr>
          <w:sz w:val="20"/>
          <w:szCs w:val="20"/>
          <w:color w:val="auto"/>
        </w:rPr>
      </w:pPr>
      <w:r>
        <w:rPr>
          <w:rFonts w:ascii="Arial" w:cs="Arial" w:eastAsia="Arial" w:hAnsi="Arial"/>
          <w:sz w:val="17"/>
          <w:szCs w:val="17"/>
          <w:color w:val="auto"/>
        </w:rPr>
        <w:t>(minutes/tumor volume in milliliters), with or without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article titled, “</w:t>
      </w:r>
      <w:r>
        <w:rPr>
          <w:rFonts w:ascii="Arial" w:cs="Arial" w:eastAsia="Arial" w:hAnsi="Arial"/>
          <w:sz w:val="16"/>
          <w:szCs w:val="16"/>
          <w:i w:val="1"/>
          <w:iCs w:val="1"/>
          <w:color w:val="auto"/>
        </w:rPr>
        <w:t>RFA Duration Per Tumor Volume May Correlate with Overall Survival in Solitary Hepatocellular Carcinoma Patients Treated with RFA</w:t>
      </w:r>
      <w:r>
        <w:rPr>
          <w:rFonts w:ascii="Arial" w:cs="Arial" w:eastAsia="Arial" w:hAnsi="Arial"/>
          <w:sz w:val="16"/>
          <w:szCs w:val="16"/>
          <w:color w:val="auto"/>
        </w:rPr>
        <w:t xml:space="preserve"> </w:t>
      </w:r>
      <w:r>
        <w:rPr>
          <w:rFonts w:ascii="Arial" w:cs="Arial" w:eastAsia="Arial" w:hAnsi="Arial"/>
          <w:sz w:val="16"/>
          <w:szCs w:val="16"/>
          <w:i w:val="1"/>
          <w:iCs w:val="1"/>
          <w:color w:val="auto"/>
        </w:rPr>
        <w:t>Plus Lyso-thermosensitive Liposomal Doxorubicin</w:t>
      </w:r>
      <w:r>
        <w:rPr>
          <w:rFonts w:ascii="Arial" w:cs="Arial" w:eastAsia="Arial" w:hAnsi="Arial"/>
          <w:sz w:val="16"/>
          <w:szCs w:val="16"/>
          <w:color w:val="auto"/>
        </w:rPr>
        <w:t>,” discussed the NIH analysis of results from 437 patients in the HEAT Study (all patients with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lesion representing 62.4% of the study population). The key finding was that increased RFA heating time per tumor volume significantly improved OS in</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patients with single-lesion HCC who were treated with RFA plus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patients treated with RFA alone. A one-unit increase in RFA duration per tumor volume was shown to result in about a 20% improvement in OS for patients administered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RFA alone.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authors conclude that increasing RFA heating time in combination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significantly improves OS and establishes an improvement of over two years versus the control arm when the heating time per milliliter of tumor is greater than 2.5 minutes. This finding was consistent with the Company’s own results, which defined the optimized RFA procedure as a 45-minute treatment for tumors with a diameter of 3 centimeters. Thus, the NIH analysis lent support to the hypothesis underpinning the OPTIMA Study.</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Celsion. There were no safety concerns noted during the interim analysis. The Company followed the advice of the DMC and considered its options either to stop the study or continue to follow patients after a thorough review of the data, and an evaluation of our probability of success.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37" w:name="page38"/>
    <w:bookmarkEnd w:id="37"/>
    <w:p>
      <w:pPr>
        <w:spacing w:after="0" w:line="291" w:lineRule="auto"/>
        <w:rPr>
          <w:sz w:val="20"/>
          <w:szCs w:val="20"/>
          <w:color w:val="auto"/>
        </w:rPr>
      </w:pPr>
      <w:r>
        <w:rPr>
          <w:rFonts w:ascii="Arial" w:cs="Arial" w:eastAsia="Arial" w:hAnsi="Arial"/>
          <w:sz w:val="16"/>
          <w:szCs w:val="16"/>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spacing w:after="0" w:line="270" w:lineRule="auto"/>
        <w:rPr>
          <w:sz w:val="20"/>
          <w:szCs w:val="20"/>
          <w:color w:val="auto"/>
        </w:rPr>
      </w:pPr>
      <w:r>
        <w:rPr>
          <w:rFonts w:ascii="Arial" w:cs="Arial" w:eastAsia="Arial" w:hAnsi="Arial"/>
          <w:sz w:val="16"/>
          <w:szCs w:val="16"/>
          <w:color w:val="auto"/>
        </w:rPr>
        <w:t>issue. On October 12, 2020, the Company provided an update on the ongoing data analysis from its Phase III OPTIMA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well as growing interest among clinical investigators in conducting studies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monotherapy or in combination with other therapies.</w:t>
      </w:r>
    </w:p>
    <w:p>
      <w:pPr>
        <w:spacing w:after="0" w:line="42" w:lineRule="exact"/>
        <w:rPr>
          <w:sz w:val="20"/>
          <w:szCs w:val="20"/>
          <w:color w:val="auto"/>
        </w:rPr>
      </w:pPr>
    </w:p>
    <w:p>
      <w:pPr>
        <w:jc w:val="both"/>
        <w:ind w:left="660" w:hanging="328"/>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Celsion engaged a global biometrics contract research organization, with forensic statistical analysis capability that specializes in data management, statistical consulting, statistical analysis and data sciences, with particular expertise in evaluating unusual data from clinical trials and experience with associated regulatory issues. The primary objective of the CRO’s work was to determine the basis and reasoning behind continuing to follow patients for survival, and if there were outside influences that may have impacted the forecast of futility.</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parallel, the Company submitted all OPTIMA Study clinical trial data to the National Institutes of Health (NIH) and with the expectation of receiving a report on the following:</w:t>
      </w:r>
    </w:p>
    <w:p>
      <w:pPr>
        <w:spacing w:after="0" w:line="170" w:lineRule="exact"/>
        <w:rPr>
          <w:rFonts w:ascii="Arial" w:cs="Arial" w:eastAsia="Arial" w:hAnsi="Arial"/>
          <w:sz w:val="18"/>
          <w:szCs w:val="18"/>
          <w:color w:val="auto"/>
        </w:rPr>
      </w:pPr>
    </w:p>
    <w:p>
      <w:pPr>
        <w:jc w:val="both"/>
        <w:ind w:left="1300" w:hanging="320"/>
        <w:spacing w:after="0" w:line="231"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A Cox Regression Analysis for single solitary lesions including minimum burn time per tumor volume, evaluating similarities to the hypothesis generated from the NIH paper published in the </w:t>
      </w:r>
      <w:r>
        <w:rPr>
          <w:rFonts w:ascii="Arial" w:cs="Arial" w:eastAsia="Arial" w:hAnsi="Arial"/>
          <w:sz w:val="18"/>
          <w:szCs w:val="18"/>
          <w:i w:val="1"/>
          <w:iCs w:val="1"/>
          <w:color w:val="auto"/>
        </w:rPr>
        <w:t>Journal of Vascular and Interventional Radiology</w:t>
      </w:r>
      <w:r>
        <w:rPr>
          <w:rFonts w:ascii="Arial" w:cs="Arial" w:eastAsia="Arial" w:hAnsi="Arial"/>
          <w:sz w:val="18"/>
          <w:szCs w:val="18"/>
          <w:color w:val="auto"/>
        </w:rPr>
        <w:t>, in which the key finding was that increased RFA heating time per tumor volume significantly improved OS in patients with single lesion HCC who were treated with RFA plus ThermoDox</w:t>
      </w:r>
      <w:r>
        <w:rPr>
          <w:rFonts w:ascii="Arial" w:cs="Arial" w:eastAsia="Arial" w:hAnsi="Arial"/>
          <w:sz w:val="29"/>
          <w:szCs w:val="29"/>
          <w:color w:val="auto"/>
          <w:vertAlign w:val="superscript"/>
        </w:rPr>
        <w:t>®</w:t>
      </w:r>
      <w:r>
        <w:rPr>
          <w:rFonts w:ascii="Arial" w:cs="Arial" w:eastAsia="Arial" w:hAnsi="Arial"/>
          <w:sz w:val="18"/>
          <w:szCs w:val="18"/>
          <w:color w:val="auto"/>
        </w:rPr>
        <w:t>, compared with patients treated with RFA alone.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site-by-site evaluation for RFA heating time-based anomalies that may have contributed to the treatment arm performance.</w:t>
      </w:r>
    </w:p>
    <w:p>
      <w:pPr>
        <w:spacing w:after="0" w:line="7"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image-based evaluation comparing results from the OPTIMA Study to the data from the HEAT Study that led to the RFA heating time hypothesis.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will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Studies with ThermoDox</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Celsion continues working closely and supporting investigations by others throughout the world in breast cancer, pancreatic cancer and in solid tumors in children. Following inquiries from the NIH, we intend to renew our Cooperative Research and Development Agreement (CRADA) with the Institute at a</w:t>
      </w:r>
    </w:p>
    <w:p>
      <w:pPr>
        <w:jc w:val="both"/>
        <w:spacing w:after="0" w:line="221" w:lineRule="auto"/>
        <w:rPr>
          <w:sz w:val="20"/>
          <w:szCs w:val="20"/>
          <w:color w:val="auto"/>
        </w:rPr>
      </w:pPr>
      <w:r>
        <w:rPr>
          <w:rFonts w:ascii="Arial" w:cs="Arial" w:eastAsia="Arial" w:hAnsi="Arial"/>
          <w:sz w:val="18"/>
          <w:szCs w:val="18"/>
          <w:color w:val="auto"/>
        </w:rPr>
        <w:t>nominal cost, one goal of which is to pursue their interest in 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summaries of several investigator-sponsored studies using ThermoDox®:</w:t>
      </w:r>
    </w:p>
    <w:p>
      <w:pPr>
        <w:spacing w:after="0" w:line="229" w:lineRule="exact"/>
        <w:rPr>
          <w:sz w:val="20"/>
          <w:szCs w:val="20"/>
          <w:color w:val="auto"/>
        </w:rPr>
      </w:pPr>
    </w:p>
    <w:p>
      <w:pPr>
        <w:jc w:val="both"/>
        <w:ind w:left="660" w:hanging="328"/>
        <w:spacing w:after="0" w:line="246" w:lineRule="auto"/>
        <w:tabs>
          <w:tab w:leader="none" w:pos="660" w:val="left"/>
        </w:tabs>
        <w:numPr>
          <w:ilvl w:val="0"/>
          <w:numId w:val="20"/>
        </w:numPr>
        <w:rPr>
          <w:rFonts w:ascii="Arial" w:cs="Arial" w:eastAsia="Arial" w:hAnsi="Arial"/>
          <w:sz w:val="32"/>
          <w:szCs w:val="32"/>
          <w:color w:val="auto"/>
          <w:vertAlign w:val="superscript"/>
        </w:rPr>
      </w:pPr>
      <w:r>
        <w:rPr>
          <w:rFonts w:ascii="Arial" w:cs="Arial" w:eastAsia="Arial" w:hAnsi="Arial"/>
          <w:sz w:val="16"/>
          <w:szCs w:val="16"/>
          <w:color w:val="auto"/>
        </w:rPr>
        <w:t>Oxford University commenced enrolling patients in a Phase I pancreatic cancer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High Intensity Focused Ultrasound (HIFU) in July of 2021. The primary objective of this trial, the </w:t>
      </w:r>
      <w:r>
        <w:rPr>
          <w:rFonts w:ascii="Arial" w:cs="Arial" w:eastAsia="Arial" w:hAnsi="Arial"/>
          <w:sz w:val="16"/>
          <w:szCs w:val="16"/>
          <w:i w:val="1"/>
          <w:iCs w:val="1"/>
          <w:color w:val="auto"/>
        </w:rPr>
        <w:t>PanDox Study: Targeted Doxorubicin in Pancreatic Tumors</w:t>
      </w:r>
      <w:r>
        <w:rPr>
          <w:rFonts w:ascii="Arial" w:cs="Arial" w:eastAsia="Arial" w:hAnsi="Arial"/>
          <w:sz w:val="16"/>
          <w:szCs w:val="16"/>
          <w:color w:val="auto"/>
        </w:rPr>
        <w:t>, is to quantify the enhancement in intratumoral doxorubicin concentration when delivered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HIFU, versus doxorubicin monotherapy. This study is being undertaken pursuant to promising data in a mouse model of pancreatic cancer, which was published in the </w:t>
      </w:r>
      <w:r>
        <w:rPr>
          <w:rFonts w:ascii="Arial" w:cs="Arial" w:eastAsia="Arial" w:hAnsi="Arial"/>
          <w:sz w:val="16"/>
          <w:szCs w:val="16"/>
          <w:i w:val="1"/>
          <w:iCs w:val="1"/>
          <w:color w:val="auto"/>
        </w:rPr>
        <w:t xml:space="preserve">International Journal of Hyperthermia </w:t>
      </w:r>
      <w:r>
        <w:rPr>
          <w:rFonts w:ascii="Arial" w:cs="Arial" w:eastAsia="Arial" w:hAnsi="Arial"/>
          <w:sz w:val="16"/>
          <w:szCs w:val="16"/>
          <w:color w:val="auto"/>
        </w:rPr>
        <w:t>in 2018. That preclinical study showed a 23x increase in intratumoral doxorubicin concentration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HIFU, compared with a 2x increase in intratumoral doxorubicin concentration with free doxorubicin plus HIFU.</w:t>
      </w:r>
    </w:p>
    <w:p>
      <w:pPr>
        <w:spacing w:after="0" w:line="73" w:lineRule="exact"/>
        <w:rPr>
          <w:rFonts w:ascii="Arial" w:cs="Arial" w:eastAsia="Arial" w:hAnsi="Arial"/>
          <w:sz w:val="32"/>
          <w:szCs w:val="32"/>
          <w:color w:val="auto"/>
          <w:vertAlign w:val="superscript"/>
        </w:rPr>
      </w:pPr>
    </w:p>
    <w:p>
      <w:pPr>
        <w:jc w:val="both"/>
        <w:ind w:left="660" w:hanging="328"/>
        <w:spacing w:after="0" w:line="24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Utrecht University in the Netherlands continues to enroll patients in a Phase I breast cancer study to determine the safety, tolerability and feasibility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Magnetic Resonance Guided High Intensity Focused Ultrasound (MR-HIFU) hyperthermia and cyclophosphamide therapy for the local treatment of the primary tumor in metastatic breast cancer (mBC). This investigator-sponsored study, which is being funded by the Dutch Cancer Society, the Center for Translational Molecular Medicine (a public-private partnership in the Netherlands), will be conducted at University Medical Center Utrecht and will enroll up to 12 newly diagnosed mBC patients. Celsion will supply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clinical product for the trial.</w:t>
      </w:r>
    </w:p>
    <w:p>
      <w:pPr>
        <w:spacing w:after="0" w:line="83"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20"/>
        </w:numPr>
        <w:rPr>
          <w:rFonts w:ascii="Arial" w:cs="Arial" w:eastAsia="Arial" w:hAnsi="Arial"/>
          <w:sz w:val="34"/>
          <w:szCs w:val="34"/>
          <w:color w:val="auto"/>
          <w:vertAlign w:val="superscript"/>
        </w:rPr>
      </w:pPr>
      <w:r>
        <w:rPr>
          <w:rFonts w:ascii="Arial" w:cs="Arial" w:eastAsia="Arial" w:hAnsi="Arial"/>
          <w:sz w:val="17"/>
          <w:szCs w:val="17"/>
          <w:color w:val="auto"/>
        </w:rPr>
        <w:t>As evidence of the ongoing support Celsion enjoys from the NIH, they have organized a clinical project to evaluate ThermoDox</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plus the chemotherapy drug mitomycin in bladder cancer. Depending on the NIH timelines, this study may commence as early as 2021.</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September 30, 2021, the Company has incurred approximately $329 million of cumulative net losses and had approximately $60.6 million in cash and cash equivalents, restricted cash, short-term investments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2020 and into 2021 due to COVID-19. While the extent to which COVID-19 impacts the Company’s future results will depend on future developments, the pandemic and associated economic impacts could result in a material impact to the Company’s future financial condition, results of operations and cash flows. 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The specific impact, if any, is not readily determinable as of the date of these financial statements.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spacing w:after="0" w:line="238" w:lineRule="auto"/>
        <w:rPr>
          <w:sz w:val="20"/>
          <w:szCs w:val="20"/>
          <w:color w:val="auto"/>
        </w:rPr>
      </w:pPr>
      <w:r>
        <w:rPr>
          <w:rFonts w:ascii="Arial" w:cs="Arial" w:eastAsia="Arial" w:hAnsi="Arial"/>
          <w:sz w:val="18"/>
          <w:szCs w:val="18"/>
          <w:color w:val="auto"/>
        </w:rPr>
        <w:t>On July 13, 2020, the Company announced that it has received a recommendation from the independent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During 2021, the New Jersey State Legislature increased the maximum lifetime benefit per company from $15 million to $20 million, which will allow the Company to participate in this innovative funding program in future years. On June 16, 2021, the Company filed another application to sell approximately $1.6 million of net operating losses during 2021 and expects to receive up to approximately $1.4 million under the current year program.</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11 to these financial statements,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The funding is in the form of money market secured indebtedness bearing interest at a calculated WSJ Prime-based variable rate (currently 3.25%). Payments under the loan agreement are interest only for the first 24 months after loan closing, followed by a 24-month amortization period of principal and interest through the scheduled maturity date.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more fully discussed in Note 12, during 2021 through the date of the filing of this Quarterly Report on Form 10-Q, the Company has raised approximately $6.9 million in gross proceeds from the use of its JonesTrading Capital on Demand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financing facility, $35 million from a registered direct financing completed in January 2021, $15 million from a registered direct financing completed on April 5, 2021, and $1.5 million from warrant exercises. With $60.6 million in cash and cash equivalents, restricted cash, short-term investments and interest receivable, the Company believes it has sufficient capital resources to fund its operations through the end of 2024.</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During 2021, the New Jersey State Legislature increased the maximum lifetime benefit per company from $15 million to $20 million, which will allow the Company to participate in this innovative funding program in future years. On June 16, 2021, the Company filed another application to sell approximately $1.6 million of net operating losses during 2021 and expects to receive up to approximately $1.4 million under the current year program.</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discussed, the Company entered into a Credit Agreement with Horizon Technology Finance Corporation (“Horizon”) that provided $10 million in capital (the “Horizon Credit Agreement”) in June 2018. In August, 2020, in connection with an Amendment to the Horizon Credit Agreement, Celsion repaid $5 million of the $10 million loan and $0.2 million in related end of term charges, and the remaining $5 million in obligations were restructured.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Payments under the loan agreement are interest only for the first 24 months after loan closing, followed by a 24-month amortization period of principal and interest through the scheduled maturity date.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was fully utilized by the end of January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the Company filed with the SEC a new $100 million shelf registration statement on Form S-3 (File No. 333-254515) (the “2021 Registration Statement”) that allows the Company to issue any combination of common stock, preferred stock or warrants to purchase common stock or preferred stock. This shelf registration was declared effective on March 30, 2021.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2020 and 2021 through the date of this Quarterly Report filed on Form 10-Q, we issued a total of 62.5 million shares of common stock as discussed below for an aggregate $83.2 million in gross proceeds.</w:t>
      </w:r>
    </w:p>
    <w:p>
      <w:pPr>
        <w:spacing w:after="0" w:line="170" w:lineRule="exact"/>
        <w:rPr>
          <w:sz w:val="20"/>
          <w:szCs w:val="20"/>
          <w:color w:val="auto"/>
        </w:rPr>
      </w:pPr>
    </w:p>
    <w:p>
      <w:pPr>
        <w:jc w:val="both"/>
        <w:ind w:left="660" w:hanging="328"/>
        <w:spacing w:after="0" w:line="25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2019, the Company sold and issued an aggregate of 0.5 million shares under the Capital on Demand Agreement, receiving approximately $1.0 million in gross proceeds. During 2020, the Company sold and issued an aggregate of 5.2 million shares under the Capital on Demand Agreement, receiving approximately $6.2 million in gross proceeds. During 2021 through the date of this Quarterly Report on Form 10-Q, the Company sold 7.2 million shares under the Capital on Demand Agreement, receiving approximately $6.9 million in gross proceeds under the Capital on Demand Agreement.</w:t>
      </w:r>
    </w:p>
    <w:p>
      <w:pPr>
        <w:spacing w:after="0" w:line="194" w:lineRule="exact"/>
        <w:rPr>
          <w:rFonts w:ascii="Arial" w:cs="Arial" w:eastAsia="Arial" w:hAnsi="Arial"/>
          <w:sz w:val="18"/>
          <w:szCs w:val="18"/>
          <w:color w:val="auto"/>
        </w:rPr>
      </w:pPr>
    </w:p>
    <w:p>
      <w:pPr>
        <w:jc w:val="both"/>
        <w:ind w:left="660" w:hanging="328"/>
        <w:spacing w:after="0" w:line="267"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February 27, 2020, we entered into a Securities Purchase Agreement (the “February 2020 Purchase Agreement”) with several institutional investors, pursuant to which we agreed to issue and sell, in a registered direct offering (the “February 2020 Offering”), an aggregate of 4,571,428 shares of our common stock at an offering price of $1.05 per share for gross proceeds of approximately $4.8 million before the deduction of the Placement Agent fees and offering expenses. In a concurrent private placement (the “Private Placement”), the Company issued to the investors that participated in the February 2020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through the date of this Quarterly Report on Form 10-Q, the Company issued 1.2 million shares pursuant to investors exercising Exchange Warrants, receiving approximately $1.5 million.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left="660" w:hanging="328"/>
        <w:spacing w:after="0" w:line="2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w:t>
      </w:r>
    </w:p>
    <w:p>
      <w:pPr>
        <w:spacing w:after="0" w:line="177"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“LPC Offering”). During 2020, the Company sold and issued an aggregate of 3.3 million shares, including the LPC Commitment Shares, under the LPC Purchase Agreement, receiving approximately $2.2 million in gross proceeds. The Company sent a letter to Lincoln Park terminating the LPC Offering effective January 21, 2021. The Company did not sell any shares under the LPC Purchase Agreement in 2021.</w:t>
      </w:r>
    </w:p>
    <w:p>
      <w:pPr>
        <w:spacing w:after="0" w:line="177"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25,925,925 shares of the Company’s common stock at an offering price of $1.35 per share for gross proceeds of approximately $35 million before the deduction of the January 2021 Placement Agents (as defined below) fee and offering expenses. The closing of the January 2021 Offering occurred on January 26, 2021. In connection with the January 2021 Offering, the Company entered into a placement agent agreement (the “January 2021 Placement Agent Agreement”) with A.G.P./Alliance Global Partners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80"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11,538,462 shares of the Company’s common stock, at an offering price of $1.30 per share for gross proceeds of approximately $15 million before the deduction of the placement agents fee and offering expenses. The shares were offered by the Company pursuant to the 2021 Registration Statement. The March 2021 Purchase Agreement contained customary representations, warranties and agreements by the Company and customary conditions to closing. The closing of the Offering occurred on April 5, 2021. In connection with the March 2021 Offering, the Company entered into a placement agent agreement (the “March 2021 Placement Agent Agreement”) with A.G.P./Alliance Global Partners, as lead placement agent (“AGP,” and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2020 Annual Report on Form 10-K for the year ended December 31, 2020 filed with the SEC on March 19, 2021. See Note 5 to the Condensed Consolidated Financial Statements contained in this Quarterly Report on Form 10-Q.</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FINANCIAL REVIEW FOR THE THREE AND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2021 our net loss was $5.4 million compared to a net loss of $8.1 million for the same three-month period of 2020. For the nine months ended September 30, 2021 our net loss was $16.5 million compared to a net loss of $18.5 million for the same nine-month period of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$60.6 million in cash and cash equivalents, short-term investments, interest receivable and restricted cash, at September 30, 2021, coupled with approximately $15 million of potential future sales of the Company’s State of New Jersey net operating losses, the Company believes it has sufficient capital resources to fund its operations through the end of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2"/>
              </w:rPr>
              <w:t>Change Increase (Decrease)</w:t>
            </w:r>
          </w:p>
        </w:tc>
        <w:tc>
          <w:tcPr>
            <w:tcW w:w="220" w:type="dxa"/>
            <w:vAlign w:val="bottom"/>
          </w:tcPr>
          <w:p>
            <w:pPr>
              <w:spacing w:after="0"/>
              <w:rPr>
                <w:sz w:val="20"/>
                <w:szCs w:val="20"/>
                <w:color w:val="auto"/>
              </w:rPr>
            </w:pPr>
          </w:p>
        </w:tc>
      </w:tr>
      <w:tr>
        <w:trPr>
          <w:trHeight w:val="237"/>
        </w:trPr>
        <w:tc>
          <w:tcPr>
            <w:tcW w:w="5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7"/>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1,217</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(181)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 (CMC)</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1,432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1,275</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3"/>
        </w:trPr>
        <w:tc>
          <w:tcPr>
            <w:tcW w:w="51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2,468</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2,492</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3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(0.1)%</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2,719</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1,793</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926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10"/>
        </w:trPr>
        <w:tc>
          <w:tcPr>
            <w:tcW w:w="51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5,187</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4,285</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902</w:t>
            </w:r>
          </w:p>
        </w:tc>
        <w:tc>
          <w:tcPr>
            <w:tcW w:w="3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21.5%</w:t>
            </w:r>
          </w:p>
        </w:tc>
      </w:tr>
      <w:tr>
        <w:trPr>
          <w:trHeight w:val="229"/>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301"/>
              <w:spacing w:after="0"/>
              <w:rPr>
                <w:sz w:val="20"/>
                <w:szCs w:val="20"/>
                <w:color w:val="auto"/>
              </w:rPr>
            </w:pPr>
            <w:r>
              <w:rPr>
                <w:rFonts w:ascii="Arial" w:cs="Arial" w:eastAsia="Arial" w:hAnsi="Arial"/>
                <w:sz w:val="18"/>
                <w:szCs w:val="18"/>
                <w:b w:val="1"/>
                <w:bCs w:val="1"/>
                <w:color w:val="auto"/>
                <w:w w:val="91"/>
              </w:rPr>
              <w:t>Nine Months Ended September 30,</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2"/>
              </w:rPr>
              <w:t>Change Increase (Decrease)</w:t>
            </w:r>
          </w:p>
        </w:tc>
        <w:tc>
          <w:tcPr>
            <w:tcW w:w="220" w:type="dxa"/>
            <w:vAlign w:val="bottom"/>
          </w:tcPr>
          <w:p>
            <w:pPr>
              <w:spacing w:after="0"/>
              <w:rPr>
                <w:sz w:val="20"/>
                <w:szCs w:val="20"/>
                <w:color w:val="auto"/>
              </w:rPr>
            </w:pPr>
          </w:p>
        </w:tc>
      </w:tr>
      <w:tr>
        <w:trPr>
          <w:trHeight w:val="237"/>
        </w:trPr>
        <w:tc>
          <w:tcPr>
            <w:tcW w:w="5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3,400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4,517</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(1,117)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 (CMC)</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4,233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4,018</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3"/>
        </w:trPr>
        <w:tc>
          <w:tcPr>
            <w:tcW w:w="51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7,633</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8,535</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(902)</w:t>
            </w:r>
          </w:p>
        </w:tc>
        <w:tc>
          <w:tcPr>
            <w:tcW w:w="3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(10.6)%</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8,258</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5,533</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10"/>
        </w:trPr>
        <w:tc>
          <w:tcPr>
            <w:tcW w:w="51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15,891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14,068</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1,823</w:t>
            </w:r>
          </w:p>
        </w:tc>
        <w:tc>
          <w:tcPr>
            <w:tcW w:w="3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13.0%</w:t>
            </w:r>
          </w:p>
        </w:tc>
      </w:tr>
      <w:tr>
        <w:trPr>
          <w:trHeight w:val="23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third quarters of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and development (“R&amp;D”) expenses were $2.5 million in each of the third quarters of 2021 and 2020. Costs associated the OVATION 2 Study were $0.2 million in each of the third quarters of 2021 and 2020. Costs associated with the OPTIMA Study decreased to $0.2 million in the third quarter of 2021 compared to $0.5 million in the same period of 2020. In July 2020, the Company unblinded the OPTIMA Study at the recommendation of the DMC to halt the study due to futility. Other clinical and regulatory costs were $0.7 million the third quarter of 2021 compared to $0.5 million in the same period of 2020. R&amp;D costs associated with the development of GEN-1 to support the OVATION 2 Study as well as development of the PLACCINE DNA vaccine technology platform increased to $1.1 million in the third quarter of 2021 compared to $0.7 million in the same period of 2020. CMC costs decreased to $0.3 million in the third quarter of 2021 compared to $0.6 million in the same period of 2020.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to $2.7 million in the third quarter of 2021 compared to $1.8 million in the same period of 2020. This increase is primarily attributable to higher non-cash stock compensation expense of approximately $0.2 million, an increase in professional fees of $0.6 million and an increase in premiums for directors’ and officers’ insurance of $0.1 million in the third quarter of 2021 when compared to the same period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IPR&amp;D is reviewed for impairment at least annually as of our third quarter ended September 30 by assessing if any events or changes in circumstances have occurred which indicate that the carrying value of the assets might not be recoverable. At September 30, 2020,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$2.4 million, was fully impaired and wrote off the GBM asset, incurring a non-cash charge of $2.4 million in the third quarter of 2020. During 2021, the Company concluded no IPR&amp;D asset was impaired during that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2021, and June 30, 2021, the Company calculated the fair value of the earn-out milestone liability at $7.3 million and $7.1 million, respectively, and recognized a non-cash benefit of $0.2 million for the three-months ended September 30, 2021. In assessing the earnout milestone liability at September 30, 2021, the Company determined the fair value of each of the two payment options per the Amended Asset Purchase Agreement and weighted them at 50% and 50% probability for the $7.0 million and the $12.4 million payments,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and June 30, 2020, the Company calculated the fair value of the earn-out milestone liability at $7.1 million and $6.0 million, respectively and recognized a non-cash charge of $1.1 million during the third quarter of 2020. In assessing the earnout milestone liability at September 30, 2020, the Company determined the fair value of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from its short-term investments was insignificant in each of the third quarters of 2021 and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more fully discussed in Note 11,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In connection with these loan facilities, the Company incurred $0.1 million in interest expense in the third quarter of 2021 compared to $0.5 million during the same period of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$375,000 in each of the first nine months of 2021 and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R&amp;D expenses decreased by $0.9 million to $7.6 million in the first nine months of 2021 from $8.5 million in the same period of 2020. Costs associated the OVATION 2 Study increased to $1.0 million in the first nine months of 2021 compared to $0.7 million in the same period of 2020. The Company initiated enrollment in the Phase 2 portion of the study during the third quarter of 2020. Costs associated with the OPTIMA Study decreased to $0.6 million in the first nine months of 2021 compared to $1.8 million in the same period of 2020. In July 2020, the Company unblinded the OPTIMA Study at the recommendation of the DMC to halt the study due to futility. Regulatory and other clinical costs were $1.8 million the first nine months of 2021 compared to $2.0 million in the same period of 2020. R&amp;D costs associated with the development of GEN-1 to support the OVATION 2 Study as well as development of the PLACCINE DNA vaccine technology platform increased to $3.1 million in the first nine months of 2021 compared to $2.3 million in the same period of 2020. CMC costs decreased to $1.1 million in the first nine months of 2021 compared to $1.7 million in the same period of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to $8.3 million in the first nine months of 2021 compared to $5.5 million in the same period of 2020. This increase is primarily attributable to higher non-cash stock compensation expense of approximately $1.0 million, an increase in professional fees of $1.4 million and an increase in premiums for directors’ and officers’ insurance of $0.2 million in the first nine months of 2021 when compared to the same period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IPR&amp;D is reviewed for impairment at least annually as of our third quarter ended September 30 by assessing if any events or changes in circumstances have occurred which indicate that the carrying value of the assets might not be recoverable. At September 30, 2020,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$2.4 million, was fully impaired and wrote off the GBM asset, incurring a non-cash charge of $2.4 million in the third quarter of 2020. During 2021, the Company concluded no IPR&amp;D asset was impaired during that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and December 31, 2020, the Company calculated the fair value of the earn-out milestone liability at $7.3 million and $7.0 million, respectively and recognized a non-cash charge of $0.3 million during the first nine months of 2021. In assessing the earnout milestone liability at September 30, 2021, the Company determined the fair value of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and December 31, 2019, the Company calculated the fair value of the earn-out milestone liability at $7.1 million and $5.7 million, respectively and recognized a non-cash charge of $1.4 million during the first nine-months of 2020. In assessing the earnout milestone liability at September 30, 2020, the Company determined the fair value of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from its short-term investments was insignificant in the first nine months of 2021. The Company realized $0.1 million of investment income from its short-term investments during the first nine months of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color w:val="auto"/>
        </w:rPr>
        <w:t>As more fully discussed in Note 11,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In connection with these loan facilities, the Company incurred $0.5 million in interest expense in the first nine months of 2021 compared to $1.1 million during the same period of 2020. In connection with the termination of the Horizon Technology Financing Facility in the second quarter of 2021, the Company paid early termination and end of term charges to Horizon and recognized $0.2 million as a loss on debt extinguishment.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59" w:lineRule="auto"/>
        <w:rPr>
          <w:sz w:val="20"/>
          <w:szCs w:val="20"/>
          <w:color w:val="auto"/>
        </w:rPr>
      </w:pPr>
      <w:r>
        <w:rPr>
          <w:rFonts w:ascii="Arial" w:cs="Arial" w:eastAsia="Arial" w:hAnsi="Arial"/>
          <w:sz w:val="16"/>
          <w:szCs w:val="16"/>
          <w:color w:val="auto"/>
        </w:rPr>
        <w:t>development agreement with Hisun. The process of developing and commercializing ThermoDox</w:t>
      </w:r>
      <w:r>
        <w:rPr>
          <w:rFonts w:ascii="Arial" w:cs="Arial" w:eastAsia="Arial" w:hAnsi="Arial"/>
          <w:sz w:val="26"/>
          <w:szCs w:val="26"/>
          <w:color w:val="auto"/>
          <w:vertAlign w:val="superscript"/>
        </w:rPr>
        <w:t>®</w:t>
      </w:r>
      <w:r>
        <w:rPr>
          <w:rFonts w:ascii="Arial" w:cs="Arial" w:eastAsia="Arial" w:hAnsi="Arial"/>
          <w:sz w:val="16"/>
          <w:szCs w:val="16"/>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$329 million at September 30, 2021.</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2021, we had total current assets of $56.8 million and current liabilities of $6.5 million, resulting in net working capital of $50.3 million. At September 30, 2021, we had cash and cash equivalents, short-term investments, interest receivable on short term investments and money market investments ($6.0 million of which is included in other assets) of $60.6 million. At December 31, 2020, we had total current assets of $18.8 million (including cash and cash equivalents of $17.2 million) and current liabilities of $6.8 million, resulting in net working capital of $12.0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operating activities for the first nine months of 2021 was $11.1 million. Net cash used in investing activities was $29.1 million during the first nine months of 2021. Net cash provided by financing activities was $54.8 million during the first nine months of 2021 mostly from net proceeds received through the sale of our common stock. With $60.6 million in cash and cash equivalents, short-term investments, interest receivable on short term investments and money market investments at September 30, 2021 and with potential future sales of the Company’s State of New Jersey net operating losses, the Company believes it has sufficient capital resources to fund its operations through the end of 2024.</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2021,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w:t>
      </w:r>
      <w:r>
        <w:rPr>
          <w:rFonts w:ascii="Arial" w:cs="Arial" w:eastAsia="Arial" w:hAnsi="Arial"/>
          <w:sz w:val="17"/>
          <w:szCs w:val="17"/>
          <w:i w:val="1"/>
          <w:iCs w:val="1"/>
          <w:color w:val="auto"/>
        </w:rPr>
        <w:t>O’Connor v. Braun et al., Docket No. MER-C-000068-19</w:t>
      </w:r>
      <w:r>
        <w:rPr>
          <w:rFonts w:ascii="Arial" w:cs="Arial" w:eastAsia="Arial" w:hAnsi="Arial"/>
          <w:sz w:val="17"/>
          <w:szCs w:val="17"/>
          <w:color w:val="auto"/>
        </w:rPr>
        <w:t xml:space="preserve"> (the “Shareholder Action”).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was held on September 8, 2020 whereby the Court issued a final approval approving the Settlement. Pursuant to the Settlement, the Company paid $187,500 on October 1, 2020.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was desirable that the claims be settled on the terms and subject to the conditions set forth in the Settlement Agreement. The Company and the Individual Defendants entered into the Settlement Agreement for settlement purposes only and solely to avoid the cost and disruption of further litigation.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6"/>
          <w:szCs w:val="16"/>
          <w:i w:val="1"/>
          <w:iCs w:val="1"/>
          <w:color w:val="auto"/>
        </w:rPr>
        <w:t>Spar v. Celsion Corporation, et al.</w:t>
      </w:r>
      <w:r>
        <w:rPr>
          <w:rFonts w:ascii="Arial" w:cs="Arial" w:eastAsia="Arial" w:hAnsi="Arial"/>
          <w:sz w:val="16"/>
          <w:szCs w:val="16"/>
          <w:color w:val="auto"/>
        </w:rPr>
        <w:t>, Case No. 1:20-cv-15228. The plaintiff alleges that the Company and Individual Defendants made false and misleading statements regarding one of the Company’s product candidates,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of 2021, a complaint regarding a corporate books and records demand was filed against the Company in the Court of Chancery of the State of Delaware, captioned </w:t>
      </w:r>
      <w:r>
        <w:rPr>
          <w:rFonts w:ascii="Arial" w:cs="Arial" w:eastAsia="Arial" w:hAnsi="Arial"/>
          <w:sz w:val="18"/>
          <w:szCs w:val="18"/>
          <w:i w:val="1"/>
          <w:iCs w:val="1"/>
          <w:color w:val="auto"/>
        </w:rPr>
        <w:t>Pacheco v. Celsion Corporation</w:t>
      </w:r>
      <w:r>
        <w:rPr>
          <w:rFonts w:ascii="Arial" w:cs="Arial" w:eastAsia="Arial" w:hAnsi="Arial"/>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Due to the early stage of the case neither the likelihood that a loss, if any, will be realized, nor an estimate of possible loss or range of loss, if any, can be determined.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have been no material changes to our risk factors from those disclosed under “Risk Factors” in Part I, Item 1A of our 2020 Annual Report on Form 10-K. The risks and uncertainties described in our 2020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6">
        <w:r>
          <w:rPr>
            <w:rFonts w:ascii="Arial" w:cs="Arial" w:eastAsia="Arial" w:hAnsi="Arial"/>
            <w:sz w:val="18"/>
            <w:szCs w:val="18"/>
            <w:u w:val="single" w:color="auto"/>
            <w:color w:val="0000EE"/>
          </w:rPr>
          <w:t>Third Amendment to the Celsion Corporation 2018 Stock Incentive Plan, incorporated by reference to Exhibit 10.1 to the Current Report on</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Form 8-K of the Company, filed on June 21, 201 (SEC File No. 001-15911).</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51">
        <w:r>
          <w:rPr>
            <w:rFonts w:ascii="Arial" w:cs="Arial" w:eastAsia="Arial" w:hAnsi="Arial"/>
            <w:sz w:val="16"/>
            <w:szCs w:val="16"/>
            <w:u w:val="single" w:color="auto"/>
            <w:color w:val="0000EE"/>
          </w:rPr>
          <w:t>Loan and Security Agreement between Silicon Valley Bank and Celsion Corporation dated June 18, 2021.</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5">
        <w:r>
          <w:rPr>
            <w:rFonts w:ascii="Arial" w:cs="Arial" w:eastAsia="Arial" w:hAnsi="Arial"/>
            <w:sz w:val="16"/>
            <w:szCs w:val="16"/>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6">
        <w:r>
          <w:rPr>
            <w:rFonts w:ascii="Arial" w:cs="Arial" w:eastAsia="Arial" w:hAnsi="Arial"/>
            <w:sz w:val="16"/>
            <w:szCs w:val="16"/>
            <w:u w:val="single" w:color="auto"/>
            <w:color w:val="0000EE"/>
          </w:rPr>
          <w:t>Certification of Chief Financial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8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780" w:hanging="7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80" w:hanging="779"/>
        <w:spacing w:after="0" w:line="301"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March 31, 2020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57" w:lineRule="exact"/>
        <w:rPr>
          <w:sz w:val="20"/>
          <w:szCs w:val="20"/>
          <w:color w:val="auto"/>
        </w:rPr>
      </w:pPr>
    </w:p>
    <w:p>
      <w:pPr>
        <w:jc w:val="both"/>
        <w:ind w:left="780" w:hanging="772"/>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77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dated as of the Effective Date between</w:t>
      </w:r>
      <w:r>
        <w:rPr>
          <w:rFonts w:ascii="Arial" w:cs="Arial" w:eastAsia="Arial" w:hAnsi="Arial"/>
          <w:sz w:val="17"/>
          <w:szCs w:val="17"/>
          <w:b w:val="1"/>
          <w:bCs w:val="1"/>
          <w:color w:val="auto"/>
        </w:rPr>
        <w:t xml:space="preserve"> SILICON VALLEY BANK</w:t>
      </w:r>
      <w:r>
        <w:rPr>
          <w:rFonts w:ascii="Arial" w:cs="Arial" w:eastAsia="Arial" w:hAnsi="Arial"/>
          <w:sz w:val="17"/>
          <w:szCs w:val="17"/>
          <w:color w:val="auto"/>
        </w:rPr>
        <w:t>,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 the borrower listed on Schedule I hereto (“</w:t>
      </w:r>
      <w:r>
        <w:rPr>
          <w:rFonts w:ascii="Arial" w:cs="Arial" w:eastAsia="Arial" w:hAnsi="Arial"/>
          <w:sz w:val="18"/>
          <w:szCs w:val="18"/>
          <w:b w:val="1"/>
          <w:bCs w:val="1"/>
          <w:color w:val="auto"/>
        </w:rPr>
        <w:t>Borrower</w:t>
      </w:r>
      <w:r>
        <w:rPr>
          <w:rFonts w:ascii="Arial" w:cs="Arial" w:eastAsia="Arial" w:hAnsi="Arial"/>
          <w:sz w:val="18"/>
          <w:szCs w:val="18"/>
          <w:color w:val="auto"/>
        </w:rPr>
        <w:t>”). The parties agree as follows: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Term Loan.</w:t>
      </w:r>
    </w:p>
    <w:p>
      <w:pPr>
        <w:spacing w:after="0" w:line="229" w:lineRule="exact"/>
        <w:rPr>
          <w:sz w:val="20"/>
          <w:szCs w:val="20"/>
          <w:color w:val="auto"/>
        </w:rPr>
      </w:pPr>
    </w:p>
    <w:p>
      <w:pPr>
        <w:jc w:val="both"/>
        <w:ind w:firstLine="1304"/>
        <w:spacing w:after="0" w:line="286" w:lineRule="auto"/>
        <w:tabs>
          <w:tab w:leader="none" w:pos="155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upon Borrower’s request, during the Draw Period, Bank shall make term loan advances not exceeding the Term Loan Availability Amount (each such advance is referred to herein as a “</w:t>
      </w:r>
      <w:r>
        <w:rPr>
          <w:rFonts w:ascii="Arial" w:cs="Arial" w:eastAsia="Arial" w:hAnsi="Arial"/>
          <w:sz w:val="17"/>
          <w:szCs w:val="17"/>
          <w:b w:val="1"/>
          <w:bCs w:val="1"/>
          <w:color w:val="auto"/>
        </w:rPr>
        <w:t>Term Loan Advance</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Loan Advances</w:t>
      </w:r>
      <w:r>
        <w:rPr>
          <w:rFonts w:ascii="Arial" w:cs="Arial" w:eastAsia="Arial" w:hAnsi="Arial"/>
          <w:sz w:val="17"/>
          <w:szCs w:val="17"/>
          <w:color w:val="auto"/>
        </w:rPr>
        <w:t>”). Borrower may request Term Loan Advances as set forth on Schedule I hereto.</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55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Borrower shall repay each Term Loan Advance as set forth in Schedule I hereto. All outstanding principal and accrued and unpaid interest under each Term Loan Advance, and all other outstanding Obligations with respect to such Term Loan Advance, are due and payable in full on the Term Loan Maturity Date.</w:t>
      </w:r>
    </w:p>
    <w:p>
      <w:pPr>
        <w:spacing w:after="0" w:line="183" w:lineRule="exact"/>
        <w:rPr>
          <w:rFonts w:ascii="Arial" w:cs="Arial" w:eastAsia="Arial" w:hAnsi="Arial"/>
          <w:sz w:val="18"/>
          <w:szCs w:val="18"/>
          <w:color w:val="auto"/>
        </w:rPr>
      </w:pPr>
    </w:p>
    <w:p>
      <w:pPr>
        <w:jc w:val="both"/>
        <w:ind w:firstLine="1304"/>
        <w:spacing w:after="0" w:line="291" w:lineRule="auto"/>
        <w:tabs>
          <w:tab w:leader="none" w:pos="15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Permitted Prepayment</w:t>
      </w:r>
      <w:r>
        <w:rPr>
          <w:rFonts w:ascii="Arial" w:cs="Arial" w:eastAsia="Arial" w:hAnsi="Arial"/>
          <w:sz w:val="16"/>
          <w:szCs w:val="16"/>
          <w:color w:val="auto"/>
        </w:rPr>
        <w:t>. Borrower shall have the option to prepay all or any portion of the Term Loan Advances, provided Borrower (i) delivers written notice to Bank of its election to prepay all or a portion of the Term Loan Advances, which such prepayment portion shall be an aggregate principal amount of at least $5,000,000.00, at least 10 days prior to such prepayment along with a notice of the portion of the principal amount being prepaid, and (ii) pays, on the date of such prepayment (A) the outstanding principal plus accrued and unpaid interest with respect to the portion of the Term Loan Advances, (B) the Prepayment Fee with respect to the portion of the Term Loan Advances being prepaid, (C) the Final Payment with respect to the portion of the Term Loan Advances being prepaid, and (D) all other sums, if any, that shall have become due and payable with respect to the portion of the Term Loan Advances being prepaid, including interest at the Default Rate with respect to any past due amounts.</w:t>
      </w:r>
    </w:p>
    <w:p>
      <w:pPr>
        <w:spacing w:after="0" w:line="166" w:lineRule="exact"/>
        <w:rPr>
          <w:rFonts w:ascii="Arial" w:cs="Arial" w:eastAsia="Arial" w:hAnsi="Arial"/>
          <w:sz w:val="16"/>
          <w:szCs w:val="16"/>
          <w:color w:val="auto"/>
        </w:rPr>
      </w:pPr>
    </w:p>
    <w:p>
      <w:pPr>
        <w:jc w:val="both"/>
        <w:ind w:firstLine="1304"/>
        <w:spacing w:after="0" w:line="301" w:lineRule="auto"/>
        <w:tabs>
          <w:tab w:leader="none" w:pos="156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an Acceleration</w:t>
      </w:r>
      <w:r>
        <w:rPr>
          <w:rFonts w:ascii="Arial" w:cs="Arial" w:eastAsia="Arial" w:hAnsi="Arial"/>
          <w:sz w:val="16"/>
          <w:szCs w:val="16"/>
          <w:color w:val="auto"/>
        </w:rPr>
        <w:t>. If the Term Loan Advances are accelerated by Bank following the occurrence and during the continuance of an Event of Default, Borrower shall immediately pay to Bank an amount equal to the sum of (i) all outstanding principal plus accrued and unpaid interest with respect to the Term Loan Advances, (ii) the Prepayment Fee, (iii) the Final Payment, and (iv) all other sums, if any, that shall have become due and payable with respect to the Term Loan Advances, including interest at the Default Rate with respect to any past due amounts.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Payment of Interest on the Credit Extensions.</w:t>
      </w:r>
    </w:p>
    <w:p>
      <w:pPr>
        <w:spacing w:after="0" w:line="229" w:lineRule="exact"/>
        <w:rPr>
          <w:sz w:val="20"/>
          <w:szCs w:val="20"/>
          <w:color w:val="auto"/>
        </w:rPr>
      </w:pPr>
    </w:p>
    <w:p>
      <w:pPr>
        <w:ind w:left="1540" w:hanging="236"/>
        <w:spacing w:after="0"/>
        <w:tabs>
          <w:tab w:leader="none" w:pos="154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Interest Payments</w:t>
      </w:r>
      <w:r>
        <w:rPr>
          <w:rFonts w:ascii="Arial" w:cs="Arial" w:eastAsia="Arial" w:hAnsi="Arial"/>
          <w:sz w:val="17"/>
          <w:szCs w:val="17"/>
          <w:color w:val="auto"/>
        </w:rPr>
        <w:t>. Interest on the principal amount of each Term Loan Advance is payable as set forth on Schedule I hereto.</w:t>
      </w:r>
    </w:p>
    <w:p>
      <w:pPr>
        <w:spacing w:after="0" w:line="236" w:lineRule="exact"/>
        <w:rPr>
          <w:rFonts w:ascii="Arial" w:cs="Arial" w:eastAsia="Arial" w:hAnsi="Arial"/>
          <w:sz w:val="17"/>
          <w:szCs w:val="17"/>
          <w:color w:val="auto"/>
        </w:rPr>
      </w:pPr>
    </w:p>
    <w:p>
      <w:pPr>
        <w:ind w:left="1560" w:hanging="256"/>
        <w:spacing w:after="0"/>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firstLine="640"/>
        <w:spacing w:after="0" w:line="277" w:lineRule="auto"/>
        <w:tabs>
          <w:tab w:leader="none" w:pos="2836"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Subject to Section 1.2(c), the outstanding principal amount of any Term Loan Advance shall accrue interest as set forth on Schedule I hereto.</w:t>
      </w:r>
    </w:p>
    <w:p>
      <w:pPr>
        <w:spacing w:after="0" w:line="170" w:lineRule="exact"/>
        <w:rPr>
          <w:rFonts w:ascii="Arial" w:cs="Arial" w:eastAsia="Arial" w:hAnsi="Arial"/>
          <w:sz w:val="18"/>
          <w:szCs w:val="18"/>
          <w:color w:val="auto"/>
        </w:rPr>
      </w:pPr>
    </w:p>
    <w:p>
      <w:pPr>
        <w:ind w:left="1960" w:right="20" w:firstLine="640"/>
        <w:spacing w:after="0" w:line="342" w:lineRule="auto"/>
        <w:tabs>
          <w:tab w:leader="none" w:pos="2869"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All-In Rate. Notwithstanding any terms in this Agreement to the contrary, if at any time the interest rate applicable to any Obligations is less than 0.0%, such interest rate shall be deemed to be 0.0% for all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1304"/>
        <w:spacing w:after="0" w:line="273" w:lineRule="auto"/>
        <w:tabs>
          <w:tab w:leader="none" w:pos="154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the outstanding Obligations shall bear interest at a rate per annum which is 3.0%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spacing w:after="0" w:line="177" w:lineRule="exact"/>
        <w:rPr>
          <w:rFonts w:ascii="Arial" w:cs="Arial" w:eastAsia="Arial" w:hAnsi="Arial"/>
          <w:sz w:val="17"/>
          <w:szCs w:val="17"/>
          <w:color w:val="auto"/>
        </w:rPr>
      </w:pPr>
    </w:p>
    <w:p>
      <w:pPr>
        <w:ind w:firstLine="1304"/>
        <w:spacing w:after="0" w:line="308" w:lineRule="auto"/>
        <w:tabs>
          <w:tab w:leader="none" w:pos="155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Adjustment to Interest Rate</w:t>
      </w:r>
      <w:r>
        <w:rPr>
          <w:rFonts w:ascii="Arial" w:cs="Arial" w:eastAsia="Arial" w:hAnsi="Arial"/>
          <w:sz w:val="17"/>
          <w:szCs w:val="17"/>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55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Interest Computation</w:t>
      </w:r>
      <w:r>
        <w:rPr>
          <w:rFonts w:ascii="Arial" w:cs="Arial" w:eastAsia="Arial" w:hAnsi="Arial"/>
          <w:sz w:val="18"/>
          <w:szCs w:val="18"/>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1.3 Fees. </w:t>
      </w:r>
      <w:r>
        <w:rPr>
          <w:rFonts w:ascii="Arial" w:cs="Arial" w:eastAsia="Arial" w:hAnsi="Arial"/>
          <w:sz w:val="18"/>
          <w:szCs w:val="18"/>
          <w:color w:val="auto"/>
        </w:rPr>
        <w:t>Borrower shall pay to Bank:</w:t>
      </w:r>
    </w:p>
    <w:p>
      <w:pPr>
        <w:spacing w:after="0" w:line="229" w:lineRule="exact"/>
        <w:rPr>
          <w:sz w:val="20"/>
          <w:szCs w:val="20"/>
          <w:color w:val="auto"/>
        </w:rPr>
      </w:pPr>
    </w:p>
    <w:p>
      <w:pPr>
        <w:ind w:left="1540" w:hanging="236"/>
        <w:spacing w:after="0"/>
        <w:tabs>
          <w:tab w:leader="none" w:pos="15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Prepayment Fee</w:t>
      </w:r>
      <w:r>
        <w:rPr>
          <w:rFonts w:ascii="Arial" w:cs="Arial" w:eastAsia="Arial" w:hAnsi="Arial"/>
          <w:sz w:val="17"/>
          <w:szCs w:val="17"/>
          <w:color w:val="auto"/>
        </w:rPr>
        <w:t>. The Prepayment Fee, when due hereunder, which shall be fully earned and non-refundable as of such date;</w:t>
      </w:r>
    </w:p>
    <w:p>
      <w:pPr>
        <w:spacing w:after="0" w:line="236" w:lineRule="exact"/>
        <w:rPr>
          <w:rFonts w:ascii="Arial" w:cs="Arial" w:eastAsia="Arial" w:hAnsi="Arial"/>
          <w:sz w:val="17"/>
          <w:szCs w:val="17"/>
          <w:color w:val="auto"/>
        </w:rPr>
      </w:pPr>
    </w:p>
    <w:p>
      <w:pPr>
        <w:ind w:left="1560" w:hanging="256"/>
        <w:spacing w:after="0"/>
        <w:tabs>
          <w:tab w:leader="none" w:pos="156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Final Payment</w:t>
      </w:r>
      <w:r>
        <w:rPr>
          <w:rFonts w:ascii="Arial" w:cs="Arial" w:eastAsia="Arial" w:hAnsi="Arial"/>
          <w:sz w:val="17"/>
          <w:szCs w:val="17"/>
          <w:color w:val="auto"/>
        </w:rPr>
        <w:t>. The Final Payment, when due hereunder, which shall be fully earned and non-refundable as of such date; and</w:t>
      </w:r>
    </w:p>
    <w:p>
      <w:pPr>
        <w:spacing w:after="0" w:line="236" w:lineRule="exact"/>
        <w:rPr>
          <w:rFonts w:ascii="Arial" w:cs="Arial" w:eastAsia="Arial" w:hAnsi="Arial"/>
          <w:sz w:val="17"/>
          <w:szCs w:val="17"/>
          <w:color w:val="auto"/>
        </w:rPr>
      </w:pPr>
    </w:p>
    <w:p>
      <w:pPr>
        <w:ind w:left="1540" w:hanging="236"/>
        <w:spacing w:after="0"/>
        <w:tabs>
          <w:tab w:leader="none" w:pos="15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Bank Expenses</w:t>
      </w:r>
      <w:r>
        <w:rPr>
          <w:rFonts w:ascii="Arial" w:cs="Arial" w:eastAsia="Arial" w:hAnsi="Arial"/>
          <w:sz w:val="16"/>
          <w:szCs w:val="16"/>
          <w:color w:val="auto"/>
        </w:rPr>
        <w:t>. All Bank Expenses incurred through and after the Effective Date, when due (or, if no stated due date, upon demand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Bank).</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1.4(c). Bank shall provide Borrower written notice of deductions made pursuant to the terms of the clauses of this Section 1.3.</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Payments; Application of Payments; Debit of Accounts.</w:t>
      </w:r>
    </w:p>
    <w:p>
      <w:pPr>
        <w:spacing w:after="0" w:line="229" w:lineRule="exact"/>
        <w:rPr>
          <w:sz w:val="20"/>
          <w:szCs w:val="20"/>
          <w:color w:val="auto"/>
        </w:rPr>
      </w:pPr>
    </w:p>
    <w:p>
      <w:pPr>
        <w:jc w:val="both"/>
        <w:ind w:firstLine="1304"/>
        <w:spacing w:after="0" w:line="301" w:lineRule="auto"/>
        <w:tabs>
          <w:tab w:leader="none" w:pos="15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payments (including prepayments) to be made by Borrower under any Loan Document shall be made in immediately available funds in Dollars, without setoff, counterclaim, or deduction, before 12:00 p.m. Eastern time on the date when due. Payments of principal and/or interest received after 12:00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15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Bank has the right to determine in its commercially reasonable discretion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86" w:lineRule="exact"/>
        <w:rPr>
          <w:rFonts w:ascii="Arial" w:cs="Arial" w:eastAsia="Arial" w:hAnsi="Arial"/>
          <w:sz w:val="18"/>
          <w:szCs w:val="18"/>
          <w:color w:val="auto"/>
        </w:rPr>
      </w:pPr>
    </w:p>
    <w:p>
      <w:pPr>
        <w:ind w:firstLine="1304"/>
        <w:spacing w:after="0" w:line="342" w:lineRule="auto"/>
        <w:tabs>
          <w:tab w:leader="none" w:pos="155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Bank may debit any of Borrower’s deposit accounts maintained with Bank, including the Designated Deposit Account, for principal and interest payments or any other amounts Borrower owes Bank when due under the Loan Documents. These debits shall not constitute a set-off.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b w:val="1"/>
          <w:bCs w:val="1"/>
          <w:color w:val="auto"/>
        </w:rPr>
        <w:t>1.5 Change in Circumstances.</w:t>
      </w:r>
    </w:p>
    <w:p>
      <w:pPr>
        <w:spacing w:after="0" w:line="229" w:lineRule="exact"/>
        <w:rPr>
          <w:sz w:val="20"/>
          <w:szCs w:val="20"/>
          <w:color w:val="auto"/>
        </w:rPr>
      </w:pPr>
    </w:p>
    <w:p>
      <w:pPr>
        <w:jc w:val="both"/>
        <w:ind w:firstLine="1304"/>
        <w:spacing w:after="0" w:line="289" w:lineRule="auto"/>
        <w:tabs>
          <w:tab w:leader="none" w:pos="154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Increased Costs</w:t>
      </w:r>
      <w:r>
        <w:rPr>
          <w:rFonts w:ascii="Arial" w:cs="Arial" w:eastAsia="Arial" w:hAnsi="Arial"/>
          <w:sz w:val="16"/>
          <w:szCs w:val="16"/>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66" w:lineRule="exact"/>
        <w:rPr>
          <w:rFonts w:ascii="Arial" w:cs="Arial" w:eastAsia="Arial" w:hAnsi="Arial"/>
          <w:sz w:val="16"/>
          <w:szCs w:val="16"/>
          <w:color w:val="auto"/>
        </w:rPr>
      </w:pPr>
    </w:p>
    <w:p>
      <w:pPr>
        <w:jc w:val="both"/>
        <w:ind w:firstLine="1304"/>
        <w:spacing w:after="0" w:line="257" w:lineRule="auto"/>
        <w:tabs>
          <w:tab w:leader="none" w:pos="155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Bank determines that any Change in Law affecting Bank regarding capital or liquidity requirements, has or would have the effect of reducing the rate of return on Bank’s capital as a consequence of this Agreement,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55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Bank to demand compensation pursuant to this Section 1.5 shall not constitute a waiver of Bank’s right to demand such compensation; provided that Borrower shall not be required to compensate Bank pursuant to subsection (a) for any increased costs incurred or reductions suffered more than 9 months prior to the date that Bank notifies Borrower of the Change in Law giving rise to such increased costs or reductions (except that if the Change in Law giving rise to such increased costs or reductions is retroactive, then the 9-month period shall be extended to include the period of retroactive effect).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1.6 Taxes.</w:t>
      </w:r>
    </w:p>
    <w:p>
      <w:pPr>
        <w:spacing w:after="0" w:line="229" w:lineRule="exact"/>
        <w:rPr>
          <w:sz w:val="20"/>
          <w:szCs w:val="20"/>
          <w:color w:val="auto"/>
        </w:rPr>
      </w:pPr>
    </w:p>
    <w:p>
      <w:pPr>
        <w:jc w:val="both"/>
        <w:ind w:firstLine="1304"/>
        <w:spacing w:after="0" w:line="272" w:lineRule="auto"/>
        <w:tabs>
          <w:tab w:leader="none" w:pos="15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Borrower under any Loan Document shall be made without deduction or withholding for any Taxes, except as required by Applicable Law. If any Applicable Law (as determined in the good-faith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spacing w:after="0" w:line="177" w:lineRule="exact"/>
        <w:rPr>
          <w:rFonts w:ascii="Arial" w:cs="Arial" w:eastAsia="Arial" w:hAnsi="Arial"/>
          <w:sz w:val="17"/>
          <w:szCs w:val="17"/>
          <w:color w:val="auto"/>
        </w:rPr>
      </w:pPr>
    </w:p>
    <w:p>
      <w:pPr>
        <w:ind w:firstLine="1304"/>
        <w:spacing w:after="0" w:line="277" w:lineRule="auto"/>
        <w:tabs>
          <w:tab w:leader="none" w:pos="155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Borrower</w:t>
      </w:r>
      <w:r>
        <w:rPr>
          <w:rFonts w:ascii="Arial" w:cs="Arial" w:eastAsia="Arial" w:hAnsi="Arial"/>
          <w:sz w:val="18"/>
          <w:szCs w:val="18"/>
          <w:color w:val="auto"/>
        </w:rPr>
        <w:t>. Without limiting the provisions of subsection (a) above, Borrower shall timely pay any Other Taxes to the relevant Governmental Authority in accordance with Applicable Law.</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55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Tax Indemnification</w:t>
      </w:r>
      <w:r>
        <w:rPr>
          <w:rFonts w:ascii="Arial" w:cs="Arial" w:eastAsia="Arial" w:hAnsi="Arial"/>
          <w:sz w:val="18"/>
          <w:szCs w:val="18"/>
          <w:color w:val="auto"/>
        </w:rPr>
        <w:t>. Without limiting the provisions of subsections (a) and (b) above, Borrower shall, and does hereby, indemnify Bank, within 30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spacing w:after="0" w:line="183" w:lineRule="exact"/>
        <w:rPr>
          <w:rFonts w:ascii="Arial" w:cs="Arial" w:eastAsia="Arial" w:hAnsi="Arial"/>
          <w:sz w:val="18"/>
          <w:szCs w:val="18"/>
          <w:color w:val="auto"/>
        </w:rPr>
      </w:pPr>
    </w:p>
    <w:p>
      <w:pPr>
        <w:jc w:val="both"/>
        <w:ind w:firstLine="1304"/>
        <w:spacing w:after="0" w:line="272" w:lineRule="auto"/>
        <w:tabs>
          <w:tab w:leader="none" w:pos="15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Status of Bank</w:t>
      </w:r>
      <w:r>
        <w:rPr>
          <w:rFonts w:ascii="Arial" w:cs="Arial" w:eastAsia="Arial" w:hAnsi="Arial"/>
          <w:sz w:val="17"/>
          <w:szCs w:val="17"/>
          <w:color w:val="auto"/>
        </w:rPr>
        <w:t>. If Bank (including any assignee or successor) is entitled to an exemption from or reduction of withholding tax with respect to payments made under any Loan Document, Bank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b w:val="1"/>
          <w:bCs w:val="1"/>
          <w:color w:val="auto"/>
        </w:rPr>
        <w:t>1.7 Procedures for Borrowing.</w:t>
      </w:r>
    </w:p>
    <w:p>
      <w:pPr>
        <w:spacing w:after="0" w:line="229" w:lineRule="exact"/>
        <w:rPr>
          <w:sz w:val="20"/>
          <w:szCs w:val="20"/>
          <w:color w:val="auto"/>
        </w:rPr>
      </w:pPr>
    </w:p>
    <w:p>
      <w:pPr>
        <w:jc w:val="both"/>
        <w:ind w:firstLine="1304"/>
        <w:spacing w:after="0" w:line="289" w:lineRule="auto"/>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Term Loan Advances</w:t>
      </w:r>
      <w:r>
        <w:rPr>
          <w:rFonts w:ascii="Arial" w:cs="Arial" w:eastAsia="Arial" w:hAnsi="Arial"/>
          <w:sz w:val="16"/>
          <w:szCs w:val="16"/>
          <w:color w:val="auto"/>
        </w:rPr>
        <w:t>. Subject to the prior satisfaction of all other applicable conditions to the making of a Term Loan Advance set forth in this Agreement (which must be satisfied no later than 12:00 p.m. Eastern time on the applicable Funding Date), to obtain a Term Loan Advance, Borrower (via an individual duly authorized by an Administrator) shall notify Bank (which notice shall be irrevocable) by 12:00 p.m. Eastern time at least 2 Business Days prior to the Funding Date of the Term Loan Advance. Such notice shall be made by electronic mail or by telephone and, together with any such notification, Borrower shall deliver to Bank by electronic mail a completed Payment/Advance Form executed by an Authorized Signer and such other reports and information as Bank may reasonably request. Bank may rely on any telephone notice given by a person whom Bank believes is an Authorized Signer. Borrower will indemnify Bank for any loss Bank suffers due to such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Bank shall credit proceeds of a Credit Extension to the Designated Deposit Account. Bank may make Advances and Term Loan Advances under this Agreement based on instructions from an Authorized Signer or without instructions if such Advances or Term Loan Advances are necessary to meet Obligations which have become due.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CONDITIONS OF CREDIT EXTENSIONS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2.1 Conditions Precedent to Initial Credit Extension. </w:t>
      </w:r>
      <w:r>
        <w:rPr>
          <w:rFonts w:ascii="Arial" w:cs="Arial" w:eastAsia="Arial" w:hAnsi="Arial"/>
          <w:sz w:val="18"/>
          <w:szCs w:val="18"/>
          <w:color w:val="auto"/>
        </w:rPr>
        <w:t>Bank’s obligation to make the initial Credit Extension is subject to the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that Bank shall have received, in form and substance satisfactory to Bank, such documents, and completion of such other matters, as Bank may reasonably deem necessary or appropriate, including, without limitation:</w:t>
      </w:r>
    </w:p>
    <w:p>
      <w:pPr>
        <w:spacing w:after="0" w:line="180" w:lineRule="exact"/>
        <w:rPr>
          <w:sz w:val="20"/>
          <w:szCs w:val="20"/>
          <w:color w:val="auto"/>
        </w:rPr>
      </w:pPr>
    </w:p>
    <w:p>
      <w:pPr>
        <w:ind w:left="1540" w:hanging="236"/>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duly executed Loan Documents;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Operating Documents of Borrower and long-form good standing certificates of Borrower certified by the Secretary of State of the State of Delaware and the Secretary of State of the State of New Jersey, in which Borrower is qualified to conduct business, in each case as of a date no earlier than 30 days prior to the Effective Date;</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certificate duly executed by a Responsible Officer or secretary of Borrower with respect to Borrower’s (i) Operating Documents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Borrowing Resolutions;</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duly executed payoff letter from Horizon Finance;</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certified copies, dated as of a recent date, of searches for financing statements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Cash Collateral Account shall have been opened and the Minimum Threshold Amount shall have been deposited therein;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1304"/>
        <w:spacing w:after="0" w:line="263" w:lineRule="auto"/>
        <w:tabs>
          <w:tab w:leader="none" w:pos="15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 that (i) the Liens securing Indebtedness owed by Borrower to Horizon Finance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duly executed Perfection Certificate of Borrower;</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duly executed Cash Pledge Agreement, in form and substance acceptable to Bank;</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 satisfactory to Bank that the insurance policies required by Section 5.6 hereof are in full force and effect;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1.3 hereof.</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2.2 Conditions Precedent to All Credit Extensions. </w:t>
      </w:r>
      <w:r>
        <w:rPr>
          <w:rFonts w:ascii="Arial" w:cs="Arial" w:eastAsia="Arial" w:hAnsi="Arial"/>
          <w:sz w:val="18"/>
          <w:szCs w:val="18"/>
          <w:color w:val="auto"/>
        </w:rPr>
        <w:t>Bank’s obligation to make each Credit Extension, including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receipt of Borrower’s Credit Extension request and the related materials and documents as required by and in accordance with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11" w:lineRule="exact"/>
        <w:rPr>
          <w:sz w:val="20"/>
          <w:szCs w:val="20"/>
          <w:color w:val="auto"/>
        </w:rPr>
      </w:pPr>
    </w:p>
    <w:p>
      <w:pPr>
        <w:jc w:val="both"/>
        <w:ind w:firstLine="1304"/>
        <w:spacing w:after="0" w:line="290" w:lineRule="auto"/>
        <w:tabs>
          <w:tab w:leader="none" w:pos="157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65" w:lineRule="exact"/>
        <w:rPr>
          <w:rFonts w:ascii="Arial" w:cs="Arial" w:eastAsia="Arial" w:hAnsi="Arial"/>
          <w:sz w:val="16"/>
          <w:szCs w:val="16"/>
          <w:color w:val="auto"/>
        </w:rPr>
      </w:pPr>
    </w:p>
    <w:p>
      <w:pPr>
        <w:ind w:left="1540" w:hanging="236"/>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Material Adverse Change shall not have occurred and be continuing.</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2.3 Covenant to Deliver. </w:t>
      </w:r>
      <w:r>
        <w:rPr>
          <w:rFonts w:ascii="Arial" w:cs="Arial" w:eastAsia="Arial" w:hAnsi="Arial"/>
          <w:sz w:val="17"/>
          <w:szCs w:val="17"/>
          <w:color w:val="auto"/>
        </w:rPr>
        <w:t>Borrower shall deliver to Bank each item required to be delivered to Bank under this Agreement as a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3.1 Grant of Security Interest.</w:t>
      </w:r>
    </w:p>
    <w:p>
      <w:pPr>
        <w:spacing w:after="0" w:line="229" w:lineRule="exact"/>
        <w:rPr>
          <w:sz w:val="20"/>
          <w:szCs w:val="20"/>
          <w:color w:val="auto"/>
        </w:rPr>
      </w:pPr>
    </w:p>
    <w:p>
      <w:pPr>
        <w:ind w:firstLine="1304"/>
        <w:spacing w:after="0" w:line="342" w:lineRule="auto"/>
        <w:tabs>
          <w:tab w:leader="none" w:pos="1551" w:val="left"/>
        </w:tabs>
        <w:numPr>
          <w:ilvl w:val="0"/>
          <w:numId w:val="41"/>
        </w:numPr>
        <w:rPr>
          <w:rFonts w:ascii="Arial" w:cs="Arial" w:eastAsia="Arial" w:hAnsi="Arial"/>
          <w:sz w:val="16"/>
          <w:szCs w:val="16"/>
          <w:color w:val="auto"/>
        </w:rPr>
      </w:pPr>
      <w:r>
        <w:rPr>
          <w:rFonts w:ascii="Arial" w:cs="Arial" w:eastAsia="Arial" w:hAnsi="Arial"/>
          <w:sz w:val="16"/>
          <w:szCs w:val="16"/>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Collateral may also be subject to Permitted Liens.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3.2 Authorization to File Financing Statements. </w:t>
      </w:r>
      <w:r>
        <w:rPr>
          <w:rFonts w:ascii="Arial" w:cs="Arial" w:eastAsia="Arial" w:hAnsi="Arial"/>
          <w:sz w:val="17"/>
          <w:szCs w:val="17"/>
          <w:color w:val="auto"/>
        </w:rPr>
        <w:t>Borrower hereby authorizes Bank to file financing statements, without notice to Borrower,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all jurisdictions deemed necessary or appropriate by Bank to perfect or protect Bank’s interest or rights hereunder, including a notice that any disposition of the Collateral (other than permitted herein), by either Borrower or any other Person, shall be deemed to violate the rights of Bank under the Code. Upon written request by Borrower, Bank shall provide Borrower with filed copies of all financing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648"/>
        <w:spacing w:after="0" w:line="274" w:lineRule="auto"/>
        <w:rPr>
          <w:sz w:val="20"/>
          <w:szCs w:val="20"/>
          <w:color w:val="auto"/>
        </w:rPr>
      </w:pPr>
      <w:r>
        <w:rPr>
          <w:rFonts w:ascii="Arial" w:cs="Arial" w:eastAsia="Arial" w:hAnsi="Arial"/>
          <w:sz w:val="17"/>
          <w:szCs w:val="17"/>
          <w:b w:val="1"/>
          <w:bCs w:val="1"/>
          <w:color w:val="auto"/>
        </w:rPr>
        <w:t>3.3 Termination</w:t>
      </w:r>
      <w:r>
        <w:rPr>
          <w:rFonts w:ascii="Arial" w:cs="Arial" w:eastAsia="Arial" w:hAnsi="Arial"/>
          <w:sz w:val="17"/>
          <w:szCs w:val="17"/>
          <w:color w:val="auto"/>
        </w:rPr>
        <w:t>. If this Agreement is terminated, Bank’s Lien in the Collateral shall continue until the Obligations (other than inchoate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are repaid in full in cash. Upon payment in full in cash of the Obligations (other than inchoate indemnity obligations) and at such time as Bank’s obligation to make Credit Extensions has terminated, the security interest of Bank in the Collateral shall automatically terminated without any further action by any Person and all rights therein shall revert to Borrower; and Bank shall, at Borrower’s sole cost and expense, provide payoff and release documentation to evidence the termination of its security interest in the Collateral. In the event (a) all Obligations (other than inchoate indemnity obligations), are satisfied in full, and (b) this Agreement is terminated, Bank shall terminate the security interest granted herein.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 Due Organization, Authorization; Power and Authority.</w:t>
      </w:r>
    </w:p>
    <w:p>
      <w:pPr>
        <w:spacing w:after="0" w:line="229" w:lineRule="exact"/>
        <w:rPr>
          <w:sz w:val="20"/>
          <w:szCs w:val="20"/>
          <w:color w:val="auto"/>
        </w:rPr>
      </w:pPr>
    </w:p>
    <w:p>
      <w:pPr>
        <w:jc w:val="both"/>
        <w:ind w:firstLine="1304"/>
        <w:spacing w:after="0" w:line="259" w:lineRule="auto"/>
        <w:tabs>
          <w:tab w:leader="none" w:pos="15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Borrower and each of its Subsidiaries are each duly existing and in good standing as a Registered Organization in their respective jurisdiction of formation and are qualified and licensed to do business and are in good standing in any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information set forth on the Perfection Certificate pertaining to Borrower and each of its Subsidiaries is true and correct (it being understood and agreed that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Bank of such permitted update).</w:t>
      </w:r>
    </w:p>
    <w:p>
      <w:pPr>
        <w:spacing w:after="0" w:line="186" w:lineRule="exact"/>
        <w:rPr>
          <w:rFonts w:ascii="Arial" w:cs="Arial" w:eastAsia="Arial" w:hAnsi="Arial"/>
          <w:sz w:val="18"/>
          <w:szCs w:val="18"/>
          <w:color w:val="auto"/>
        </w:rPr>
      </w:pPr>
    </w:p>
    <w:p>
      <w:pPr>
        <w:jc w:val="both"/>
        <w:ind w:firstLine="1304"/>
        <w:spacing w:after="0" w:line="269" w:lineRule="auto"/>
        <w:tabs>
          <w:tab w:leader="none" w:pos="15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execution, delivery, and performance by Borrower and each of its Subsidiaries of the Loan Documents to which they are parties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and except as could not reasonably be expected to have a material adverse effect on Borrower’s business or operations, or (v) conflict with, contravene, constitute a default or breach under, or result in or permit the termination or acceleration of, any material agreement by which Borrower or any of its Subsidiaries is bound. Neither Borrower nor any of the Guarantors are in default under any agreement to which it is a party or by which it is bound in which the default could reasonably be expected to have a material adverse effect on Borrower’s or any of the Guarantors’ business or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4.2 Collateral.</w:t>
      </w:r>
    </w:p>
    <w:p>
      <w:pPr>
        <w:spacing w:after="0" w:line="229" w:lineRule="exact"/>
        <w:rPr>
          <w:sz w:val="20"/>
          <w:szCs w:val="20"/>
          <w:color w:val="auto"/>
        </w:rPr>
      </w:pPr>
    </w:p>
    <w:p>
      <w:pPr>
        <w:jc w:val="both"/>
        <w:ind w:firstLine="1304"/>
        <w:spacing w:after="0" w:line="263" w:lineRule="auto"/>
        <w:tabs>
          <w:tab w:leader="none" w:pos="15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83" w:lineRule="exact"/>
        <w:rPr>
          <w:rFonts w:ascii="Arial" w:cs="Arial" w:eastAsia="Arial" w:hAnsi="Arial"/>
          <w:sz w:val="18"/>
          <w:szCs w:val="18"/>
          <w:color w:val="auto"/>
        </w:rPr>
      </w:pPr>
    </w:p>
    <w:p>
      <w:pPr>
        <w:ind w:firstLine="1304"/>
        <w:spacing w:after="0" w:line="277" w:lineRule="auto"/>
        <w:tabs>
          <w:tab w:leader="none" w:pos="156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Borrower has no Collateral Accounts at or with any bank or financial institution other than Bank or Bank’s Affiliates except for the Collateral Accounts described in the Perfection Certificate delivered to Bank in connection herewith.</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Collateral is not in the possession of any third-party bailee (such as a warehouse) except as otherwise provided in the Perfection Certificate or as permitted pursuant to Section 6.2. None of the components of the Collateral shall be maintained at locations other than as provided in the Perfection Certificate or as permitted pursuant to Section 6.2.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4.3 Litigation. </w:t>
      </w:r>
      <w:r>
        <w:rPr>
          <w:rFonts w:ascii="Arial" w:cs="Arial" w:eastAsia="Arial" w:hAnsi="Arial"/>
          <w:sz w:val="18"/>
          <w:szCs w:val="18"/>
          <w:color w:val="auto"/>
        </w:rPr>
        <w:t>Other than as set forth in the Perfection Certificate or as disclosed to Bank pursuant to Section 5.3(h), there are no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any Responsible Officer, threatened in writing by or against Borrower or any of its Subsidiaries involving more than, individually or in the aggregate, $150,000.00.</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4.4 Financial Statements; Financial Condition. </w:t>
      </w:r>
      <w:r>
        <w:rPr>
          <w:rFonts w:ascii="Arial" w:cs="Arial" w:eastAsia="Arial" w:hAnsi="Arial"/>
          <w:sz w:val="16"/>
          <w:szCs w:val="16"/>
          <w:color w:val="auto"/>
        </w:rPr>
        <w:t>All consolidated financial statements for Borrower and any of its Subsidiaries delivered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by submission to the Financial Statement Repository or otherwise submitted to Bank fairly present in all material respects Borrower’s consolidated financial condition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4.5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and each of its Subsidiaries are able to pay their debts on a consolidated basis (including trade debts) as they mature.</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4.6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except where it could not reasonably be expected to have a material adverse effect on Borrower’s business or operations.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4.7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4.8 Tax Returns and Payments; Pension Contributions.</w:t>
      </w:r>
    </w:p>
    <w:p>
      <w:pPr>
        <w:spacing w:after="0" w:line="229" w:lineRule="exact"/>
        <w:rPr>
          <w:sz w:val="20"/>
          <w:szCs w:val="20"/>
          <w:color w:val="auto"/>
        </w:rPr>
      </w:pPr>
    </w:p>
    <w:p>
      <w:pPr>
        <w:jc w:val="both"/>
        <w:ind w:firstLine="1304"/>
        <w:spacing w:after="0" w:line="286" w:lineRule="auto"/>
        <w:tabs>
          <w:tab w:leader="none" w:pos="1541" w:val="left"/>
        </w:tabs>
        <w:numPr>
          <w:ilvl w:val="1"/>
          <w:numId w:val="44"/>
        </w:numPr>
        <w:rPr>
          <w:rFonts w:ascii="Arial" w:cs="Arial" w:eastAsia="Arial" w:hAnsi="Arial"/>
          <w:sz w:val="16"/>
          <w:szCs w:val="16"/>
          <w:color w:val="auto"/>
        </w:rPr>
      </w:pPr>
      <w:r>
        <w:rPr>
          <w:rFonts w:ascii="Arial" w:cs="Arial" w:eastAsia="Arial" w:hAnsi="Arial"/>
          <w:sz w:val="16"/>
          <w:szCs w:val="16"/>
          <w:color w:val="auto"/>
        </w:rPr>
        <w:t>Borrower and each of its Subsidiaries have timely filed, or submitted extensions for, all required tax returns and reports, and Borrower and each of its Subsidiaries have timely paid all foreign, federal, state, and local taxes, assessments, deposits, and contributions owed by Borrower and each of its Subsidiaries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w:t>
      </w:r>
    </w:p>
    <w:p>
      <w:pPr>
        <w:spacing w:after="0" w:line="1" w:lineRule="exact"/>
        <w:rPr>
          <w:rFonts w:ascii="Arial" w:cs="Arial" w:eastAsia="Arial" w:hAnsi="Arial"/>
          <w:sz w:val="16"/>
          <w:szCs w:val="16"/>
          <w:color w:val="auto"/>
        </w:rPr>
      </w:pPr>
    </w:p>
    <w:p>
      <w:pPr>
        <w:jc w:val="both"/>
        <w:ind w:firstLine="8"/>
        <w:spacing w:after="0" w:line="255" w:lineRule="auto"/>
        <w:tabs>
          <w:tab w:leader="none" w:pos="2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such taxes, assessments, deposits, and contributions do not, individually or in the aggregate, exceed $50,000.00. Borrower is unaware of any claims or adjustments proposed for any of Borrower’s or any of its Subsidiary’s prior tax years which could result in additional taxes becoming due and payable by Borrower or any of its Subsidiaries in excess of $50,000.00 in the aggregate.</w:t>
      </w:r>
    </w:p>
    <w:p>
      <w:pPr>
        <w:spacing w:after="0" w:line="189" w:lineRule="exact"/>
        <w:rPr>
          <w:rFonts w:ascii="Arial" w:cs="Arial" w:eastAsia="Arial" w:hAnsi="Arial"/>
          <w:sz w:val="18"/>
          <w:szCs w:val="18"/>
          <w:color w:val="auto"/>
        </w:rPr>
      </w:pPr>
    </w:p>
    <w:p>
      <w:pPr>
        <w:jc w:val="both"/>
        <w:ind w:firstLine="1304"/>
        <w:spacing w:after="0" w:line="257" w:lineRule="auto"/>
        <w:tabs>
          <w:tab w:leader="none" w:pos="15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4.9 Full Disclosure. </w:t>
      </w:r>
      <w:r>
        <w:rPr>
          <w:rFonts w:ascii="Arial" w:cs="Arial" w:eastAsia="Arial" w:hAnsi="Arial"/>
          <w:sz w:val="16"/>
          <w:szCs w:val="16"/>
          <w:color w:val="auto"/>
        </w:rPr>
        <w:t>No written representation, warranty, or other statement of Borrower or any of its Subsidiaries in any report, certificate, 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statement submitted to the Financial Statement Repository or otherwise submitted to Bank, as of the date such representation, warranty, or other statement was made, taken together with all such reports,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4.10 Sanctions. </w:t>
      </w:r>
      <w:r>
        <w:rPr>
          <w:rFonts w:ascii="Arial" w:cs="Arial" w:eastAsia="Arial" w:hAnsi="Arial"/>
          <w:sz w:val="17"/>
          <w:szCs w:val="17"/>
          <w:color w:val="auto"/>
        </w:rPr>
        <w:t>Neither Borrower nor any of its Subsidiaries is: (a) in violation of any Sanctions; or (b) a Sanctioned Person. Neither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nor any of its Subsidiaries,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5.1 Use of Proceeds. </w:t>
      </w:r>
      <w:r>
        <w:rPr>
          <w:rFonts w:ascii="Arial" w:cs="Arial" w:eastAsia="Arial" w:hAnsi="Arial"/>
          <w:sz w:val="16"/>
          <w:szCs w:val="16"/>
          <w:color w:val="auto"/>
        </w:rPr>
        <w:t>Cause the proceeds of the Credit Extensions to be used solely (a) to repay the Horizon Obligations, (b) as working capital or</w:t>
      </w:r>
    </w:p>
    <w:p>
      <w:pPr>
        <w:spacing w:after="0" w:line="50"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fund its general business and corporate purposes, and not for personal, family, household or agricultural purposes.</w:t>
      </w:r>
    </w:p>
    <w:p>
      <w:pPr>
        <w:spacing w:after="0" w:line="20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5.2 Government Compliance.</w:t>
      </w:r>
    </w:p>
    <w:p>
      <w:pPr>
        <w:spacing w:after="0" w:line="229" w:lineRule="exact"/>
        <w:rPr>
          <w:rFonts w:ascii="Arial" w:cs="Arial" w:eastAsia="Arial" w:hAnsi="Arial"/>
          <w:sz w:val="18"/>
          <w:szCs w:val="18"/>
          <w:color w:val="auto"/>
        </w:rPr>
      </w:pPr>
    </w:p>
    <w:p>
      <w:pPr>
        <w:jc w:val="both"/>
        <w:ind w:firstLine="1304"/>
        <w:spacing w:after="0" w:line="259" w:lineRule="auto"/>
        <w:tabs>
          <w:tab w:leader="none" w:pos="1551"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and each of its Subsidiaries of their obligations under the Loan Documents to which they are parties, including any grant of a security interest in the Collateral to Bank. Borrower shall promptly provide copies of any such obtained Governmental Approvals to Bank.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5.3 Financial Statements, Reports. </w:t>
      </w:r>
      <w:r>
        <w:rPr>
          <w:rFonts w:ascii="Arial" w:cs="Arial" w:eastAsia="Arial" w:hAnsi="Arial"/>
          <w:sz w:val="18"/>
          <w:szCs w:val="18"/>
          <w:color w:val="auto"/>
        </w:rPr>
        <w:t>Deliver to Bank by submitting to the Financial Statement Repository:</w:t>
      </w:r>
    </w:p>
    <w:p>
      <w:pPr>
        <w:spacing w:after="0" w:line="229" w:lineRule="exact"/>
        <w:rPr>
          <w:sz w:val="20"/>
          <w:szCs w:val="20"/>
          <w:color w:val="auto"/>
        </w:rPr>
      </w:pPr>
    </w:p>
    <w:p>
      <w:pPr>
        <w:jc w:val="both"/>
        <w:ind w:right="20" w:firstLine="1304"/>
        <w:spacing w:after="0" w:line="263"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Quarterly Compliance Statement</w:t>
      </w:r>
      <w:r>
        <w:rPr>
          <w:rFonts w:ascii="Arial" w:cs="Arial" w:eastAsia="Arial" w:hAnsi="Arial"/>
          <w:sz w:val="18"/>
          <w:szCs w:val="18"/>
          <w:color w:val="auto"/>
        </w:rPr>
        <w:t>. Within 45 days after the last day of each fiscal quarter and together with the statements set forth in Section 5.3(b), a duly completed Compliance Statement, confirming that, as of the end of such fiscal quarter, Borrower was in full compliance with all of the terms and conditions of this Agreement, and such other information as Bank may reasonably request;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1304"/>
        <w:spacing w:after="0" w:line="263" w:lineRule="auto"/>
        <w:tabs>
          <w:tab w:leader="none" w:pos="156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10-Q reports</w:t>
      </w:r>
      <w:r>
        <w:rPr>
          <w:rFonts w:ascii="Arial" w:cs="Arial" w:eastAsia="Arial" w:hAnsi="Arial"/>
          <w:sz w:val="18"/>
          <w:szCs w:val="18"/>
          <w:color w:val="auto"/>
        </w:rPr>
        <w:t>. Within 45 days after the end of the first three fiscal quarters of Borrower, a company prepared consolidated balance sheet and income statement covering Borrower’s consolidated operations for such quarter, consistent with such quarterly financial statements submitted to the SEC, in a form acceptable to Bank.</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1594"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Annual Operating Budget and Financial Projections</w:t>
      </w:r>
      <w:r>
        <w:rPr>
          <w:rFonts w:ascii="Arial" w:cs="Arial" w:eastAsia="Arial" w:hAnsi="Arial"/>
          <w:sz w:val="17"/>
          <w:szCs w:val="17"/>
          <w:color w:val="auto"/>
        </w:rPr>
        <w:t>. Within 90 days after the end of each fiscal year of Borrower, and contemporaneously with any updates or amendments thereto, (A) annual operating budgets (including income statements, balance sheets, and cash flow statements, by month) for the current fiscal year of Borrower, and (B) annual financial projections for the current fiscal year (on a quarterly basis), in each case as approved by the Board, together with any related business forecasts used in the preparation of such annual financial projections;</w:t>
      </w:r>
    </w:p>
    <w:p>
      <w:pPr>
        <w:spacing w:after="0" w:line="171" w:lineRule="exact"/>
        <w:rPr>
          <w:rFonts w:ascii="Arial" w:cs="Arial" w:eastAsia="Arial" w:hAnsi="Arial"/>
          <w:sz w:val="17"/>
          <w:szCs w:val="17"/>
          <w:color w:val="auto"/>
        </w:rPr>
      </w:pPr>
    </w:p>
    <w:p>
      <w:pPr>
        <w:jc w:val="both"/>
        <w:ind w:firstLine="1304"/>
        <w:spacing w:after="0" w:line="286" w:lineRule="auto"/>
        <w:tabs>
          <w:tab w:leader="none" w:pos="155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10-K Reports and Annual Audited Financial Statements</w:t>
      </w:r>
      <w:r>
        <w:rPr>
          <w:rFonts w:ascii="Arial" w:cs="Arial" w:eastAsia="Arial" w:hAnsi="Arial"/>
          <w:sz w:val="17"/>
          <w:szCs w:val="17"/>
          <w:color w:val="auto"/>
        </w:rPr>
        <w:t>. As soon as available, and in any event within 90 days following the end of Borrower’s fiscal year, Borrower’s 10-K report, together with audited consolidated financial statements prepared under GAAP, consistently applied, together with an unqualified opinion on the financial statements from an independent certified public accounting firm reasonably acceptable to Bank;</w:t>
      </w:r>
    </w:p>
    <w:p>
      <w:pPr>
        <w:spacing w:after="0" w:line="165" w:lineRule="exact"/>
        <w:rPr>
          <w:rFonts w:ascii="Arial" w:cs="Arial" w:eastAsia="Arial" w:hAnsi="Arial"/>
          <w:sz w:val="17"/>
          <w:szCs w:val="17"/>
          <w:color w:val="auto"/>
        </w:rPr>
      </w:pPr>
    </w:p>
    <w:p>
      <w:pPr>
        <w:jc w:val="both"/>
        <w:ind w:firstLine="1304"/>
        <w:spacing w:after="0" w:line="272" w:lineRule="auto"/>
        <w:tabs>
          <w:tab w:leader="none" w:pos="1567"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Promptly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 however, Borrower shall promptly notify Bank in writing (which may be by electronic mail) of the posting of any such documents;</w:t>
      </w:r>
    </w:p>
    <w:p>
      <w:pPr>
        <w:spacing w:after="0" w:line="177" w:lineRule="exact"/>
        <w:rPr>
          <w:rFonts w:ascii="Arial" w:cs="Arial" w:eastAsia="Arial" w:hAnsi="Arial"/>
          <w:sz w:val="17"/>
          <w:szCs w:val="17"/>
          <w:color w:val="auto"/>
        </w:rPr>
      </w:pPr>
    </w:p>
    <w:p>
      <w:pPr>
        <w:jc w:val="both"/>
        <w:ind w:right="20" w:firstLine="1304"/>
        <w:spacing w:after="0" w:line="263" w:lineRule="auto"/>
        <w:tabs>
          <w:tab w:leader="none" w:pos="152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Security Holder and Subordinated Debt Holder Reports</w:t>
      </w:r>
      <w:r>
        <w:rPr>
          <w:rFonts w:ascii="Arial" w:cs="Arial" w:eastAsia="Arial" w:hAnsi="Arial"/>
          <w:sz w:val="18"/>
          <w:szCs w:val="18"/>
          <w:color w:val="auto"/>
        </w:rPr>
        <w:t>. Promptly upon delivery, copies of all material statements, reports, and notices generally made available to Borrower’s security holders or to any holders of Subordinated Debt (solely in their capacities as security holders or holders of Subordinated Debt and not in any other role);</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Beneficial Ownership Information</w:t>
      </w:r>
      <w:r>
        <w:rPr>
          <w:rFonts w:ascii="Arial" w:cs="Arial" w:eastAsia="Arial" w:hAnsi="Arial"/>
          <w:sz w:val="18"/>
          <w:szCs w:val="18"/>
          <w:color w:val="auto"/>
        </w:rPr>
        <w:t>. If applicable to Borrower, upon request by Bank, Borrower shall provide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7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$150,000.00 or more;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1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Tort Claim Notice</w:t>
      </w:r>
      <w:r>
        <w:rPr>
          <w:rFonts w:ascii="Arial" w:cs="Arial" w:eastAsia="Arial" w:hAnsi="Arial"/>
          <w:sz w:val="18"/>
          <w:szCs w:val="18"/>
          <w:color w:val="auto"/>
        </w:rPr>
        <w:t>. If Borrower shall acquire a commercial tort claim in excess of $150,000.00,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1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Government Filings</w:t>
      </w:r>
      <w:r>
        <w:rPr>
          <w:rFonts w:ascii="Arial" w:cs="Arial" w:eastAsia="Arial" w:hAnsi="Arial"/>
          <w:sz w:val="18"/>
          <w:szCs w:val="18"/>
          <w:color w:val="auto"/>
        </w:rPr>
        <w:t>. Promptly after the same are sent or received, copies of all material correspondence, reports, documents, and other filings by Borrower or any of its Subsidiaries with any Governmental Authority regarding compliance with or maintenance of Governmental Approvals or Applicable Law or that could reasonably be expected to have a material adverse effect on any of the Governmental Approvals or otherwise on the business of Borrower or any of its Subsidiaries;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ind w:firstLine="1304"/>
        <w:spacing w:after="0" w:line="277" w:lineRule="auto"/>
        <w:tabs>
          <w:tab w:leader="none" w:pos="155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Registered Organization</w:t>
      </w:r>
      <w:r>
        <w:rPr>
          <w:rFonts w:ascii="Arial" w:cs="Arial" w:eastAsia="Arial" w:hAnsi="Arial"/>
          <w:sz w:val="18"/>
          <w:szCs w:val="18"/>
          <w:color w:val="auto"/>
        </w:rPr>
        <w:t>. If Borrower is not a Registered Organization as of the Effective Date but later becomes one, promptly notify Bank of such occurrence and provide Bank with Borrower’s organizational identification number;</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Prompt written notice of the occurrence of a Default or Event of Default; and</w:t>
      </w:r>
    </w:p>
    <w:p>
      <w:pPr>
        <w:spacing w:after="0" w:line="225" w:lineRule="exact"/>
        <w:rPr>
          <w:rFonts w:ascii="Arial" w:cs="Arial" w:eastAsia="Arial" w:hAnsi="Arial"/>
          <w:sz w:val="18"/>
          <w:szCs w:val="18"/>
          <w:color w:val="auto"/>
        </w:rPr>
      </w:pPr>
    </w:p>
    <w:p>
      <w:pPr>
        <w:ind w:firstLine="1304"/>
        <w:spacing w:after="0" w:line="277" w:lineRule="auto"/>
        <w:tabs>
          <w:tab w:leader="none" w:pos="160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Promptly, from time to time, such other information regarding Borrower or any of its Subsidiaries or compliance with the terms of any Loan Documents as reasonably requested by Bank.</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(ii) as of the end of the compliance period set forth in such submission, Borrower is in complete compliance with all required covenants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4.8,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5.4 Taxes; Pensions.</w:t>
      </w:r>
    </w:p>
    <w:p>
      <w:pPr>
        <w:spacing w:after="0" w:line="229" w:lineRule="exact"/>
        <w:rPr>
          <w:sz w:val="20"/>
          <w:szCs w:val="20"/>
          <w:color w:val="auto"/>
        </w:rPr>
      </w:pPr>
    </w:p>
    <w:p>
      <w:pPr>
        <w:jc w:val="both"/>
        <w:ind w:firstLine="1304"/>
        <w:spacing w:after="0" w:line="255" w:lineRule="auto"/>
        <w:tabs>
          <w:tab w:leader="none" w:pos="15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Timely file, and require each of its Subsidiaries to timely file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except for (i) taxes that do not exceed $50,000.00 and (ii) deferred payment of any taxes contested pursuant to the terms of Section 4.8(a)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55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the extent Borrower or any of its Subsidiaries defers payment of any contested taxes, the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5.5 Access to Collateral; Books and Records. </w:t>
      </w:r>
      <w:r>
        <w:rPr>
          <w:rFonts w:ascii="Arial" w:cs="Arial" w:eastAsia="Arial" w:hAnsi="Arial"/>
          <w:sz w:val="17"/>
          <w:szCs w:val="17"/>
          <w:color w:val="auto"/>
        </w:rPr>
        <w:t>At reasonable times, on five (5) Business Days’ prior notice (provided no notice is required if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has occurred and is continuing), Bank, or its agents, shall have the right to inspect the Collateral and the right to audit and copy Borrower’s Books. Such inspections and audits shall be conducted no more often than once every 12 months, unless an Event of Default has occurred and is continuing, in which case such inspections and audits shall occur as often as Bank shall determine is necessary. The foregoing inspections and audits shall be conducted at Borrower’s expense and the charge therefor shall be $1,000.00 per person per day (or such higher amount as shall represent Bank’s then-current standard charge for the same), plus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$2,000.00 plus any out-of-pocket expenses incurred by Bank to compensate Bank for the anticipated costs and expenses of the cancellation or rescheduling.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b w:val="1"/>
          <w:bCs w:val="1"/>
          <w:color w:val="auto"/>
        </w:rPr>
        <w:t>5.6 Insurance.</w:t>
      </w:r>
    </w:p>
    <w:p>
      <w:pPr>
        <w:spacing w:after="0" w:line="229" w:lineRule="exact"/>
        <w:rPr>
          <w:sz w:val="20"/>
          <w:szCs w:val="20"/>
          <w:color w:val="auto"/>
        </w:rPr>
      </w:pPr>
    </w:p>
    <w:p>
      <w:pPr>
        <w:jc w:val="both"/>
        <w:ind w:firstLine="1304"/>
        <w:spacing w:after="0" w:line="263" w:lineRule="auto"/>
        <w:tabs>
          <w:tab w:leader="none" w:pos="15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spacing w:after="0" w:line="183" w:lineRule="exact"/>
        <w:rPr>
          <w:rFonts w:ascii="Arial" w:cs="Arial" w:eastAsia="Arial" w:hAnsi="Arial"/>
          <w:sz w:val="18"/>
          <w:szCs w:val="18"/>
          <w:color w:val="auto"/>
        </w:rPr>
      </w:pPr>
    </w:p>
    <w:p>
      <w:pPr>
        <w:ind w:firstLine="1304"/>
        <w:spacing w:after="0" w:line="277" w:lineRule="auto"/>
        <w:tabs>
          <w:tab w:leader="none" w:pos="15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liability policies (other than D&amp;O liability insurance, worker’s compensation insurance and business interruption insurance) shall show, or have endorsements showing, Bank as an additional insured.</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5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proceeds of any casualty policy up to $100,000.00 with respect to any loss, but not exceeding $200,000.00 in the aggregate for all losses under all casualty policies in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94" w:lineRule="exact"/>
        <w:rPr>
          <w:rFonts w:ascii="Arial" w:cs="Arial" w:eastAsia="Arial" w:hAnsi="Arial"/>
          <w:sz w:val="18"/>
          <w:szCs w:val="18"/>
          <w:color w:val="auto"/>
        </w:rPr>
      </w:pPr>
    </w:p>
    <w:p>
      <w:pPr>
        <w:jc w:val="both"/>
        <w:ind w:firstLine="1304"/>
        <w:spacing w:after="0" w:line="255" w:lineRule="auto"/>
        <w:tabs>
          <w:tab w:leader="none" w:pos="15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Bank’s request, Borrower shall deliver certified copies of insurance policies and evidence of all premium payments. Each provider of any such insurance required under this Section 5.5 shall agree, by endorsement upon the policy or policies issued by it or by independent instruments furnished to Bank, that it will give Bank 30 days’ prior written notice before any such policy or policies shall be canceled or altered in any material respect. If Borrower fails to obtain insurance as required under this Section 5.5 or to pay any amount or furnish any required proof of payment to third persons and Bank, Bank may make all or part of such payment or obtain such insurance policies required in this Section 5.5, and take any action under the policies Bank deems prudent.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5.7 Accounts.</w:t>
      </w:r>
    </w:p>
    <w:p>
      <w:pPr>
        <w:spacing w:after="0" w:line="229" w:lineRule="exact"/>
        <w:rPr>
          <w:sz w:val="20"/>
          <w:szCs w:val="20"/>
          <w:color w:val="auto"/>
        </w:rPr>
      </w:pPr>
    </w:p>
    <w:p>
      <w:pPr>
        <w:jc w:val="both"/>
        <w:ind w:firstLine="1304"/>
        <w:spacing w:after="0" w:line="275" w:lineRule="auto"/>
        <w:tabs>
          <w:tab w:leader="none" w:pos="1548"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Maintain all of Borrower’s, any of its Subsidiaries’, and any Guarantor’s operating accounts with Bank. In addition to the foregoing, Borrower shall, at all times have on deposit as cash collateral in a segregated money market bank account (the “</w:t>
      </w:r>
      <w:r>
        <w:rPr>
          <w:rFonts w:ascii="Arial" w:cs="Arial" w:eastAsia="Arial" w:hAnsi="Arial"/>
          <w:sz w:val="17"/>
          <w:szCs w:val="17"/>
          <w:b w:val="1"/>
          <w:bCs w:val="1"/>
          <w:color w:val="auto"/>
        </w:rPr>
        <w:t>Cash Collateral Account</w:t>
      </w:r>
      <w:r>
        <w:rPr>
          <w:rFonts w:ascii="Arial" w:cs="Arial" w:eastAsia="Arial" w:hAnsi="Arial"/>
          <w:sz w:val="17"/>
          <w:szCs w:val="17"/>
          <w:color w:val="auto"/>
        </w:rPr>
        <w:t>”) in the name of Borrower and maintained with Bank, unrestricted and unencumbered cash (other than lien in favor of Bank) in an amount of at least 100% of the aggregate outstanding amount of the Term Loan Advances (the “</w:t>
      </w:r>
      <w:r>
        <w:rPr>
          <w:rFonts w:ascii="Arial" w:cs="Arial" w:eastAsia="Arial" w:hAnsi="Arial"/>
          <w:sz w:val="17"/>
          <w:szCs w:val="17"/>
          <w:b w:val="1"/>
          <w:bCs w:val="1"/>
          <w:color w:val="auto"/>
        </w:rPr>
        <w:t>Minimum Threshold Amount</w:t>
      </w:r>
      <w:r>
        <w:rPr>
          <w:rFonts w:ascii="Arial" w:cs="Arial" w:eastAsia="Arial" w:hAnsi="Arial"/>
          <w:sz w:val="17"/>
          <w:szCs w:val="17"/>
          <w:color w:val="auto"/>
        </w:rPr>
        <w:t>”). Bank may restrict withdrawals or transfers by or on behalf of Borrower that would violate this Section 5.7(a) regardless of whether an Event of Default exists at such time.</w:t>
      </w:r>
    </w:p>
    <w:p>
      <w:pPr>
        <w:spacing w:after="0" w:line="176" w:lineRule="exact"/>
        <w:rPr>
          <w:rFonts w:ascii="Arial" w:cs="Arial" w:eastAsia="Arial" w:hAnsi="Arial"/>
          <w:sz w:val="17"/>
          <w:szCs w:val="17"/>
          <w:color w:val="auto"/>
        </w:rPr>
      </w:pPr>
    </w:p>
    <w:p>
      <w:pPr>
        <w:ind w:left="1580" w:hanging="276"/>
        <w:spacing w:after="0"/>
        <w:tabs>
          <w:tab w:leader="none" w:pos="1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addition to the foregoing, Borrower, any Subsidiary of Borrower, and any Guarantor shall obtain any letter of credit exclusively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Bank.</w:t>
      </w:r>
    </w:p>
    <w:p>
      <w:pPr>
        <w:spacing w:after="0" w:line="210" w:lineRule="exact"/>
        <w:rPr>
          <w:rFonts w:ascii="Arial" w:cs="Arial" w:eastAsia="Arial" w:hAnsi="Arial"/>
          <w:sz w:val="17"/>
          <w:szCs w:val="17"/>
          <w:color w:val="auto"/>
        </w:rPr>
      </w:pPr>
    </w:p>
    <w:p>
      <w:pPr>
        <w:jc w:val="both"/>
        <w:ind w:firstLine="1304"/>
        <w:spacing w:after="0" w:line="272" w:lineRule="auto"/>
        <w:tabs>
          <w:tab w:leader="none" w:pos="1544"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addition to and without limiting the restrictions in (a), Borrower shall provide Bank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7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5.8 Protection of Intellectual Property Rights. </w:t>
      </w:r>
      <w:r>
        <w:rPr>
          <w:rFonts w:ascii="Arial" w:cs="Arial" w:eastAsia="Arial" w:hAnsi="Arial"/>
          <w:sz w:val="16"/>
          <w:szCs w:val="16"/>
          <w:color w:val="auto"/>
        </w:rPr>
        <w:t>(i) Protect, defend, and maintain the validity and enforceability of Borrower’s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Subsidiary’s Intellectual Property, except to the extent that such failure to do so would not reasonably be expected to have a material adverse effect on Borrower’s business or operations; (ii) promptly advise Bank in writing of infringements or any other event that could reasonably be expected to materially and adversely affect the value Borrower’s and each Subsidiary’s Intellectual Property material to Borrower’s business; and (iii) not allow any Intellectual Property material to Borrower’s or any Subsidiary’s business to be abandoned, forfeited, or dedicated to the public without Bank’s written consent.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5.9 Litigation Cooperation. </w:t>
      </w:r>
      <w:r>
        <w:rPr>
          <w:rFonts w:ascii="Arial" w:cs="Arial" w:eastAsia="Arial" w:hAnsi="Arial"/>
          <w:sz w:val="18"/>
          <w:szCs w:val="18"/>
          <w:color w:val="auto"/>
        </w:rPr>
        <w:t>From the date hereof and continuing through the termination of this Agreement, make available to Bank (and if no</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Default exists, during normal business hours),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5.10 Formation or Acquisition of Subsidiaries. </w:t>
      </w:r>
      <w:r>
        <w:rPr>
          <w:rFonts w:ascii="Arial" w:cs="Arial" w:eastAsia="Arial" w:hAnsi="Arial"/>
          <w:sz w:val="16"/>
          <w:szCs w:val="16"/>
          <w:color w:val="auto"/>
        </w:rPr>
        <w:t>Notwithstanding and without limiting the negative covenants contained in Sections 6.3 and 6.7</w:t>
      </w:r>
      <w:r>
        <w:rPr>
          <w:rFonts w:ascii="Arial" w:cs="Arial" w:eastAsia="Arial" w:hAnsi="Arial"/>
          <w:sz w:val="16"/>
          <w:szCs w:val="16"/>
          <w:b w:val="1"/>
          <w:bCs w:val="1"/>
          <w:color w:val="auto"/>
        </w:rPr>
        <w:t xml:space="preserve"> </w:t>
      </w:r>
      <w:r>
        <w:rPr>
          <w:rFonts w:ascii="Arial" w:cs="Arial" w:eastAsia="Arial" w:hAnsi="Arial"/>
          <w:sz w:val="16"/>
          <w:szCs w:val="16"/>
          <w:color w:val="auto"/>
        </w:rPr>
        <w:t>hereof, within 14 Business Days (or such longer period as Bank may agree in writing in its sole and absolute discretion) after the date that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w:t>
      </w:r>
    </w:p>
    <w:p>
      <w:pPr>
        <w:spacing w:after="0" w:line="3" w:lineRule="exact"/>
        <w:rPr>
          <w:sz w:val="20"/>
          <w:szCs w:val="20"/>
          <w:color w:val="auto"/>
        </w:rPr>
      </w:pPr>
    </w:p>
    <w:p>
      <w:pPr>
        <w:jc w:val="both"/>
        <w:ind w:firstLine="8"/>
        <w:spacing w:after="0" w:line="273" w:lineRule="auto"/>
        <w:tabs>
          <w:tab w:leader="none" w:pos="27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Any document, agreement, or instrument executed or issued pursuant to this Section 5.10 shall be a Loan Document. Notwithstanding the foregoing, as of the Effective Date and thereafter, CLSN Laboratories, Inc. shall not be a co-Borrower or Guarantor hereunder.</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5.11 Inventory; Returns. </w:t>
      </w:r>
      <w:r>
        <w:rPr>
          <w:rFonts w:ascii="Arial" w:cs="Arial" w:eastAsia="Arial" w:hAnsi="Arial"/>
          <w:sz w:val="18"/>
          <w:szCs w:val="18"/>
          <w:color w:val="auto"/>
        </w:rPr>
        <w:t>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Account Debtors shall follow Borrower’s customary practices in the ordinary course. Borrower shall promptly notify Bank of all returns, recoveries, disputes, and claims that involve more than $150,000.00.</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5.12 Further Assurances. </w:t>
      </w:r>
      <w:r>
        <w:rPr>
          <w:rFonts w:ascii="Arial" w:cs="Arial" w:eastAsia="Arial" w:hAnsi="Arial"/>
          <w:sz w:val="18"/>
          <w:szCs w:val="18"/>
          <w:color w:val="auto"/>
        </w:rPr>
        <w:t>Execute any further instruments and take such further action as Bank reasonably requests to perfect, protect, ensure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priority of, or continue Bank’s Lien on the Collateral or to effect the purposes of this Agreement.</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5.13 Sanctions</w:t>
      </w:r>
      <w:r>
        <w:rPr>
          <w:rFonts w:ascii="Arial" w:cs="Arial" w:eastAsia="Arial" w:hAnsi="Arial"/>
          <w:sz w:val="17"/>
          <w:szCs w:val="17"/>
          <w:color w:val="auto"/>
        </w:rPr>
        <w:t>. (a) Not, and not permit any of its Subsidiaries to, engage in any of the activities described in Section 4.10 in the future; (b) not,</w:t>
      </w:r>
      <w:r>
        <w:rPr>
          <w:rFonts w:ascii="Arial" w:cs="Arial" w:eastAsia="Arial" w:hAnsi="Arial"/>
          <w:sz w:val="17"/>
          <w:szCs w:val="17"/>
          <w:b w:val="1"/>
          <w:bCs w:val="1"/>
          <w:color w:val="auto"/>
        </w:rPr>
        <w:t xml:space="preserve"> </w:t>
      </w:r>
      <w:r>
        <w:rPr>
          <w:rFonts w:ascii="Arial" w:cs="Arial" w:eastAsia="Arial" w:hAnsi="Arial"/>
          <w:sz w:val="17"/>
          <w:szCs w:val="17"/>
          <w:color w:val="auto"/>
        </w:rPr>
        <w:t>and 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Section 5.13. In addition, have implemented, and will consistently apply while this Agreement is in effect, procedures to ensure that the representations and warranties in Section 4.10 remain true and correct while this Agreement is in effect.</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5.14 Post-Closing Matters</w:t>
      </w:r>
      <w:r>
        <w:rPr>
          <w:rFonts w:ascii="Arial" w:cs="Arial" w:eastAsia="Arial" w:hAnsi="Arial"/>
          <w:sz w:val="18"/>
          <w:szCs w:val="18"/>
          <w:color w:val="auto"/>
        </w:rPr>
        <w:t>. Deliver to Bank, within thirty (30) days of the Effective Date, in form and substance acceptable to Bank, evidence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insurance indorsements required by Section 5.6 hereof are in full force and effect, together with additional insured clauses or endorsements in favor of Bank.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6.1 Dispositions. </w:t>
      </w:r>
      <w:r>
        <w:rPr>
          <w:rFonts w:ascii="Arial" w:cs="Arial" w:eastAsia="Arial" w:hAnsi="Arial"/>
          <w:sz w:val="16"/>
          <w:szCs w:val="16"/>
          <w:color w:val="auto"/>
        </w:rPr>
        <w:t>Convey, sell, lease, transfer, assign, or otherwise dispose of (including, without limitation, pursuant to a Division)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(f) of non-exclusive licenses, sublicenses, and cross-licenses for the use of the property of Borrower or its Subsidiaries in the ordinary course of business; and (g) transfers from Borrower to another Borrower or a secured Guarantor.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6.2 Changes in Business, Management, Control, or Business Locations. </w:t>
      </w:r>
      <w:r>
        <w:rPr>
          <w:rFonts w:ascii="Arial" w:cs="Arial" w:eastAsia="Arial" w:hAnsi="Arial"/>
          <w:sz w:val="17"/>
          <w:szCs w:val="17"/>
          <w:color w:val="auto"/>
        </w:rPr>
        <w:t>(a)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currently engaged in by Borrower and such Subsidiary, as applicable, or reasonably related or incidental thereto; (b) liquidate or dissolve or permit any of its Subsidiaries to liquidate or dissolve (except that a Subsidiary may liquidate or dissolve, provided that all assets of such Subsidiary are transferred to Borrower or another Subsidiary); (c) fail to provide notice to Bank of any Key Person departing from or ceasing to be employed by Borrower within 10 Business Days after such Key Person’s departure from Borrower; and (d) permit, allow, or suffer to occur any Change in Control. Borrower shall not without at least 10 days’ prior written notice (or such shorter notice as Bank may agree in writing in its sole and absolute discretion) to Bank, (i) add any new offices or business locations, including warehouses (unless such new offices or business locations contain less than $100,000.00 in Borrower’s assets or property) or deliver any portion of the Collateral valued, individually or in the aggregate, in excess of $100,000.00 to a bailee at a location other than to a bailee and at a location already disclosed in the Perfection Certificate, (ii) change its jurisdiction of organization, (iii) change its organizational structure or type, or (iv) change its legal name.</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6.3 Mergers or Acquisitions. </w:t>
      </w:r>
      <w:r>
        <w:rPr>
          <w:rFonts w:ascii="Arial" w:cs="Arial" w:eastAsia="Arial" w:hAnsi="Arial"/>
          <w:sz w:val="18"/>
          <w:szCs w:val="18"/>
          <w:color w:val="auto"/>
        </w:rPr>
        <w:t>Merge or consolidate, or permit any of its Subsidiaries to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A Subsidiary may merge or consolidate into another Subsidiary or into Borrower.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6.4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6.5 Encumbrance. </w:t>
      </w:r>
      <w:r>
        <w:rPr>
          <w:rFonts w:ascii="Arial" w:cs="Arial" w:eastAsia="Arial" w:hAnsi="Arial"/>
          <w:sz w:val="18"/>
          <w:szCs w:val="18"/>
          <w:color w:val="auto"/>
        </w:rPr>
        <w:t>Create, incur, allow, or suffer to exist any Lien on any of its property, or assign or convey any right to receive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sale of any Accounts, or permit any of its Subsidiaries to do so, except for Permitted Liens, permit any Collateral not to be subject to the first priority security interest granted 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6.6 Maintenance of Collateral Accounts. </w:t>
      </w:r>
      <w:r>
        <w:rPr>
          <w:rFonts w:ascii="Arial" w:cs="Arial" w:eastAsia="Arial" w:hAnsi="Arial"/>
          <w:sz w:val="18"/>
          <w:szCs w:val="18"/>
          <w:color w:val="auto"/>
        </w:rPr>
        <w:t>Maintain any Collateral Account except pursuant to the terms of Section 5.7(c).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6.7 Distributions; Investments. </w:t>
      </w:r>
      <w:r>
        <w:rPr>
          <w:rFonts w:ascii="Arial" w:cs="Arial" w:eastAsia="Arial" w:hAnsi="Arial"/>
          <w:sz w:val="18"/>
          <w:szCs w:val="18"/>
          <w:color w:val="auto"/>
        </w:rPr>
        <w:t>(a) Pay any dividends or make any distribution or payment, or redeem, retire, or purchase any stock,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or other ownership interest or other equity securities; or (b) directly or indirectly make any Investment (including, without limitation, by the formation of any Subsidiary) other than Permitted Investments, or permit any of its Subsidiaries to do so.</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6.8 Transactions with Affiliates. </w:t>
      </w:r>
      <w:r>
        <w:rPr>
          <w:rFonts w:ascii="Arial" w:cs="Arial" w:eastAsia="Arial" w:hAnsi="Arial"/>
          <w:sz w:val="18"/>
          <w:szCs w:val="18"/>
          <w:color w:val="auto"/>
        </w:rPr>
        <w:t>Directly or indirectly enter into or permit to exist any material transaction with any Affiliate of Borrower,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transactions that are in the ordinary course of Borrower’s business, upon fair and reasonable terms that are no less favorable to Borrower than would be obtained in an arm’s-length transaction with a non-affiliated Person.</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6.9 Subordinated Debt. </w:t>
      </w:r>
      <w:r>
        <w:rPr>
          <w:rFonts w:ascii="Arial" w:cs="Arial" w:eastAsia="Arial" w:hAnsi="Arial"/>
          <w:sz w:val="18"/>
          <w:szCs w:val="18"/>
          <w:color w:val="auto"/>
        </w:rPr>
        <w:t>Except as expressly permitted under the terms of the subordination, intercreditor, or other similar agreement to which any</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Subordinated Debt is subject: (a) make or permit any payment on such Subordinated Debt; or (b) amend any provision in any document relating to such Subordinated Debt which would increase the principal amount thereof, provide for earlier or greater principal, interest, or other payments thereon, or adversely affect the subordination thereof to Obligations owed to Bank.</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6.10 Compliance. </w:t>
      </w:r>
      <w:r>
        <w:rPr>
          <w:rFonts w:ascii="Arial" w:cs="Arial" w:eastAsia="Arial" w:hAnsi="Arial"/>
          <w:sz w:val="16"/>
          <w:szCs w:val="16"/>
          <w:color w:val="auto"/>
        </w:rPr>
        <w:t>(a) Become an “investment company” or a company controlled by an “investment company”, under the Investment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(b) (i)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7.1 Payment Default. </w:t>
      </w:r>
      <w:r>
        <w:rPr>
          <w:rFonts w:ascii="Arial" w:cs="Arial" w:eastAsia="Arial" w:hAnsi="Arial"/>
          <w:sz w:val="18"/>
          <w:szCs w:val="18"/>
          <w:color w:val="auto"/>
        </w:rPr>
        <w:t>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3 Business Days after such Obligations are due and payable (which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7.2 Covenant Default.</w:t>
      </w:r>
    </w:p>
    <w:p>
      <w:pPr>
        <w:spacing w:after="0" w:line="229" w:lineRule="exact"/>
        <w:rPr>
          <w:sz w:val="20"/>
          <w:szCs w:val="20"/>
          <w:color w:val="auto"/>
        </w:rPr>
      </w:pPr>
    </w:p>
    <w:p>
      <w:pPr>
        <w:ind w:firstLine="1304"/>
        <w:spacing w:after="0" w:line="277" w:lineRule="auto"/>
        <w:tabs>
          <w:tab w:leader="none" w:pos="15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 5 (other than Sections 5.2 (Government Compliance), 5.9 (Litigation Cooperation), 5.11 (Inventory; Returns), and 5.12 (Further Assurances)) or violates any covenant in Section 6; or</w:t>
      </w:r>
    </w:p>
    <w:p>
      <w:pPr>
        <w:spacing w:after="0" w:line="170" w:lineRule="exact"/>
        <w:rPr>
          <w:rFonts w:ascii="Arial" w:cs="Arial" w:eastAsia="Arial" w:hAnsi="Arial"/>
          <w:sz w:val="18"/>
          <w:szCs w:val="18"/>
          <w:color w:val="auto"/>
        </w:rPr>
      </w:pPr>
    </w:p>
    <w:p>
      <w:pPr>
        <w:jc w:val="both"/>
        <w:ind w:firstLine="1304"/>
        <w:spacing w:after="0" w:line="253" w:lineRule="auto"/>
        <w:tabs>
          <w:tab w:leader="none" w:pos="15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10 Business Days after the occurrence thereof; provided, however, that if the default cannot by its nature be cured within the 10-Business Day period or cannot after diligent attempts by Borrower be cured within such 10-Business Day period, and such default is likely to be cured within a reasonable time, then Borrower shall have an additional period (which shall not in any case exceed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 (a) above;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7.3 Material Adverse Change. </w:t>
      </w:r>
      <w:r>
        <w:rPr>
          <w:rFonts w:ascii="Arial" w:cs="Arial" w:eastAsia="Arial" w:hAnsi="Arial"/>
          <w:sz w:val="18"/>
          <w:szCs w:val="18"/>
          <w:color w:val="auto"/>
        </w:rPr>
        <w:t>A Material Adverse Change occurs;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7.4 Attachment; Levy; Restraint on Business.</w:t>
      </w:r>
    </w:p>
    <w:p>
      <w:pPr>
        <w:spacing w:after="0" w:line="229" w:lineRule="exact"/>
        <w:rPr>
          <w:sz w:val="20"/>
          <w:szCs w:val="20"/>
          <w:color w:val="auto"/>
        </w:rPr>
      </w:pPr>
    </w:p>
    <w:p>
      <w:pPr>
        <w:jc w:val="both"/>
        <w:ind w:firstLine="1304"/>
        <w:spacing w:after="0" w:line="301" w:lineRule="auto"/>
        <w:tabs>
          <w:tab w:leader="none" w:pos="15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The service of process seeking to attach, by trustee or similar process, any funds of Borrower or any Subsidiary in excess of $50,000.00, or (ii) a notice of lien or levy is filed against any of Borrower’s or any of its Subsidiaries’ assets by any Governmental Authority with a value in excess of $50,000.00, and the same under subclauses (i) and (ii) hereof are not, within 10 Business Days after the occurrence thereof, discharged or stayed (whether through the posting of a bond or otherwise); provided, however, no Credit Extensions shall be made during any 10 day cure period; or</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15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7.5 Insolvency. </w:t>
      </w:r>
      <w:r>
        <w:rPr>
          <w:rFonts w:ascii="Arial" w:cs="Arial" w:eastAsia="Arial" w:hAnsi="Arial"/>
          <w:sz w:val="17"/>
          <w:szCs w:val="17"/>
          <w:color w:val="auto"/>
        </w:rPr>
        <w:t>(a) Borrower is unable to pay its debts (including trade debts) as they become due or otherwise becomes insolvent; (b)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begins an Insolvency Proceeding; or (c) an Insolvency Proceeding is begun against Borrower and is not dismissed or stayed within 45 days (but no Credit Extensions shall be made while any of the conditions described in clause (a) exist or until any Insolvency Proceeding is dismissed);</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7.6 Other Agreements. </w:t>
      </w:r>
      <w:r>
        <w:rPr>
          <w:rFonts w:ascii="Arial" w:cs="Arial" w:eastAsia="Arial" w:hAnsi="Arial"/>
          <w:sz w:val="18"/>
          <w:szCs w:val="18"/>
          <w:color w:val="auto"/>
        </w:rPr>
        <w:t>There is, under any agreement to which Borrower, any of Borrower’s Subsidiaries, or any Guarantor is a party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or parties, (a) any default resulting in a right by such third party or parties, whether or not exercised, to accelerate the maturity of any Indebtedness in an amount individually or in the aggregate in excess of $250,000.00; or (b) any breach or default by Borrower, any of Borrower’s Subsidiaries, or Guarantor, the result of which could have a material adverse effect on Borrower’s, any of Borrower’s Subsidiaries’, or any Guarantor’s business or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7.7 Judgments; Penalties. </w:t>
      </w:r>
      <w:r>
        <w:rPr>
          <w:rFonts w:ascii="Arial" w:cs="Arial" w:eastAsia="Arial" w:hAnsi="Arial"/>
          <w:sz w:val="18"/>
          <w:szCs w:val="18"/>
          <w:color w:val="auto"/>
        </w:rPr>
        <w:t>One or more fines, penalties, or final judgments, orders, or decrees for the payment of money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in the aggregate, of at least $250,000.00 (not covered by independent third-party insurance as to which liability has been accepted by such insurance carrier) shall be rendered against Borrower or any of its Subsidiaries by any Governmental Authority, and the same are not, within 30 days after the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7.8 Misrepresentations. </w:t>
      </w:r>
      <w:r>
        <w:rPr>
          <w:rFonts w:ascii="Arial" w:cs="Arial" w:eastAsia="Arial" w:hAnsi="Arial"/>
          <w:sz w:val="18"/>
          <w:szCs w:val="18"/>
          <w:color w:val="auto"/>
        </w:rPr>
        <w:t>Borrower or any of its Subsidiaries or any Person acting for Borrower or any of its Subsidiaries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If: (a) any document, instrument, or agreement evidencing any Subordinated Debt shall for any reason be revoked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invalidated or otherwise cease to be in full force 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7.10 Lien Priority. </w:t>
      </w:r>
      <w:r>
        <w:rPr>
          <w:rFonts w:ascii="Arial" w:cs="Arial" w:eastAsia="Arial" w:hAnsi="Arial"/>
          <w:sz w:val="18"/>
          <w:szCs w:val="18"/>
          <w:color w:val="auto"/>
        </w:rPr>
        <w:t>There is a material impairment in the perfection or priority of Bank’s security interest in the Collateral;</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7.11 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7.3, 7.4, 7.5, 7.6, 7.7, or 7.8 of this Agreement occurs with respect to any Guarantor, (d) the death, liquidation, winding up, or termination of existence of any Guarantor; or (e) (i)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7.12 Governmental Approvals. </w:t>
      </w:r>
      <w:r>
        <w:rPr>
          <w:rFonts w:ascii="Arial" w:cs="Arial" w:eastAsia="Arial" w:hAnsi="Arial"/>
          <w:sz w:val="18"/>
          <w:szCs w:val="18"/>
          <w:color w:val="auto"/>
        </w:rPr>
        <w:t>Any Governmental Approval shall have been (a) revoked, rescinded, suspended, modified in an adverse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cause, a Material Adverse Change.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8.1 Rights and Remedies. </w:t>
      </w:r>
      <w:r>
        <w:rPr>
          <w:rFonts w:ascii="Arial" w:cs="Arial" w:eastAsia="Arial" w:hAnsi="Arial"/>
          <w:sz w:val="18"/>
          <w:szCs w:val="18"/>
          <w:color w:val="auto"/>
        </w:rPr>
        <w:t>Upon the occurrence and during the continuance of an Event of Default, Bank may, without notice or demand, do any</w:t>
      </w:r>
      <w:r>
        <w:rPr>
          <w:rFonts w:ascii="Arial" w:cs="Arial" w:eastAsia="Arial" w:hAnsi="Arial"/>
          <w:sz w:val="18"/>
          <w:szCs w:val="18"/>
          <w:b w:val="1"/>
          <w:bCs w:val="1"/>
          <w:color w:val="auto"/>
        </w:rPr>
        <w:t xml:space="preserve"> </w:t>
      </w:r>
      <w:r>
        <w:rPr>
          <w:rFonts w:ascii="Arial" w:cs="Arial" w:eastAsia="Arial" w:hAnsi="Arial"/>
          <w:sz w:val="18"/>
          <w:szCs w:val="18"/>
          <w:color w:val="auto"/>
        </w:rPr>
        <w:t>or all of the following:</w:t>
      </w:r>
    </w:p>
    <w:p>
      <w:pPr>
        <w:spacing w:after="0" w:line="166" w:lineRule="exact"/>
        <w:rPr>
          <w:sz w:val="20"/>
          <w:szCs w:val="20"/>
          <w:color w:val="auto"/>
        </w:rPr>
      </w:pPr>
    </w:p>
    <w:p>
      <w:pPr>
        <w:ind w:firstLine="1304"/>
        <w:spacing w:after="0" w:line="277" w:lineRule="auto"/>
        <w:tabs>
          <w:tab w:leader="none" w:pos="15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7.5 occurs, all Obligations are immediately due and payable without any action by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ind w:left="1600" w:hanging="296"/>
        <w:spacing w:after="0"/>
        <w:tabs>
          <w:tab w:leader="none" w:pos="1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stop advancing money or extending credit for Borrower’s benefit under this Agreement or under any other agreement between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 and Bank;</w:t>
      </w:r>
    </w:p>
    <w:p>
      <w:pPr>
        <w:spacing w:after="0" w:line="210" w:lineRule="exact"/>
        <w:rPr>
          <w:rFonts w:ascii="Arial" w:cs="Arial" w:eastAsia="Arial" w:hAnsi="Arial"/>
          <w:sz w:val="17"/>
          <w:szCs w:val="17"/>
          <w:color w:val="auto"/>
        </w:rPr>
      </w:pPr>
    </w:p>
    <w:p>
      <w:pPr>
        <w:ind w:left="1540" w:hanging="236"/>
        <w:spacing w:after="0"/>
        <w:tabs>
          <w:tab w:leader="none" w:pos="1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7" w:lineRule="exact"/>
        <w:rPr>
          <w:rFonts w:ascii="Arial" w:cs="Arial" w:eastAsia="Arial" w:hAnsi="Arial"/>
          <w:sz w:val="18"/>
          <w:szCs w:val="18"/>
          <w:color w:val="auto"/>
        </w:rPr>
      </w:pPr>
    </w:p>
    <w:p>
      <w:pPr>
        <w:ind w:right="20" w:firstLine="1304"/>
        <w:spacing w:after="0" w:line="277" w:lineRule="auto"/>
        <w:tabs>
          <w:tab w:leader="none" w:pos="15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amount held by Bank owing to or for the credit or the account of Borrower;</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w:t>
      </w:r>
    </w:p>
    <w:p>
      <w:pPr>
        <w:spacing w:after="0" w:line="225" w:lineRule="exact"/>
        <w:rPr>
          <w:rFonts w:ascii="Arial" w:cs="Arial" w:eastAsia="Arial" w:hAnsi="Arial"/>
          <w:sz w:val="18"/>
          <w:szCs w:val="18"/>
          <w:color w:val="auto"/>
        </w:rPr>
      </w:pPr>
    </w:p>
    <w:p>
      <w:pPr>
        <w:ind w:firstLine="1304"/>
        <w:spacing w:after="0" w:line="277" w:lineRule="auto"/>
        <w:tabs>
          <w:tab w:leader="none" w:pos="15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ind w:firstLine="1304"/>
        <w:spacing w:after="0" w:line="277" w:lineRule="auto"/>
        <w:tabs>
          <w:tab w:leader="none" w:pos="15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8.2 Power of Attorney. </w:t>
      </w:r>
      <w:r>
        <w:rPr>
          <w:rFonts w:ascii="Arial" w:cs="Arial" w:eastAsia="Arial" w:hAnsi="Arial"/>
          <w:sz w:val="16"/>
          <w:szCs w:val="16"/>
          <w:color w:val="auto"/>
        </w:rPr>
        <w:t>Borrower hereby irrevocably appoints Bank as its true and lawful attorney-in-fact, (a) exercisable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if and when an Event of Default has occurred and is continuing,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8.3 Protective Payments. </w:t>
      </w:r>
      <w:r>
        <w:rPr>
          <w:rFonts w:ascii="Arial" w:cs="Arial" w:eastAsia="Arial" w:hAnsi="Arial"/>
          <w:sz w:val="18"/>
          <w:szCs w:val="18"/>
          <w:color w:val="auto"/>
        </w:rPr>
        <w:t>If Borrower fails to obtain the insurance called for by Section 5.5 or fails to pay any premium thereon or fails to pay</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Default Rate,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8.4 Application of Payments and Proceeds. </w:t>
      </w:r>
      <w:r>
        <w:rPr>
          <w:rFonts w:ascii="Arial" w:cs="Arial" w:eastAsia="Arial" w:hAnsi="Arial"/>
          <w:sz w:val="18"/>
          <w:szCs w:val="18"/>
          <w:color w:val="auto"/>
        </w:rPr>
        <w:t>After the occurrence and during the continuance of an Event of Default, Bank may apply any funds</w:t>
      </w:r>
      <w:r>
        <w:rPr>
          <w:rFonts w:ascii="Arial" w:cs="Arial" w:eastAsia="Arial" w:hAnsi="Arial"/>
          <w:sz w:val="18"/>
          <w:szCs w:val="18"/>
          <w:b w:val="1"/>
          <w:bCs w:val="1"/>
          <w:color w:val="auto"/>
        </w:rPr>
        <w:t xml:space="preserve"> </w:t>
      </w:r>
      <w:r>
        <w:rPr>
          <w:rFonts w:ascii="Arial" w:cs="Arial" w:eastAsia="Arial" w:hAnsi="Arial"/>
          <w:sz w:val="18"/>
          <w:szCs w:val="18"/>
          <w:color w:val="auto"/>
        </w:rPr>
        <w:t>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8.5 Bank’s Liability for Collateral. </w:t>
      </w:r>
      <w:r>
        <w:rPr>
          <w:rFonts w:ascii="Arial" w:cs="Arial" w:eastAsia="Arial" w:hAnsi="Arial"/>
          <w:sz w:val="17"/>
          <w:szCs w:val="17"/>
          <w:color w:val="auto"/>
        </w:rPr>
        <w:t>Bank’s sole duty with respect to the custody, safekeeping, and physical preservation of the Collateral in its</w:t>
      </w:r>
      <w:r>
        <w:rPr>
          <w:rFonts w:ascii="Arial" w:cs="Arial" w:eastAsia="Arial" w:hAnsi="Arial"/>
          <w:sz w:val="17"/>
          <w:szCs w:val="17"/>
          <w:b w:val="1"/>
          <w:bCs w:val="1"/>
          <w:color w:val="auto"/>
        </w:rPr>
        <w:t xml:space="preserve"> </w:t>
      </w:r>
      <w:r>
        <w:rPr>
          <w:rFonts w:ascii="Arial" w:cs="Arial" w:eastAsia="Arial" w:hAnsi="Arial"/>
          <w:sz w:val="17"/>
          <w:szCs w:val="17"/>
          <w:color w:val="auto"/>
        </w:rPr>
        <w:t>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8.6 No Waiver; Remedies Cumulative. </w:t>
      </w:r>
      <w:r>
        <w:rPr>
          <w:rFonts w:ascii="Arial" w:cs="Arial" w:eastAsia="Arial" w:hAnsi="Arial"/>
          <w:sz w:val="17"/>
          <w:szCs w:val="17"/>
          <w:color w:val="auto"/>
        </w:rPr>
        <w:t>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8.7 Demand Waiver. </w:t>
      </w:r>
      <w:r>
        <w:rPr>
          <w:rFonts w:ascii="Arial" w:cs="Arial" w:eastAsia="Arial" w:hAnsi="Arial"/>
          <w:sz w:val="18"/>
          <w:szCs w:val="18"/>
          <w:color w:val="auto"/>
        </w:rPr>
        <w:t>Unless otherwise provided for herein or elsewhere in the Loan Documents, Borrower waives demand, notice of default or</w:t>
      </w:r>
      <w:r>
        <w:rPr>
          <w:rFonts w:ascii="Arial" w:cs="Arial" w:eastAsia="Arial" w:hAnsi="Arial"/>
          <w:sz w:val="18"/>
          <w:szCs w:val="18"/>
          <w:b w:val="1"/>
          <w:bCs w:val="1"/>
          <w:color w:val="auto"/>
        </w:rPr>
        <w:t xml:space="preserve"> </w:t>
      </w:r>
      <w:r>
        <w:rPr>
          <w:rFonts w:ascii="Arial" w:cs="Arial" w:eastAsia="Arial" w:hAnsi="Arial"/>
          <w:sz w:val="18"/>
          <w:szCs w:val="18"/>
          <w:color w:val="auto"/>
        </w:rPr>
        <w:t>dishonor, notice of payment and nonpayment, notice of any default, nonpayment at 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ind w:left="800" w:hanging="144"/>
        <w:spacing w:after="0"/>
        <w:tabs>
          <w:tab w:leader="none" w:pos="8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3 Business Days after deposit in the U.S. mail, first-class, registered or certified mail return receipt requested, with proper postage prepaid; (b) upon transmission, when sent by electronic mail; (c)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ind w:left="1700"/>
              <w:spacing w:after="0"/>
              <w:rPr>
                <w:sz w:val="20"/>
                <w:szCs w:val="20"/>
                <w:color w:val="auto"/>
              </w:rPr>
            </w:pPr>
            <w:r>
              <w:rPr>
                <w:rFonts w:ascii="Arial" w:cs="Arial" w:eastAsia="Arial" w:hAnsi="Arial"/>
                <w:sz w:val="18"/>
                <w:szCs w:val="18"/>
                <w:color w:val="auto"/>
              </w:rPr>
              <w:t>If to Borrower:</w:t>
            </w:r>
          </w:p>
        </w:tc>
        <w:tc>
          <w:tcPr>
            <w:tcW w:w="7880" w:type="dxa"/>
            <w:vAlign w:val="bottom"/>
          </w:tcPr>
          <w:p>
            <w:pPr>
              <w:ind w:left="600"/>
              <w:spacing w:after="0"/>
              <w:rPr>
                <w:sz w:val="20"/>
                <w:szCs w:val="20"/>
                <w:color w:val="auto"/>
              </w:rPr>
            </w:pPr>
            <w:r>
              <w:rPr>
                <w:rFonts w:ascii="Arial" w:cs="Arial" w:eastAsia="Arial" w:hAnsi="Arial"/>
                <w:sz w:val="18"/>
                <w:szCs w:val="18"/>
                <w:color w:val="auto"/>
              </w:rPr>
              <w:t>Celsion Corporation</w:t>
            </w:r>
          </w:p>
        </w:tc>
      </w:tr>
      <w:tr>
        <w:trPr>
          <w:trHeight w:val="216"/>
        </w:trPr>
        <w:tc>
          <w:tcPr>
            <w:tcW w:w="336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997 Lenox Drive, Suite 100</w:t>
            </w:r>
          </w:p>
        </w:tc>
      </w:tr>
      <w:tr>
        <w:trPr>
          <w:trHeight w:val="216"/>
        </w:trPr>
        <w:tc>
          <w:tcPr>
            <w:tcW w:w="336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Lawrenceville, NJ 08648</w:t>
            </w:r>
          </w:p>
        </w:tc>
      </w:tr>
      <w:tr>
        <w:trPr>
          <w:trHeight w:val="216"/>
        </w:trPr>
        <w:tc>
          <w:tcPr>
            <w:tcW w:w="336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Attn: Jeffrey W. Church</w:t>
            </w:r>
          </w:p>
        </w:tc>
      </w:tr>
      <w:tr>
        <w:trPr>
          <w:trHeight w:val="216"/>
        </w:trPr>
        <w:tc>
          <w:tcPr>
            <w:tcW w:w="336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Email: jchurch@celsion.com</w:t>
            </w:r>
          </w:p>
        </w:tc>
      </w:tr>
      <w:tr>
        <w:trPr>
          <w:trHeight w:val="230"/>
        </w:trPr>
        <w:tc>
          <w:tcPr>
            <w:tcW w:w="3360" w:type="dxa"/>
            <w:vAlign w:val="bottom"/>
          </w:tcPr>
          <w:p>
            <w:pPr>
              <w:spacing w:after="0"/>
              <w:rPr>
                <w:sz w:val="20"/>
                <w:szCs w:val="20"/>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Website URL: https://celsion.com/leadership-team/</w:t>
            </w:r>
          </w:p>
        </w:tc>
      </w:tr>
      <w:tr>
        <w:trPr>
          <w:trHeight w:val="418"/>
        </w:trPr>
        <w:tc>
          <w:tcPr>
            <w:tcW w:w="3360" w:type="dxa"/>
            <w:vAlign w:val="bottom"/>
          </w:tcPr>
          <w:p>
            <w:pPr>
              <w:ind w:left="1700"/>
              <w:spacing w:after="0"/>
              <w:rPr>
                <w:sz w:val="20"/>
                <w:szCs w:val="20"/>
                <w:color w:val="auto"/>
              </w:rPr>
            </w:pPr>
            <w:r>
              <w:rPr>
                <w:rFonts w:ascii="Arial" w:cs="Arial" w:eastAsia="Arial" w:hAnsi="Arial"/>
                <w:sz w:val="18"/>
                <w:szCs w:val="18"/>
                <w:color w:val="auto"/>
              </w:rPr>
              <w:t>If to Bank:</w:t>
            </w:r>
          </w:p>
        </w:tc>
        <w:tc>
          <w:tcPr>
            <w:tcW w:w="7880" w:type="dxa"/>
            <w:vAlign w:val="bottom"/>
          </w:tcPr>
          <w:p>
            <w:pPr>
              <w:ind w:left="600"/>
              <w:spacing w:after="0"/>
              <w:rPr>
                <w:sz w:val="20"/>
                <w:szCs w:val="20"/>
                <w:color w:val="auto"/>
              </w:rPr>
            </w:pPr>
            <w:r>
              <w:rPr>
                <w:rFonts w:ascii="Arial" w:cs="Arial" w:eastAsia="Arial" w:hAnsi="Arial"/>
                <w:sz w:val="18"/>
                <w:szCs w:val="18"/>
                <w:color w:val="auto"/>
              </w:rPr>
              <w:t>Silicon Valley Bank</w:t>
            </w:r>
          </w:p>
        </w:tc>
      </w:tr>
      <w:tr>
        <w:trPr>
          <w:trHeight w:val="216"/>
        </w:trPr>
        <w:tc>
          <w:tcPr>
            <w:tcW w:w="336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275 Grove Street, Suite 2-200</w:t>
            </w:r>
          </w:p>
        </w:tc>
      </w:tr>
      <w:tr>
        <w:trPr>
          <w:trHeight w:val="216"/>
        </w:trPr>
        <w:tc>
          <w:tcPr>
            <w:tcW w:w="336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Newton, MA 02466</w:t>
            </w:r>
          </w:p>
        </w:tc>
      </w:tr>
      <w:tr>
        <w:trPr>
          <w:trHeight w:val="216"/>
        </w:trPr>
        <w:tc>
          <w:tcPr>
            <w:tcW w:w="336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Attn: Ryan Gass</w:t>
            </w:r>
          </w:p>
        </w:tc>
      </w:tr>
      <w:tr>
        <w:trPr>
          <w:trHeight w:val="230"/>
        </w:trPr>
        <w:tc>
          <w:tcPr>
            <w:tcW w:w="3360" w:type="dxa"/>
            <w:vAlign w:val="bottom"/>
          </w:tcPr>
          <w:p>
            <w:pPr>
              <w:spacing w:after="0"/>
              <w:rPr>
                <w:sz w:val="20"/>
                <w:szCs w:val="20"/>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Email: rgass@svb.com</w:t>
            </w:r>
          </w:p>
        </w:tc>
      </w:tr>
      <w:tr>
        <w:trPr>
          <w:trHeight w:val="431"/>
        </w:trPr>
        <w:tc>
          <w:tcPr>
            <w:tcW w:w="3360" w:type="dxa"/>
            <w:vAlign w:val="bottom"/>
          </w:tcPr>
          <w:p>
            <w:pPr>
              <w:spacing w:after="0"/>
              <w:rPr>
                <w:sz w:val="24"/>
                <w:szCs w:val="24"/>
                <w:color w:val="auto"/>
              </w:rPr>
            </w:pPr>
          </w:p>
        </w:tc>
        <w:tc>
          <w:tcPr>
            <w:tcW w:w="7880" w:type="dxa"/>
            <w:vAlign w:val="bottom"/>
          </w:tcPr>
          <w:p>
            <w:pPr>
              <w:ind w:left="2180"/>
              <w:spacing w:after="0"/>
              <w:rPr>
                <w:sz w:val="20"/>
                <w:szCs w:val="20"/>
                <w:color w:val="auto"/>
              </w:rPr>
            </w:pPr>
            <w:r>
              <w:rPr>
                <w:rFonts w:ascii="Arial" w:cs="Arial" w:eastAsia="Arial" w:hAnsi="Arial"/>
                <w:sz w:val="18"/>
                <w:szCs w:val="18"/>
                <w:color w:val="auto"/>
              </w:rPr>
              <w:t>17</w:t>
            </w:r>
          </w:p>
        </w:tc>
      </w:tr>
      <w:tr>
        <w:trPr>
          <w:trHeight w:val="210"/>
        </w:trPr>
        <w:tc>
          <w:tcPr>
            <w:tcW w:w="336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tcPr>
          <w:p>
            <w:pPr>
              <w:ind w:left="1580"/>
              <w:spacing w:after="0" w:line="203" w:lineRule="exact"/>
              <w:rPr>
                <w:sz w:val="20"/>
                <w:szCs w:val="20"/>
                <w:color w:val="auto"/>
              </w:rPr>
            </w:pPr>
            <w:r>
              <w:rPr>
                <w:rFonts w:ascii="Arial" w:cs="Arial" w:eastAsia="Arial" w:hAnsi="Arial"/>
                <w:sz w:val="18"/>
                <w:szCs w:val="18"/>
                <w:color w:val="auto"/>
              </w:rPr>
              <w:t>SVB Confidential</w:t>
            </w:r>
          </w:p>
        </w:tc>
      </w:tr>
    </w:tbl>
    <w:p>
      <w:pPr>
        <w:sectPr>
          <w:pgSz w:w="11900" w:h="16838" w:orient="portrait"/>
          <w:cols w:equalWidth="0" w:num="1">
            <w:col w:w="11240"/>
          </w:cols>
          <w:pgMar w:left="320" w:top="688" w:right="339" w:bottom="1440" w:gutter="0" w:footer="0" w:header="0"/>
        </w:sectPr>
      </w:pPr>
    </w:p>
    <w:bookmarkStart w:id="67" w:name="page68"/>
    <w:bookmarkEnd w:id="67"/>
    <w:p>
      <w:pPr>
        <w:ind w:left="1700"/>
        <w:spacing w:after="0"/>
        <w:rPr>
          <w:sz w:val="20"/>
          <w:szCs w:val="20"/>
          <w:color w:val="auto"/>
        </w:rPr>
      </w:pPr>
      <w:r>
        <w:rPr>
          <w:rFonts w:ascii="Arial" w:cs="Arial" w:eastAsia="Arial" w:hAnsi="Arial"/>
          <w:sz w:val="18"/>
          <w:szCs w:val="18"/>
          <w:color w:val="auto"/>
        </w:rPr>
        <w:t>with a copy to (which shall not</w:t>
      </w:r>
    </w:p>
    <w:p>
      <w:pPr>
        <w:spacing w:after="0" w:line="23"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18"/>
          <w:szCs w:val="18"/>
          <w:color w:val="auto"/>
        </w:rPr>
        <w:t>constitute notice):</w:t>
      </w:r>
      <w:r>
        <w:rPr>
          <w:sz w:val="20"/>
          <w:szCs w:val="20"/>
          <w:color w:val="auto"/>
        </w:rPr>
        <w:tab/>
      </w:r>
      <w:r>
        <w:rPr>
          <w:rFonts w:ascii="Arial" w:cs="Arial" w:eastAsia="Arial" w:hAnsi="Arial"/>
          <w:sz w:val="16"/>
          <w:szCs w:val="16"/>
          <w:color w:val="auto"/>
        </w:rPr>
        <w:t>Morrison &amp; Foerster LLP</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200 Clarendon Street, Floor 20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Attn: David A. Ephraim, Esquire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Email: DEphraim@mofo.com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b w:val="1"/>
          <w:bCs w:val="1"/>
          <w:u w:val="single" w:color="auto"/>
          <w:color w:val="auto"/>
        </w:rPr>
        <w:t>CHOICE OF LAW, VENUE AND JURY TRIAL WAIVER; JUDICIAL REFERENCE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Except as otherwise expressly provided in any of the Loan Documents, New York law governs the Loan Documents without regard to principles of conflicts of law that would require the application of the laws of another jurisdiction. Borrower and Bank each irrevocably and unconditionally submit to the exclusive jurisdiction of the State and Federal courts in New York, New York;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 Agreement and that service so made shall be deemed completed upon the earlier to occur of Borrower’s actual receipt thereof or 3 days after deposit in the U.S. mails, proper postage prepaid.</w:t>
      </w:r>
    </w:p>
    <w:p>
      <w:pPr>
        <w:spacing w:after="0" w:line="1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10 shall survive the termination of this Agreement and the repayment of all Obligations.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11.1 Termination Prior to Maturity Date; Survival. </w:t>
      </w:r>
      <w:r>
        <w:rPr>
          <w:rFonts w:ascii="Arial" w:cs="Arial" w:eastAsia="Arial" w:hAnsi="Arial"/>
          <w:sz w:val="18"/>
          <w:szCs w:val="18"/>
          <w:color w:val="auto"/>
        </w:rPr>
        <w:t>All covenants, representations, and warranties made in this Agreement shall continue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this Agreement may be terminated prior to the Term Loan Maturity Date by Borrower, effective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11.2 Successors and Assigns. </w:t>
      </w:r>
      <w:r>
        <w:rPr>
          <w:rFonts w:ascii="Arial" w:cs="Arial" w:eastAsia="Arial" w:hAnsi="Arial"/>
          <w:sz w:val="17"/>
          <w:szCs w:val="17"/>
          <w:color w:val="auto"/>
        </w:rPr>
        <w:t>This Agreement binds and is for the benefit of the successors and permitted assigns of each party. Borrower may</w:t>
      </w:r>
      <w:r>
        <w:rPr>
          <w:rFonts w:ascii="Arial" w:cs="Arial" w:eastAsia="Arial" w:hAnsi="Arial"/>
          <w:sz w:val="17"/>
          <w:szCs w:val="17"/>
          <w:b w:val="1"/>
          <w:bCs w:val="1"/>
          <w:color w:val="auto"/>
        </w:rPr>
        <w:t xml:space="preserve"> </w:t>
      </w:r>
      <w:r>
        <w:rPr>
          <w:rFonts w:ascii="Arial" w:cs="Arial" w:eastAsia="Arial" w:hAnsi="Arial"/>
          <w:sz w:val="17"/>
          <w:szCs w:val="17"/>
          <w:color w:val="auto"/>
        </w:rPr>
        <w:t>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Unless an Event of Default has occurred and is continuing, Bank shall only assign any interest in the Loan Documents to any Eligible Assignee. For purposes hereof, an “Eligible Assignee” is (a) any bank organized under the Federal Reserve System, or (b) any commercial bank, insurance company, investment or mutual fund or other entity that is an “accredited investor” (as defined in Regulation D under the Securities Act) and which extends credit or buys loans as one of its businesses and (i) has at least $500,000,000 of Tier 1 Capital and a Credit Rating of at least A1/P1 or equivalent or single A or equivalent, (ii) is not a vulture fund or distressed debt fund as reasonably determined by Bank, and (iii) is not a competitor of Borrower as reasonably determined by Borrower; provided that neither the Borrower nor any Subsidiary of the Borrower shall be an Eligible Assignee.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b w:val="1"/>
          <w:bCs w:val="1"/>
          <w:color w:val="auto"/>
        </w:rPr>
        <w:t>11.3 Indemnification.</w:t>
      </w:r>
    </w:p>
    <w:p>
      <w:pPr>
        <w:spacing w:after="0" w:line="229" w:lineRule="exact"/>
        <w:rPr>
          <w:sz w:val="20"/>
          <w:szCs w:val="20"/>
          <w:color w:val="auto"/>
        </w:rPr>
      </w:pPr>
    </w:p>
    <w:p>
      <w:pPr>
        <w:jc w:val="both"/>
        <w:ind w:firstLine="1304"/>
        <w:spacing w:after="0" w:line="286" w:lineRule="auto"/>
        <w:tabs>
          <w:tab w:leader="none" w:pos="155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General Indemnification</w:t>
      </w:r>
      <w:r>
        <w:rPr>
          <w:rFonts w:ascii="Arial" w:cs="Arial" w:eastAsia="Arial" w:hAnsi="Arial"/>
          <w:sz w:val="16"/>
          <w:szCs w:val="16"/>
          <w:color w:val="auto"/>
        </w:rPr>
        <w:t>. Borrower shall indemnify, defend, and hold Bank and its Affiliates and the partners, directors, officers, employees, agents, trustees, administrators, managers, advisors, and representatives of Bank and its Affiliates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all losses, claims, damages, liabilities, and related expenses (including Bank Expenses and the reasonable fees, charges, and disbursements of any counsel for any Indemnified Person)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spacing w:after="0" w:line="173" w:lineRule="exact"/>
        <w:rPr>
          <w:rFonts w:ascii="Arial" w:cs="Arial" w:eastAsia="Arial" w:hAnsi="Arial"/>
          <w:sz w:val="16"/>
          <w:szCs w:val="16"/>
          <w:color w:val="auto"/>
        </w:rPr>
      </w:pPr>
    </w:p>
    <w:p>
      <w:pPr>
        <w:jc w:val="both"/>
        <w:ind w:firstLine="1304"/>
        <w:spacing w:after="0" w:line="254" w:lineRule="auto"/>
        <w:tabs>
          <w:tab w:leader="none" w:pos="156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11.4 Time of Essence. </w:t>
      </w:r>
      <w:r>
        <w:rPr>
          <w:rFonts w:ascii="Arial" w:cs="Arial" w:eastAsia="Arial" w:hAnsi="Arial"/>
          <w:sz w:val="18"/>
          <w:szCs w:val="18"/>
          <w:color w:val="auto"/>
        </w:rPr>
        <w:t>Time is of the essence for the performance of all Obligations in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11.5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11.6 Amendments in Writing; Waiver; Integration. </w:t>
      </w:r>
      <w:r>
        <w:rPr>
          <w:rFonts w:ascii="Arial" w:cs="Arial" w:eastAsia="Arial" w:hAnsi="Arial"/>
          <w:sz w:val="16"/>
          <w:szCs w:val="16"/>
          <w:color w:val="auto"/>
        </w:rPr>
        <w:t>No purported amendment or modification of any Loan Document, or waiver, discharge,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any obligation under any Loan 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11.7 Counterparts. </w:t>
      </w:r>
      <w:r>
        <w:rPr>
          <w:rFonts w:ascii="Arial" w:cs="Arial" w:eastAsia="Arial" w:hAnsi="Arial"/>
          <w:sz w:val="17"/>
          <w:szCs w:val="17"/>
          <w:color w:val="auto"/>
        </w:rPr>
        <w:t>This Agreement may be executed in any number of counterparts and by different parties on separate counterparts,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when executed and delivered, is an original, and all taken together, constitute one Agreement. Delivery of an executed signature page of this Agreement by electronic mail transmission shall be effective as delivery of a manually executed counterpart hereof.</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11.8 Confidentiality. </w:t>
      </w:r>
      <w:r>
        <w:rPr>
          <w:rFonts w:ascii="Arial" w:cs="Arial" w:eastAsia="Arial" w:hAnsi="Arial"/>
          <w:sz w:val="17"/>
          <w:szCs w:val="17"/>
          <w:color w:val="auto"/>
        </w:rPr>
        <w:t>Bank agrees to maintain the confidentiality of Information (as defined below), except that Information may be disclosed (a)</w:t>
      </w:r>
      <w:r>
        <w:rPr>
          <w:rFonts w:ascii="Arial" w:cs="Arial" w:eastAsia="Arial" w:hAnsi="Arial"/>
          <w:sz w:val="17"/>
          <w:szCs w:val="17"/>
          <w:b w:val="1"/>
          <w:bCs w:val="1"/>
          <w:color w:val="auto"/>
        </w:rPr>
        <w:t xml:space="preserve"> </w:t>
      </w:r>
      <w:r>
        <w:rPr>
          <w:rFonts w:ascii="Arial" w:cs="Arial" w:eastAsia="Arial" w:hAnsi="Arial"/>
          <w:sz w:val="17"/>
          <w:szCs w:val="17"/>
          <w:color w:val="auto"/>
        </w:rPr>
        <w:t>to Bank’s Subsidiaries and Affiliates and their respective employees, directors, agents, attorneys, accountants, and other professional advisors (collectively, “</w:t>
      </w:r>
      <w:r>
        <w:rPr>
          <w:rFonts w:ascii="Arial" w:cs="Arial" w:eastAsia="Arial" w:hAnsi="Arial"/>
          <w:sz w:val="17"/>
          <w:szCs w:val="17"/>
          <w:b w:val="1"/>
          <w:bCs w:val="1"/>
          <w:color w:val="auto"/>
        </w:rPr>
        <w:t>Representatives</w:t>
      </w:r>
      <w:r>
        <w:rPr>
          <w:rFonts w:ascii="Arial" w:cs="Arial" w:eastAsia="Arial" w:hAnsi="Arial"/>
          <w:sz w:val="17"/>
          <w:szCs w:val="17"/>
          <w:color w:val="auto"/>
        </w:rPr>
        <w:t>” and,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assignees, credit providers, or purchasers of Bank’s interests under or in connection with this Agreement and their Representatives (provided, however, Bank shall use commercially reasonable efforts to obtain any such prospective transferee’s, assignee’s, credit provider’s, purchaser’s, or their Representatives’ agreement to the terms of this provision);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Arial" w:cs="Arial" w:eastAsia="Arial" w:hAnsi="Arial"/>
          <w:sz w:val="17"/>
          <w:szCs w:val="17"/>
          <w:b w:val="1"/>
          <w:bCs w:val="1"/>
          <w:color w:val="auto"/>
        </w:rPr>
        <w:t>Information</w:t>
      </w:r>
      <w:r>
        <w:rPr>
          <w:rFonts w:ascii="Arial" w:cs="Arial" w:eastAsia="Arial" w:hAnsi="Arial"/>
          <w:sz w:val="17"/>
          <w:szCs w:val="17"/>
          <w:color w:val="auto"/>
        </w:rPr>
        <w:t>” means all information received from Borrower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11.9 Electronic Execution of Documents. </w:t>
      </w:r>
      <w:r>
        <w:rPr>
          <w:rFonts w:ascii="Arial" w:cs="Arial" w:eastAsia="Arial" w:hAnsi="Arial"/>
          <w:sz w:val="16"/>
          <w:szCs w:val="16"/>
          <w:color w:val="auto"/>
        </w:rPr>
        <w:t>The words “execution,” “signed,” “signature,” and words of like import in any Loan Document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include electronic signatures, including any Electronic Signature as defined in the Electronic Transactions Law (2003 Revision) of the Cayman Islands (the “</w:t>
      </w:r>
      <w:r>
        <w:rPr>
          <w:rFonts w:ascii="Arial" w:cs="Arial" w:eastAsia="Arial" w:hAnsi="Arial"/>
          <w:sz w:val="16"/>
          <w:szCs w:val="16"/>
          <w:b w:val="1"/>
          <w:bCs w:val="1"/>
          <w:color w:val="auto"/>
        </w:rPr>
        <w:t>Cayman Islands Electronic Signature Law</w:t>
      </w:r>
      <w:r>
        <w:rPr>
          <w:rFonts w:ascii="Arial" w:cs="Arial" w:eastAsia="Arial" w:hAnsi="Arial"/>
          <w:sz w:val="16"/>
          <w:szCs w:val="16"/>
          <w:color w:val="auto"/>
        </w:rPr>
        <w:t>”), if applicable,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 provided, however that sections 8 and 19(3) of the Cayman Islands Electronic Signature Law shall not apply to this Agreement or the execution or delivery thereof.</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11.10 Right of Setoff. </w:t>
      </w:r>
      <w:r>
        <w:rPr>
          <w:rFonts w:ascii="Arial" w:cs="Arial" w:eastAsia="Arial" w:hAnsi="Arial"/>
          <w:sz w:val="16"/>
          <w:szCs w:val="16"/>
          <w:color w:val="auto"/>
        </w:rPr>
        <w:t>Borrower hereby grants to Bank a Lien and a right of setoff as security for all Obligations to Bank, whether now existing or</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 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5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11.11 Captions and Section References. </w:t>
      </w:r>
      <w:r>
        <w:rPr>
          <w:rFonts w:ascii="Arial" w:cs="Arial" w:eastAsia="Arial" w:hAnsi="Arial"/>
          <w:sz w:val="18"/>
          <w:szCs w:val="18"/>
          <w:color w:val="auto"/>
        </w:rPr>
        <w:t>The headings used in this Agreement are for convenience only and shall not affect the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Unless indicated otherwise, section references herein are to sections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11.12 Construction of Agreement. </w:t>
      </w:r>
      <w:r>
        <w:rPr>
          <w:rFonts w:ascii="Arial" w:cs="Arial" w:eastAsia="Arial" w:hAnsi="Arial"/>
          <w:sz w:val="18"/>
          <w:szCs w:val="18"/>
          <w:color w:val="auto"/>
        </w:rPr>
        <w:t>The parties hereto mutually acknowledge that they and their attorneys have participated in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11.13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11.14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11.15 Anti-Terrorism Law. </w:t>
      </w:r>
      <w:r>
        <w:rPr>
          <w:rFonts w:ascii="Arial" w:cs="Arial" w:eastAsia="Arial" w:hAnsi="Arial"/>
          <w:sz w:val="18"/>
          <w:szCs w:val="18"/>
          <w:color w:val="auto"/>
        </w:rPr>
        <w:t>Bank hereby notifies Borrower that, pursuant to the requirements of Anti-Terrorism Law, Bank may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ACCOUNTING TERMS AND OTHER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12.1 Accounting and Other Terms.</w:t>
      </w:r>
    </w:p>
    <w:p>
      <w:pPr>
        <w:spacing w:after="0" w:line="229" w:lineRule="exact"/>
        <w:rPr>
          <w:sz w:val="20"/>
          <w:szCs w:val="20"/>
          <w:color w:val="auto"/>
        </w:rPr>
      </w:pPr>
    </w:p>
    <w:p>
      <w:pPr>
        <w:jc w:val="both"/>
        <w:ind w:firstLine="1304"/>
        <w:spacing w:after="0" w:line="254"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91" w:lineRule="exact"/>
        <w:rPr>
          <w:rFonts w:ascii="Arial" w:cs="Arial" w:eastAsia="Arial" w:hAnsi="Arial"/>
          <w:sz w:val="18"/>
          <w:szCs w:val="18"/>
          <w:color w:val="auto"/>
        </w:rPr>
      </w:pPr>
    </w:p>
    <w:p>
      <w:pPr>
        <w:jc w:val="both"/>
        <w:ind w:firstLine="1304"/>
        <w:spacing w:after="0" w:line="296" w:lineRule="auto"/>
        <w:tabs>
          <w:tab w:leader="none" w:pos="1554"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5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12.2 Definitions. </w:t>
      </w:r>
      <w:r>
        <w:rPr>
          <w:rFonts w:ascii="Arial" w:cs="Arial" w:eastAsia="Arial" w:hAnsi="Arial"/>
          <w:sz w:val="18"/>
          <w:szCs w:val="18"/>
          <w:color w:val="auto"/>
        </w:rPr>
        <w:t>Capitalized terms not otherwise defined in this Agreement shall have the meanings set forth in this Section 12.2. All other terms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Agreement, unless otherwise indicated, shall have the meaning provided by the Code to the extent such terms are defined therein. As used in this Agreement, the following capitalized terms have the following meanings: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Law</w:t>
      </w:r>
      <w:r>
        <w:rPr>
          <w:rFonts w:ascii="Arial" w:cs="Arial" w:eastAsia="Arial" w:hAnsi="Arial"/>
          <w:sz w:val="16"/>
          <w:szCs w:val="16"/>
          <w:color w:val="auto"/>
        </w:rPr>
        <w:t>” means any law relating to terrorism or money laundering, including Executive Order No. 13224 and the USA Patriot Act.</w:t>
      </w:r>
    </w:p>
    <w:p>
      <w:pPr>
        <w:spacing w:after="0" w:line="2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means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11.8.</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 or equivalent governing body.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set forth on Schedule I hereto.</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 day other than a Saturday, Sunday, or other day on which commercial banks in the State of California are authorized or required by law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5.7(a) hereof.</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95.0% of the assets of which constitute Cash Equivalents of the kinds described in clauses (a) through (c) of this definition.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Pledge Agreement</w:t>
      </w:r>
      <w:r>
        <w:rPr>
          <w:rFonts w:ascii="Arial" w:cs="Arial" w:eastAsia="Arial" w:hAnsi="Arial"/>
          <w:sz w:val="18"/>
          <w:szCs w:val="18"/>
          <w:color w:val="auto"/>
        </w:rPr>
        <w:t>” is that certain Cash Pledge Agreement dated as of the Effective Date executed by Borrower in favor of Bank, as amended, modified, supplemented and/or restated from time to time.</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Cayman Islands Electronic Signature Law</w:t>
      </w:r>
      <w:r>
        <w:rPr>
          <w:rFonts w:ascii="Arial" w:cs="Arial" w:eastAsia="Arial" w:hAnsi="Arial"/>
          <w:sz w:val="17"/>
          <w:szCs w:val="17"/>
          <w:color w:val="auto"/>
        </w:rPr>
        <w:t>” is defined in Section 11.9. “</w:t>
      </w:r>
      <w:r>
        <w:rPr>
          <w:rFonts w:ascii="Arial" w:cs="Arial" w:eastAsia="Arial" w:hAnsi="Arial"/>
          <w:sz w:val="17"/>
          <w:szCs w:val="17"/>
          <w:b w:val="1"/>
          <w:bCs w:val="1"/>
          <w:color w:val="auto"/>
        </w:rPr>
        <w:t>Change in Control</w:t>
      </w:r>
      <w:r>
        <w:rPr>
          <w:rFonts w:ascii="Arial" w:cs="Arial" w:eastAsia="Arial" w:hAnsi="Arial"/>
          <w:sz w:val="17"/>
          <w:szCs w:val="17"/>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35.0%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7 Business Days prior to the closing of the transaction and provides to Bank a description of the material terms of the transaction; (b) during any period of 12 consecutive months, a majority of the members of the Board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100.0% of each class of outstanding stock, partnership, membership, or other ownership interest or other equity securities of each Subsidiary of Borrower free and clear of all Liens (except Permitted Liens).</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11.3.</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consists of all of Borrower’s right, title, and interest in that certain money market account (Cash Collateral Account) – Account No. xxxxxxx504 (last three digits of account only) maintained by Borrower at Bank, and all cash, Cash Equivalents and other deposits and proceeds from time to time contained therein.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Statement</w:t>
      </w:r>
      <w:r>
        <w:rPr>
          <w:rFonts w:ascii="Arial" w:cs="Arial" w:eastAsia="Arial" w:hAnsi="Arial"/>
          <w:sz w:val="18"/>
          <w:szCs w:val="18"/>
          <w:color w:val="auto"/>
        </w:rPr>
        <w:t>” is that certain statement in the form attached hereto as Exhibit 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Advance, or any other extension of credit by Bank for Borrower’s benefit.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Currency</w:t>
      </w:r>
      <w:r>
        <w:rPr>
          <w:rFonts w:ascii="Arial" w:cs="Arial" w:eastAsia="Arial" w:hAnsi="Arial"/>
          <w:sz w:val="16"/>
          <w:szCs w:val="16"/>
          <w:color w:val="auto"/>
        </w:rPr>
        <w:t>” is coined money and such other banknotes or other paper money as are authorized by law and circulate as a medium of exchange.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with notice or passage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1.2(c).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w:t>
      </w:r>
      <w:r>
        <w:rPr>
          <w:rFonts w:ascii="Arial" w:cs="Arial" w:eastAsia="Arial" w:hAnsi="Arial"/>
          <w:sz w:val="18"/>
          <w:szCs w:val="18"/>
          <w:b w:val="1"/>
          <w:bCs w:val="1"/>
          <w:color w:val="auto"/>
        </w:rPr>
        <w:t>deposit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is the deposit account established by Borrower with Bank for purposes of receiving Credit Extensions.</w:t>
      </w:r>
    </w:p>
    <w:p>
      <w:pPr>
        <w:spacing w:after="0" w:line="23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Division</w:t>
      </w:r>
      <w:r>
        <w:rPr>
          <w:rFonts w:ascii="Arial" w:cs="Arial" w:eastAsia="Arial" w:hAnsi="Arial"/>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w:t>
      </w:r>
      <w:r>
        <w:rPr>
          <w:rFonts w:ascii="Arial" w:cs="Arial" w:eastAsia="Arial" w:hAnsi="Arial"/>
          <w:sz w:val="16"/>
          <w:szCs w:val="16"/>
          <w:b w:val="1"/>
          <w:bCs w:val="1"/>
          <w:color w:val="auto"/>
        </w:rPr>
        <w:t>dollars,</w:t>
      </w:r>
      <w:r>
        <w:rPr>
          <w:rFonts w:ascii="Arial" w:cs="Arial" w:eastAsia="Arial" w:hAnsi="Arial"/>
          <w:sz w:val="16"/>
          <w:szCs w:val="16"/>
          <w:color w:val="auto"/>
        </w:rPr>
        <w:t>” or use of the sign “$” means only lawful money of the United States and not any other currency, regardless of whether that currency uses the “$” sign to denote its currency or may be readily converted into lawful money of the United States. “</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w:t>
      </w:r>
    </w:p>
    <w:p>
      <w:pPr>
        <w:spacing w:after="0" w:line="1" w:lineRule="exact"/>
        <w:rPr>
          <w:sz w:val="20"/>
          <w:szCs w:val="20"/>
          <w:color w:val="auto"/>
        </w:rPr>
      </w:pPr>
    </w:p>
    <w:p>
      <w:pPr>
        <w:jc w:val="both"/>
        <w:ind w:firstLine="8"/>
        <w:spacing w:after="0" w:line="255"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is defined in Section 11.2.</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 (d) any withholding Taxes imposed under FATCA.</w:t>
      </w:r>
    </w:p>
    <w:p>
      <w:pPr>
        <w:spacing w:after="0" w:line="15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Term Loan Maturity Date, (b) the repayment of the Term Loan Advances in full, (c) as required pursuant to Sections 1.1(c) or 1.1(d), or (d) the termination of this Agreement, in the amount of $300,000.00.</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 Repository</w:t>
      </w:r>
      <w:r>
        <w:rPr>
          <w:rFonts w:ascii="Arial" w:cs="Arial" w:eastAsia="Arial" w:hAnsi="Arial"/>
          <w:sz w:val="18"/>
          <w:szCs w:val="18"/>
          <w:color w:val="auto"/>
        </w:rPr>
        <w:t>” is Bank’s email address specified in Section 9 or such other means of collecting information approved and designated by Bank after providing notice thereof to Borrower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is the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Horizon Finance</w:t>
      </w:r>
      <w:r>
        <w:rPr>
          <w:rFonts w:ascii="Arial" w:cs="Arial" w:eastAsia="Arial" w:hAnsi="Arial"/>
          <w:sz w:val="18"/>
          <w:szCs w:val="18"/>
          <w:color w:val="auto"/>
        </w:rPr>
        <w:t>” is collectively, (i) Horizon Technology Finance Corporation, (ii) Horizon Funding I, LLC, and (iii) Horizon Funding Trust 2019-1, each of (ii) and (iii) is an assignee of (i).</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Horizon Obligations</w:t>
      </w:r>
      <w:r>
        <w:rPr>
          <w:rFonts w:ascii="Arial" w:cs="Arial" w:eastAsia="Arial" w:hAnsi="Arial"/>
          <w:sz w:val="18"/>
          <w:szCs w:val="18"/>
          <w:color w:val="auto"/>
        </w:rPr>
        <w:t>” is set forth on Schedule I hereto.</w:t>
      </w:r>
    </w:p>
    <w:p>
      <w:pPr>
        <w:spacing w:after="0" w:line="225"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Contingent Obligations, and (e) other short- and long-term obligations under debt agreements, lines of credit, and extensions of credit.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11.3.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is defined in Section 11.8.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Advance</w:t>
      </w:r>
      <w:r>
        <w:rPr>
          <w:rFonts w:ascii="Arial" w:cs="Arial" w:eastAsia="Arial" w:hAnsi="Arial"/>
          <w:sz w:val="18"/>
          <w:szCs w:val="18"/>
          <w:color w:val="auto"/>
        </w:rPr>
        <w:t>” is set forth on Schedule I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1540" w:hanging="236"/>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Copyrights, Trademarks, and Patents;</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operating manuals;</w:t>
      </w:r>
    </w:p>
    <w:p>
      <w:pPr>
        <w:spacing w:after="0" w:line="210" w:lineRule="exact"/>
        <w:rPr>
          <w:rFonts w:ascii="Arial" w:cs="Arial" w:eastAsia="Arial" w:hAnsi="Arial"/>
          <w:sz w:val="16"/>
          <w:szCs w:val="16"/>
          <w:color w:val="auto"/>
        </w:rPr>
      </w:pPr>
    </w:p>
    <w:p>
      <w:pPr>
        <w:ind w:left="1540" w:hanging="236"/>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ind w:firstLine="1304"/>
        <w:spacing w:after="0" w:line="277" w:lineRule="auto"/>
        <w:tabs>
          <w:tab w:leader="none" w:pos="15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U.S. Internal Revenue Code of 1986, and the rules and regulations promulgated thereunder, each as amended or modified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membership, or other ownership interest or other equity securities), and any loan, advance, or capital contribution to any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President and Chief Executive Officer, who is Michael H. Tardugno, (ii) Executive Vice President and Chief Scientific Officer, who is Kursheed Anwer, (iii) Executive Vice President and Chief Medical Officer, who is Nicholas Borys, and (iv) Executive Vice President, Chief Financial Officer and Corporate Secretary, who is Jeffrey W. Church.</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Perfection Certificate, Control Agreements, the Cash Pledge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all as amended, restated, or otherwise modified in accordance with the terms thereof.</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Threshold Amount</w:t>
      </w:r>
      <w:r>
        <w:rPr>
          <w:rFonts w:ascii="Arial" w:cs="Arial" w:eastAsia="Arial" w:hAnsi="Arial"/>
          <w:sz w:val="18"/>
          <w:szCs w:val="18"/>
          <w:color w:val="auto"/>
        </w:rPr>
        <w:t>” defined in Section 5.7(a) hereof.</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Bank Expenses, the Prepayment Fee, the Final Payment, and other amounts Borrower owes Bank now or later, whether under this Agreement, the other Loan Documents, or otherwise, including, without limitation, interest accruing after Insolvency Proceedings begin and debts, liabilities, or obligations of Borrower assigned to Bank, and to perform Borrower’s duties under the Loan Documents.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Office of Foreign Assets Control of the United States Department of the Treasury and any successor thereto.</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is that certain form in the form attached hereto as Exhibit 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the Perfection Certificate delivered by Borrower in connection with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540" w:hanging="236"/>
        <w:spacing w:after="0"/>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Subordinated Debt;</w:t>
      </w:r>
    </w:p>
    <w:p>
      <w:pPr>
        <w:sectPr>
          <w:pgSz w:w="11900" w:h="16838" w:orient="portrait"/>
          <w:cols w:equalWidth="0" w:num="1">
            <w:col w:w="11240"/>
          </w:cols>
          <w:pgMar w:left="320" w:top="692" w:right="339" w:bottom="0" w:gutter="0" w:footer="0" w:header="0"/>
        </w:sectPr>
      </w:pPr>
    </w:p>
    <w:bookmarkStart w:id="77" w:name="page78"/>
    <w:bookmarkEnd w:id="77"/>
    <w:p>
      <w:pPr>
        <w:ind w:left="1560" w:hanging="256"/>
        <w:spacing w:after="0"/>
        <w:tabs>
          <w:tab w:leader="none" w:pos="1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 and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Investments (including, without limitation, Subsidiaries) existing on the Effective Date which are shown on the Perfection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right="6500" w:firstLine="644"/>
        <w:spacing w:after="0" w:line="500" w:lineRule="auto"/>
        <w:tabs>
          <w:tab w:leader="none" w:pos="15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Investments consisting of Cash Equivalents. “</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Liens existing on the Effective Date which are shown on the Perfection Certificate or arising under this Agreement or the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both"/>
        <w:ind w:firstLine="1304"/>
        <w:spacing w:after="0" w:line="263" w:lineRule="auto"/>
        <w:tabs>
          <w:tab w:leader="none" w:pos="15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purchase money Liens (i) on Equipment acquired or held by Borrower incurred for financing the acquisition of the Equipment, securing no more than $150,000.00 in the aggregate amount outstanding, or (ii) existing on Equipment when acquired, if the Lien is confined to the property and improvements and the proceeds of the Equipment; and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shall be an additional fee, payable to Bank, with respect to the Term Loan Advances, in an amount equal to:</w:t>
      </w:r>
    </w:p>
    <w:p>
      <w:pPr>
        <w:spacing w:after="0" w:line="229" w:lineRule="exact"/>
        <w:rPr>
          <w:sz w:val="20"/>
          <w:szCs w:val="20"/>
          <w:color w:val="auto"/>
        </w:rPr>
      </w:pPr>
    </w:p>
    <w:p>
      <w:pPr>
        <w:ind w:firstLine="65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 prepayment of the Term Loan Advances made on or prior to the first (1st) anniversary of the Effective Date, three percent (3.0%) of the then outstanding principal amount of the Term Loan Advances immediately prior to the date of such prepayment;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first (1st) anniversary of the Effective Date, but on or prior to the second (2nd) anniversary of the Effective Date, two percent (2.0%) of the then outstanding principal amount of the Term Loan Advances immediately prior to the date of such prepayment;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second (2nd) anniversary of the Effective Date, but on or prior to the Third anniversary of the Effective Date, one percent (1.0%) of the then outstanding principal amount of the Term Loan Advances immediately prior to the date of such prepayment; and</w:t>
      </w:r>
    </w:p>
    <w:p>
      <w:pPr>
        <w:spacing w:after="0" w:line="183" w:lineRule="exact"/>
        <w:rPr>
          <w:rFonts w:ascii="Arial" w:cs="Arial" w:eastAsia="Arial" w:hAnsi="Arial"/>
          <w:sz w:val="18"/>
          <w:szCs w:val="18"/>
          <w:color w:val="auto"/>
        </w:rPr>
      </w:pPr>
    </w:p>
    <w:p>
      <w:pPr>
        <w:ind w:firstLine="656"/>
        <w:spacing w:after="0" w:line="277" w:lineRule="auto"/>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third (3rd) anniversary of the Effective Date, zero percent (0.0%) of the then outstanding principal amount of the Term Loan Advances immediately prior to the date of such prepayment.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Notwithstanding the foregoing, provided no Event of Default has occurred and is continuing, the Prepayment Fee shall be waived by Bank if Bank closes on the refinance and redocumentation of the Term Loan Advances (in its sole and absolute discretion) prior to the Term Loan Maturity Date.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is defined in Section 11.8.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Sanctioned Person</w:t>
      </w:r>
      <w:r>
        <w:rPr>
          <w:rFonts w:ascii="Arial" w:cs="Arial" w:eastAsia="Arial" w:hAnsi="Arial"/>
          <w:sz w:val="17"/>
          <w:szCs w:val="17"/>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50.0% or more owned or controlled by 1 or more Persons described in clauses (a) and (b)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is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Affiliate</w:t>
      </w:r>
      <w:r>
        <w:rPr>
          <w:rFonts w:ascii="Arial" w:cs="Arial" w:eastAsia="Arial" w:hAnsi="Arial"/>
          <w:sz w:val="18"/>
          <w:szCs w:val="18"/>
          <w:color w:val="auto"/>
        </w:rPr>
        <w:t>” is any Person (a) more than 10.0% of whose aggregate issued and outstanding equity or ownership securities or interests, voting, non-voting or both, are owned or held directly or indirectly, beneficially or of record, by Borrower, and/or (b) whose equity or ownership securities or interests representing more than 10.0% of such Person’s total outstanding combined voting power are owned or held directly or indirectly, beneficially or of record, by Borrower.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8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1.1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Availability Amount</w:t>
      </w:r>
      <w:r>
        <w:rPr>
          <w:rFonts w:ascii="Arial" w:cs="Arial" w:eastAsia="Arial" w:hAnsi="Arial"/>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set forth on Schedule I hereto.</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6.1.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(Public Law 107-56, signed into law on October 26, 2001), as amended from time to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Effective Date.</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jc w:val="right"/>
        <w:spacing w:after="0"/>
        <w:tabs>
          <w:tab w:leader="none" w:pos="4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 Officer and Corporate</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BANK:</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SILICON VALLEY BANK</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Loan and Security Agreement</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980" w:top="688" w:right="7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SCHEDULE I</w:t>
            </w:r>
          </w:p>
        </w:tc>
        <w:tc>
          <w:tcPr>
            <w:tcW w:w="5060" w:type="dxa"/>
            <w:vAlign w:val="bottom"/>
            <w:gridSpan w:val="3"/>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6"/>
          </w:tcPr>
          <w:p>
            <w:pPr>
              <w:jc w:val="center"/>
              <w:ind w:right="4770"/>
              <w:spacing w:after="0" w:line="196" w:lineRule="exact"/>
              <w:rPr>
                <w:sz w:val="20"/>
                <w:szCs w:val="20"/>
                <w:color w:val="auto"/>
              </w:rPr>
            </w:pPr>
            <w:r>
              <w:rPr>
                <w:rFonts w:ascii="Arial" w:cs="Arial" w:eastAsia="Arial" w:hAnsi="Arial"/>
                <w:sz w:val="18"/>
                <w:szCs w:val="18"/>
                <w:b w:val="1"/>
                <w:bCs w:val="1"/>
                <w:color w:val="auto"/>
                <w:w w:val="99"/>
              </w:rPr>
              <w:t>LSA PROVISIONS</w:t>
            </w:r>
          </w:p>
        </w:tc>
      </w:tr>
      <w:tr>
        <w:trPr>
          <w:trHeight w:val="459"/>
        </w:trPr>
        <w:tc>
          <w:tcPr>
            <w:tcW w:w="3940" w:type="dxa"/>
            <w:vAlign w:val="bottom"/>
            <w:gridSpan w:val="2"/>
          </w:tcPr>
          <w:p>
            <w:pPr>
              <w:ind w:left="1380"/>
              <w:spacing w:after="0"/>
              <w:rPr>
                <w:sz w:val="20"/>
                <w:szCs w:val="20"/>
                <w:color w:val="auto"/>
              </w:rPr>
            </w:pPr>
            <w:r>
              <w:rPr>
                <w:rFonts w:ascii="Arial" w:cs="Arial" w:eastAsia="Arial" w:hAnsi="Arial"/>
                <w:sz w:val="18"/>
                <w:szCs w:val="18"/>
                <w:b w:val="1"/>
                <w:bCs w:val="1"/>
                <w:color w:val="auto"/>
              </w:rPr>
              <w:t>LSA Section</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tcPr>
          <w:p>
            <w:pPr>
              <w:ind w:left="500"/>
              <w:spacing w:after="0"/>
              <w:rPr>
                <w:sz w:val="20"/>
                <w:szCs w:val="20"/>
                <w:color w:val="auto"/>
              </w:rPr>
            </w:pPr>
            <w:r>
              <w:rPr>
                <w:rFonts w:ascii="Arial" w:cs="Arial" w:eastAsia="Arial" w:hAnsi="Arial"/>
                <w:sz w:val="18"/>
                <w:szCs w:val="18"/>
                <w:b w:val="1"/>
                <w:bCs w:val="1"/>
                <w:color w:val="auto"/>
              </w:rPr>
              <w:t>LSA Provision</w:t>
            </w:r>
          </w:p>
        </w:tc>
      </w:tr>
      <w:tr>
        <w:trPr>
          <w:trHeight w:val="202"/>
        </w:trPr>
        <w:tc>
          <w:tcPr>
            <w:tcW w:w="3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1.1(a) – Term Loan – Availability</w:t>
            </w:r>
          </w:p>
        </w:tc>
        <w:tc>
          <w:tcPr>
            <w:tcW w:w="220" w:type="dxa"/>
            <w:vAlign w:val="bottom"/>
          </w:tcPr>
          <w:p>
            <w:pPr>
              <w:spacing w:after="0"/>
              <w:rPr>
                <w:sz w:val="17"/>
                <w:szCs w:val="17"/>
                <w:color w:val="auto"/>
              </w:rPr>
            </w:pPr>
          </w:p>
        </w:tc>
        <w:tc>
          <w:tcPr>
            <w:tcW w:w="7300" w:type="dxa"/>
            <w:vAlign w:val="bottom"/>
            <w:tcBorders>
              <w:top w:val="single" w:sz="8" w:color="auto"/>
            </w:tcBorders>
            <w:gridSpan w:val="9"/>
          </w:tcPr>
          <w:p>
            <w:pPr>
              <w:ind w:left="20"/>
              <w:spacing w:after="0" w:line="201" w:lineRule="exact"/>
              <w:rPr>
                <w:sz w:val="20"/>
                <w:szCs w:val="20"/>
                <w:color w:val="auto"/>
              </w:rPr>
            </w:pPr>
            <w:r>
              <w:rPr>
                <w:rFonts w:ascii="Arial" w:cs="Arial" w:eastAsia="Arial" w:hAnsi="Arial"/>
                <w:sz w:val="18"/>
                <w:szCs w:val="18"/>
                <w:color w:val="auto"/>
                <w:w w:val="90"/>
              </w:rPr>
              <w:t>Each Term Loan Advance must be in an amount equal to at least $2,000,000.00. After repayment, no</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0"/>
              </w:rPr>
              <w:t>Term Loan Advance (or any portion thereof) may be reborrowed. Subject to the terms and conditions</w:t>
            </w:r>
          </w:p>
        </w:tc>
      </w:tr>
      <w:tr>
        <w:trPr>
          <w:trHeight w:val="212"/>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9"/>
              </w:rPr>
              <w:t>of this Agreement, upon Borrower’s request, Bank shall make an initial Term Loan Advance</w:t>
            </w:r>
          </w:p>
        </w:tc>
      </w:tr>
      <w:tr>
        <w:trPr>
          <w:trHeight w:val="220"/>
        </w:trPr>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Initial Term Loan Advance</w:t>
            </w:r>
            <w:r>
              <w:rPr>
                <w:rFonts w:ascii="Arial" w:cs="Arial" w:eastAsia="Arial" w:hAnsi="Arial"/>
                <w:sz w:val="18"/>
                <w:szCs w:val="18"/>
                <w:color w:val="auto"/>
                <w:w w:val="93"/>
              </w:rPr>
              <w:t>”) available to Borrower on or about the Effective Date in an original</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4"/>
              </w:rPr>
              <w:t>principal amount of $6,000,000.00; provided that all or a portion of the Initial Term Loan Advance</w:t>
            </w:r>
          </w:p>
        </w:tc>
      </w:tr>
      <w:tr>
        <w:trPr>
          <w:trHeight w:val="212"/>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4"/>
              </w:rPr>
              <w:t>shall be used to repay in full Borrower’s outstanding obligations and liabilities to Horizon Finance</w:t>
            </w:r>
          </w:p>
        </w:tc>
      </w:tr>
      <w:tr>
        <w:trPr>
          <w:trHeight w:val="220"/>
        </w:trPr>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color w:val="auto"/>
                <w:w w:val="93"/>
              </w:rPr>
              <w:t>Horizon Obligations</w:t>
            </w:r>
            <w:r>
              <w:rPr>
                <w:rFonts w:ascii="Arial" w:cs="Arial" w:eastAsia="Arial" w:hAnsi="Arial"/>
                <w:sz w:val="18"/>
                <w:szCs w:val="18"/>
                <w:color w:val="auto"/>
                <w:w w:val="93"/>
              </w:rPr>
              <w:t>”). Borrower hereby authorizes Bank to apply the proceeds of the Initial</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7"/>
              </w:rPr>
              <w:t>Term Loan Advance to the Horizon Obligations as part of the funding process without actually</w:t>
            </w:r>
          </w:p>
        </w:tc>
      </w:tr>
      <w:tr>
        <w:trPr>
          <w:trHeight w:val="230"/>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depositing such funds into an account of Borrower.</w:t>
            </w: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color w:val="auto"/>
              </w:rPr>
              <w:t>1.1(b) – Term Loan – Repayment</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0"/>
              </w:rPr>
              <w:t>Commencing on July 1, 2023 and continuing on each Payment Date thereafter, Borrower shall repay</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each Term Loan Advance in (i) 24 equal monthly installments of principal, plus (ii) monthly</w:t>
            </w:r>
          </w:p>
        </w:tc>
      </w:tr>
      <w:tr>
        <w:trPr>
          <w:trHeight w:val="230"/>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payments of accrued interest at the rate set forth in Section 1.2(b)(i).</w:t>
            </w: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color w:val="auto"/>
                <w:w w:val="97"/>
              </w:rPr>
              <w:t>1.2(a) – Interest Payments – Term Loan Advances</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3"/>
              </w:rPr>
              <w:t>Interest on the principal amount of each Term Loan Advance is payable in arrears monthly (A) on</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0"/>
              </w:rPr>
              <w:t>each Payment Date commencing on the first Payment Date following the Funding Date of each such</w:t>
            </w:r>
          </w:p>
        </w:tc>
      </w:tr>
      <w:tr>
        <w:trPr>
          <w:trHeight w:val="230"/>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3"/>
              </w:rPr>
              <w:t>Term Loan Advance, (B) on the date of any prepayment, and (C) on the Term Loan Maturity Date.</w:t>
            </w: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color w:val="auto"/>
              </w:rPr>
              <w:t>1.2(b)(i) – Interest Rate – Term Loan Advances</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2"/>
              </w:rPr>
              <w:t>The outstanding principal amount of any Term Loan Advance shall accrue interest at a floating rate</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1"/>
              </w:rPr>
              <w:t>per annum equal to the greater of (1) 3.25% and (2) the Prime Rate, which interest shall be payable</w:t>
            </w:r>
          </w:p>
        </w:tc>
      </w:tr>
      <w:tr>
        <w:trPr>
          <w:trHeight w:val="230"/>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in accordance with Section 1.2(a).</w:t>
            </w: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color w:val="auto"/>
              </w:rPr>
              <w:t>1.2(e) – Interest Computation</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0"/>
              </w:rPr>
              <w:t>Interest shall be computed on the basis of the actual number of days elapsed and a 360-day year for</w:t>
            </w:r>
          </w:p>
        </w:tc>
      </w:tr>
      <w:tr>
        <w:trPr>
          <w:trHeight w:val="230"/>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any Credit Extension outstanding.</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12.2 – “Borrower”</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Celsion Corporation, a Delaware corporation.</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12.2 – “Draw Period”</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Draw Period</w:t>
            </w:r>
            <w:r>
              <w:rPr>
                <w:rFonts w:ascii="Arial" w:cs="Arial" w:eastAsia="Arial" w:hAnsi="Arial"/>
                <w:sz w:val="18"/>
                <w:szCs w:val="18"/>
                <w:color w:val="auto"/>
                <w:w w:val="97"/>
              </w:rPr>
              <w:t>” is the period commencing on the Effective Date and ending on June 30, 2022.</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12.2 – “Effective Date”</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June 18, 2021.</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12.2 – “Payment Date”</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month.</w:t>
            </w: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color w:val="auto"/>
              </w:rPr>
              <w:t>12.2 – “Prime Rate”</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Prime Rate</w:t>
            </w:r>
            <w:r>
              <w:rPr>
                <w:rFonts w:ascii="Arial" w:cs="Arial" w:eastAsia="Arial" w:hAnsi="Arial"/>
                <w:sz w:val="18"/>
                <w:szCs w:val="18"/>
                <w:color w:val="auto"/>
                <w:w w:val="98"/>
              </w:rPr>
              <w:t>” is the rate of interest per annum from time to time published in the money rates</w:t>
            </w:r>
          </w:p>
        </w:tc>
      </w:tr>
      <w:tr>
        <w:trPr>
          <w:trHeight w:val="190"/>
        </w:trPr>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00" w:type="dxa"/>
            <w:vAlign w:val="bottom"/>
            <w:gridSpan w:val="9"/>
          </w:tcPr>
          <w:p>
            <w:pPr>
              <w:ind w:left="20"/>
              <w:spacing w:after="0" w:line="190" w:lineRule="exact"/>
              <w:rPr>
                <w:sz w:val="20"/>
                <w:szCs w:val="20"/>
                <w:color w:val="auto"/>
              </w:rPr>
            </w:pPr>
            <w:r>
              <w:rPr>
                <w:rFonts w:ascii="Arial" w:cs="Arial" w:eastAsia="Arial" w:hAnsi="Arial"/>
                <w:sz w:val="18"/>
                <w:szCs w:val="18"/>
                <w:color w:val="auto"/>
                <w:w w:val="93"/>
              </w:rPr>
              <w:t>section of The Wall Street Journal or any successor publication thereto as the “prime rate” then in</w:t>
            </w:r>
          </w:p>
        </w:tc>
      </w:tr>
      <w:tr>
        <w:trPr>
          <w:trHeight w:val="20"/>
        </w:trPr>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2"/>
        </w:trPr>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2"/>
              </w:rPr>
              <w:t>effect; provided that if such rate of interest, as set forth from time to time in the money rates section</w:t>
            </w:r>
          </w:p>
        </w:tc>
      </w:tr>
      <w:tr>
        <w:trPr>
          <w:trHeight w:val="190"/>
        </w:trPr>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00" w:type="dxa"/>
            <w:vAlign w:val="bottom"/>
            <w:gridSpan w:val="9"/>
          </w:tcPr>
          <w:p>
            <w:pPr>
              <w:ind w:left="20"/>
              <w:spacing w:after="0" w:line="190" w:lineRule="exact"/>
              <w:rPr>
                <w:sz w:val="20"/>
                <w:szCs w:val="20"/>
                <w:color w:val="auto"/>
              </w:rPr>
            </w:pPr>
            <w:r>
              <w:rPr>
                <w:rFonts w:ascii="Arial" w:cs="Arial" w:eastAsia="Arial" w:hAnsi="Arial"/>
                <w:sz w:val="18"/>
                <w:szCs w:val="18"/>
                <w:color w:val="auto"/>
                <w:w w:val="91"/>
              </w:rPr>
              <w:t>of The Wall Street Journal, becomes unavailable for any reason as determined by Bank, the “Prime</w:t>
            </w:r>
          </w:p>
        </w:tc>
      </w:tr>
      <w:tr>
        <w:trPr>
          <w:trHeight w:val="20"/>
        </w:trPr>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r>
      <w:tr>
        <w:trPr>
          <w:trHeight w:val="222"/>
        </w:trPr>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2"/>
              </w:rPr>
              <w:t>Rate” shall mean the rate of interest per annum announced by Bank as its prime rate in effect at its</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1"/>
              </w:rPr>
              <w:t>principal office in the State of California (such Bank-announced Prime Rate not being intended to be</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7"/>
              </w:rPr>
              <w:t>the lowest rate of interest charged by Bank in connection with extensions of credit to debtors);</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6"/>
              </w:rPr>
              <w:t>provided that, in the event such rate of interest is less than 0.0% per annum, such rate shall be</w:t>
            </w:r>
          </w:p>
        </w:tc>
      </w:tr>
      <w:tr>
        <w:trPr>
          <w:trHeight w:val="230"/>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deemed to be 0.0% per annum for purposes of this Agreement.</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12.2 – “Term Loan Availability Amount”</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Term Loan Availability Amount</w:t>
            </w:r>
            <w:r>
              <w:rPr>
                <w:rFonts w:ascii="Arial" w:cs="Arial" w:eastAsia="Arial" w:hAnsi="Arial"/>
                <w:sz w:val="18"/>
                <w:szCs w:val="18"/>
                <w:color w:val="auto"/>
                <w:w w:val="97"/>
              </w:rPr>
              <w:t>” is an aggregate principal amount equal to $10,000,000.00.</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12.2 – “Term Loan Maturity Date”</w:t>
            </w:r>
          </w:p>
        </w:tc>
        <w:tc>
          <w:tcPr>
            <w:tcW w:w="7300" w:type="dxa"/>
            <w:vAlign w:val="bottom"/>
            <w:gridSpan w:val="9"/>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June 1, 2025.</w:t>
            </w:r>
          </w:p>
        </w:tc>
      </w:tr>
      <w:tr>
        <w:trPr>
          <w:trHeight w:val="431"/>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gridSpan w:val="5"/>
          </w:tcPr>
          <w:p>
            <w:pPr>
              <w:jc w:val="center"/>
              <w:ind w:right="4990"/>
              <w:spacing w:after="0"/>
              <w:rPr>
                <w:sz w:val="20"/>
                <w:szCs w:val="20"/>
                <w:color w:val="auto"/>
              </w:rPr>
            </w:pPr>
            <w:r>
              <w:rPr>
                <w:rFonts w:ascii="Arial" w:cs="Arial" w:eastAsia="Arial" w:hAnsi="Arial"/>
                <w:sz w:val="18"/>
                <w:szCs w:val="18"/>
                <w:color w:val="auto"/>
                <w:w w:val="94"/>
              </w:rPr>
              <w:t>I-1</w:t>
            </w:r>
          </w:p>
        </w:tc>
      </w:tr>
      <w:tr>
        <w:trPr>
          <w:trHeight w:val="210"/>
        </w:trPr>
        <w:tc>
          <w:tcPr>
            <w:tcW w:w="3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gridSpan w:val="6"/>
          </w:tcPr>
          <w:p>
            <w:pPr>
              <w:jc w:val="center"/>
              <w:ind w:right="4770"/>
              <w:spacing w:after="0" w:line="203" w:lineRule="exact"/>
              <w:rPr>
                <w:sz w:val="20"/>
                <w:szCs w:val="20"/>
                <w:color w:val="auto"/>
              </w:rPr>
            </w:pPr>
            <w:r>
              <w:rPr>
                <w:rFonts w:ascii="Arial" w:cs="Arial" w:eastAsia="Arial" w:hAnsi="Arial"/>
                <w:sz w:val="18"/>
                <w:szCs w:val="18"/>
                <w:color w:val="auto"/>
                <w:w w:val="99"/>
              </w:rPr>
              <w:t>SVB Confidential</w:t>
            </w:r>
          </w:p>
        </w:tc>
      </w:tr>
    </w:tbl>
    <w:p>
      <w:pPr>
        <w:sectPr>
          <w:pgSz w:w="11900" w:h="16838" w:orient="portrait"/>
          <w:cols w:equalWidth="0" w:num="1">
            <w:col w:w="11240"/>
          </w:cols>
          <w:pgMar w:left="320" w:top="567"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5140" w:type="dxa"/>
            <w:vAlign w:val="bottom"/>
            <w:gridSpan w:val="3"/>
          </w:tcPr>
          <w:p>
            <w:pPr>
              <w:spacing w:after="0"/>
              <w:rPr>
                <w:sz w:val="17"/>
                <w:szCs w:val="17"/>
                <w:color w:val="auto"/>
              </w:rPr>
            </w:pPr>
          </w:p>
        </w:tc>
      </w:tr>
      <w:tr>
        <w:trPr>
          <w:trHeight w:val="412"/>
        </w:trPr>
        <w:tc>
          <w:tcPr>
            <w:tcW w:w="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380" w:type="dxa"/>
            <w:vAlign w:val="bottom"/>
            <w:gridSpan w:val="6"/>
          </w:tcPr>
          <w:p>
            <w:pPr>
              <w:jc w:val="center"/>
              <w:ind w:right="3860"/>
              <w:spacing w:after="0"/>
              <w:rPr>
                <w:sz w:val="20"/>
                <w:szCs w:val="20"/>
                <w:color w:val="auto"/>
              </w:rPr>
            </w:pPr>
            <w:r>
              <w:rPr>
                <w:rFonts w:ascii="Arial" w:cs="Arial" w:eastAsia="Arial" w:hAnsi="Arial"/>
                <w:sz w:val="18"/>
                <w:szCs w:val="18"/>
                <w:color w:val="auto"/>
                <w:w w:val="96"/>
              </w:rPr>
              <w:t>COMPLIANCE STATEMENT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3000" w:type="dxa"/>
            <w:vAlign w:val="bottom"/>
          </w:tcPr>
          <w:p>
            <w:pPr>
              <w:ind w:left="280"/>
              <w:spacing w:after="0"/>
              <w:rPr>
                <w:sz w:val="20"/>
                <w:szCs w:val="20"/>
                <w:color w:val="auto"/>
              </w:rPr>
            </w:pPr>
            <w:r>
              <w:rPr>
                <w:rFonts w:ascii="Arial" w:cs="Arial" w:eastAsia="Arial" w:hAnsi="Arial"/>
                <w:sz w:val="18"/>
                <w:szCs w:val="18"/>
                <w:color w:val="auto"/>
              </w:rPr>
              <w:t>SILICON VALLEY BANK</w:t>
            </w:r>
          </w:p>
        </w:tc>
        <w:tc>
          <w:tcPr>
            <w:tcW w:w="6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500" w:type="dxa"/>
            <w:vAlign w:val="bottom"/>
            <w:gridSpan w:val="2"/>
          </w:tcPr>
          <w:p>
            <w:pPr>
              <w:ind w:left="740"/>
              <w:spacing w:after="0"/>
              <w:rPr>
                <w:sz w:val="20"/>
                <w:szCs w:val="20"/>
                <w:color w:val="auto"/>
              </w:rPr>
            </w:pPr>
            <w:r>
              <w:rPr>
                <w:rFonts w:ascii="Arial" w:cs="Arial" w:eastAsia="Arial" w:hAnsi="Arial"/>
                <w:sz w:val="18"/>
                <w:szCs w:val="18"/>
                <w:color w:val="auto"/>
              </w:rPr>
              <w:t>Date:</w:t>
            </w:r>
          </w:p>
        </w:tc>
      </w:tr>
      <w:tr>
        <w:trPr>
          <w:trHeight w:val="203"/>
        </w:trPr>
        <w:tc>
          <w:tcPr>
            <w:tcW w:w="860" w:type="dxa"/>
            <w:vAlign w:val="bottom"/>
          </w:tcPr>
          <w:p>
            <w:pPr>
              <w:spacing w:after="0" w:line="203" w:lineRule="exact"/>
              <w:rPr>
                <w:sz w:val="20"/>
                <w:szCs w:val="20"/>
                <w:color w:val="auto"/>
              </w:rPr>
            </w:pPr>
            <w:r>
              <w:rPr>
                <w:rFonts w:ascii="Arial" w:cs="Arial" w:eastAsia="Arial" w:hAnsi="Arial"/>
                <w:sz w:val="18"/>
                <w:szCs w:val="18"/>
                <w:color w:val="auto"/>
              </w:rPr>
              <w:t>FROM:</w:t>
            </w:r>
          </w:p>
        </w:tc>
        <w:tc>
          <w:tcPr>
            <w:tcW w:w="3000" w:type="dxa"/>
            <w:vAlign w:val="bottom"/>
          </w:tcPr>
          <w:p>
            <w:pPr>
              <w:ind w:left="280"/>
              <w:spacing w:after="0" w:line="203" w:lineRule="exact"/>
              <w:rPr>
                <w:sz w:val="20"/>
                <w:szCs w:val="20"/>
                <w:color w:val="auto"/>
              </w:rPr>
            </w:pPr>
            <w:r>
              <w:rPr>
                <w:rFonts w:ascii="Arial" w:cs="Arial" w:eastAsia="Arial" w:hAnsi="Arial"/>
                <w:sz w:val="18"/>
                <w:szCs w:val="18"/>
                <w:color w:val="auto"/>
              </w:rPr>
              <w:t>CELSION CORPORATION</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60" w:type="dxa"/>
            <w:vAlign w:val="bottom"/>
            <w:tcBorders>
              <w:top w:val="single" w:sz="8" w:color="auto"/>
            </w:tcBorders>
          </w:tcPr>
          <w:p>
            <w:pPr>
              <w:spacing w:after="0"/>
              <w:rPr>
                <w:sz w:val="17"/>
                <w:szCs w:val="17"/>
                <w:color w:val="auto"/>
              </w:rPr>
            </w:pPr>
          </w:p>
        </w:tc>
      </w:tr>
    </w:tbl>
    <w:p>
      <w:pPr>
        <w:spacing w:after="0" w:line="214"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Under the terms and conditions of the Loan and Security Agreement between Borrower and Bank (as amended, modified, supplemented, and/or restated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 with all required</w:t>
      </w:r>
    </w:p>
    <w:p>
      <w:pPr>
        <w:jc w:val="both"/>
        <w:spacing w:after="0" w:line="255" w:lineRule="auto"/>
        <w:rPr>
          <w:sz w:val="20"/>
          <w:szCs w:val="20"/>
          <w:color w:val="auto"/>
        </w:rPr>
      </w:pPr>
      <w:r>
        <w:rPr>
          <w:rFonts w:ascii="Arial" w:cs="Arial" w:eastAsia="Arial" w:hAnsi="Arial"/>
          <w:sz w:val="18"/>
          <w:szCs w:val="18"/>
          <w:color w:val="auto"/>
        </w:rPr>
        <w:t>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4"/>
          </w:tcPr>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tc>
        <w:tc>
          <w:tcPr>
            <w:tcW w:w="3600" w:type="dxa"/>
            <w:vAlign w:val="bottom"/>
          </w:tcPr>
          <w:p>
            <w:pPr>
              <w:spacing w:after="0"/>
              <w:rPr>
                <w:sz w:val="20"/>
                <w:szCs w:val="20"/>
                <w:color w:val="auto"/>
              </w:rPr>
            </w:pPr>
          </w:p>
        </w:tc>
      </w:tr>
      <w:tr>
        <w:trPr>
          <w:trHeight w:val="439"/>
        </w:trPr>
        <w:tc>
          <w:tcPr>
            <w:tcW w:w="362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Reporting Covenants</w:t>
            </w:r>
          </w:p>
        </w:tc>
        <w:tc>
          <w:tcPr>
            <w:tcW w:w="220" w:type="dxa"/>
            <w:vAlign w:val="bottom"/>
          </w:tcPr>
          <w:p>
            <w:pPr>
              <w:spacing w:after="0"/>
              <w:rPr>
                <w:sz w:val="24"/>
                <w:szCs w:val="24"/>
                <w:color w:val="auto"/>
              </w:rPr>
            </w:pPr>
          </w:p>
        </w:tc>
        <w:tc>
          <w:tcPr>
            <w:tcW w:w="360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Required</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Complies</w:t>
            </w:r>
          </w:p>
        </w:tc>
      </w:tr>
      <w:tr>
        <w:trPr>
          <w:trHeight w:val="418"/>
        </w:trPr>
        <w:tc>
          <w:tcPr>
            <w:tcW w:w="3840" w:type="dxa"/>
            <w:vAlign w:val="bottom"/>
            <w:gridSpan w:val="2"/>
          </w:tcPr>
          <w:p>
            <w:pPr>
              <w:spacing w:after="0"/>
              <w:rPr>
                <w:sz w:val="20"/>
                <w:szCs w:val="20"/>
                <w:color w:val="auto"/>
              </w:rPr>
            </w:pPr>
            <w:r>
              <w:rPr>
                <w:rFonts w:ascii="Arial" w:cs="Arial" w:eastAsia="Arial" w:hAnsi="Arial"/>
                <w:sz w:val="18"/>
                <w:szCs w:val="18"/>
                <w:color w:val="auto"/>
              </w:rPr>
              <w:t>Compliance Statement</w:t>
            </w:r>
          </w:p>
        </w:tc>
        <w:tc>
          <w:tcPr>
            <w:tcW w:w="3800" w:type="dxa"/>
            <w:vAlign w:val="bottom"/>
            <w:gridSpan w:val="2"/>
          </w:tcPr>
          <w:p>
            <w:pPr>
              <w:spacing w:after="0"/>
              <w:rPr>
                <w:sz w:val="20"/>
                <w:szCs w:val="20"/>
                <w:color w:val="auto"/>
              </w:rPr>
            </w:pPr>
            <w:r>
              <w:rPr>
                <w:rFonts w:ascii="Arial" w:cs="Arial" w:eastAsia="Arial" w:hAnsi="Arial"/>
                <w:sz w:val="18"/>
                <w:szCs w:val="18"/>
                <w:color w:val="auto"/>
              </w:rPr>
              <w:t>Quarterly within 45 days</w:t>
            </w:r>
          </w:p>
        </w:tc>
        <w:tc>
          <w:tcPr>
            <w:tcW w:w="3600" w:type="dxa"/>
            <w:vAlign w:val="bottom"/>
          </w:tcPr>
          <w:p>
            <w:pPr>
              <w:jc w:val="center"/>
              <w:spacing w:after="0"/>
              <w:rPr>
                <w:sz w:val="20"/>
                <w:szCs w:val="20"/>
                <w:color w:val="auto"/>
              </w:rPr>
            </w:pPr>
            <w:r>
              <w:rPr>
                <w:rFonts w:ascii="Arial" w:cs="Arial" w:eastAsia="Arial" w:hAnsi="Arial"/>
                <w:sz w:val="18"/>
                <w:szCs w:val="18"/>
                <w:color w:val="auto"/>
                <w:w w:val="98"/>
              </w:rPr>
              <w:t>Yes No</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10-Q Report</w:t>
            </w:r>
          </w:p>
        </w:tc>
        <w:tc>
          <w:tcPr>
            <w:tcW w:w="3800" w:type="dxa"/>
            <w:vAlign w:val="bottom"/>
            <w:gridSpan w:val="2"/>
          </w:tcPr>
          <w:p>
            <w:pPr>
              <w:spacing w:after="0"/>
              <w:rPr>
                <w:sz w:val="20"/>
                <w:szCs w:val="20"/>
                <w:color w:val="auto"/>
              </w:rPr>
            </w:pPr>
            <w:r>
              <w:rPr>
                <w:rFonts w:ascii="Arial" w:cs="Arial" w:eastAsia="Arial" w:hAnsi="Arial"/>
                <w:sz w:val="18"/>
                <w:szCs w:val="18"/>
                <w:color w:val="auto"/>
              </w:rPr>
              <w:t>Within 45 days of Q1, Q2, and Q3</w:t>
            </w:r>
          </w:p>
        </w:tc>
        <w:tc>
          <w:tcPr>
            <w:tcW w:w="360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10-K Report and Annual financial statements</w:t>
            </w:r>
          </w:p>
        </w:tc>
        <w:tc>
          <w:tcPr>
            <w:tcW w:w="3800" w:type="dxa"/>
            <w:vAlign w:val="bottom"/>
            <w:gridSpan w:val="2"/>
          </w:tcPr>
          <w:p>
            <w:pPr>
              <w:spacing w:after="0"/>
              <w:rPr>
                <w:sz w:val="20"/>
                <w:szCs w:val="20"/>
                <w:color w:val="auto"/>
              </w:rPr>
            </w:pPr>
            <w:r>
              <w:rPr>
                <w:rFonts w:ascii="Arial" w:cs="Arial" w:eastAsia="Arial" w:hAnsi="Arial"/>
                <w:sz w:val="18"/>
                <w:szCs w:val="18"/>
                <w:color w:val="auto"/>
              </w:rPr>
              <w:t>FYE within 90 days</w:t>
            </w:r>
          </w:p>
        </w:tc>
        <w:tc>
          <w:tcPr>
            <w:tcW w:w="3600" w:type="dxa"/>
            <w:vAlign w:val="bottom"/>
          </w:tcPr>
          <w:p>
            <w:pPr>
              <w:jc w:val="center"/>
              <w:spacing w:after="0"/>
              <w:rPr>
                <w:sz w:val="20"/>
                <w:szCs w:val="20"/>
                <w:color w:val="auto"/>
              </w:rPr>
            </w:pPr>
            <w:r>
              <w:rPr>
                <w:rFonts w:ascii="Arial" w:cs="Arial" w:eastAsia="Arial" w:hAnsi="Arial"/>
                <w:sz w:val="18"/>
                <w:szCs w:val="18"/>
                <w:color w:val="auto"/>
                <w:w w:val="98"/>
              </w:rPr>
              <w:t>Yes No</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(CPA Audited)</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Filed 10-Q, 10-K and 8-K</w:t>
            </w:r>
          </w:p>
        </w:tc>
        <w:tc>
          <w:tcPr>
            <w:tcW w:w="3800" w:type="dxa"/>
            <w:vAlign w:val="bottom"/>
            <w:gridSpan w:val="2"/>
          </w:tcPr>
          <w:p>
            <w:pPr>
              <w:spacing w:after="0"/>
              <w:rPr>
                <w:sz w:val="20"/>
                <w:szCs w:val="20"/>
                <w:color w:val="auto"/>
              </w:rPr>
            </w:pPr>
            <w:r>
              <w:rPr>
                <w:rFonts w:ascii="Arial" w:cs="Arial" w:eastAsia="Arial" w:hAnsi="Arial"/>
                <w:sz w:val="18"/>
                <w:szCs w:val="18"/>
                <w:color w:val="auto"/>
              </w:rPr>
              <w:t>Promptly after filing with</w:t>
            </w:r>
          </w:p>
        </w:tc>
        <w:tc>
          <w:tcPr>
            <w:tcW w:w="3600" w:type="dxa"/>
            <w:vAlign w:val="bottom"/>
          </w:tcPr>
          <w:p>
            <w:pPr>
              <w:jc w:val="center"/>
              <w:spacing w:after="0"/>
              <w:rPr>
                <w:sz w:val="20"/>
                <w:szCs w:val="20"/>
                <w:color w:val="auto"/>
              </w:rPr>
            </w:pPr>
            <w:r>
              <w:rPr>
                <w:rFonts w:ascii="Arial" w:cs="Arial" w:eastAsia="Arial" w:hAnsi="Arial"/>
                <w:sz w:val="18"/>
                <w:szCs w:val="18"/>
                <w:color w:val="auto"/>
                <w:w w:val="98"/>
              </w:rPr>
              <w:t>Yes No</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SEC</w:t>
            </w:r>
          </w:p>
        </w:tc>
        <w:tc>
          <w:tcPr>
            <w:tcW w:w="3600" w:type="dxa"/>
            <w:vAlign w:val="bottom"/>
          </w:tcPr>
          <w:p>
            <w:pPr>
              <w:spacing w:after="0"/>
              <w:rPr>
                <w:sz w:val="18"/>
                <w:szCs w:val="18"/>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Board approved projections</w:t>
            </w:r>
          </w:p>
        </w:tc>
        <w:tc>
          <w:tcPr>
            <w:tcW w:w="3800" w:type="dxa"/>
            <w:vAlign w:val="bottom"/>
            <w:gridSpan w:val="2"/>
          </w:tcPr>
          <w:p>
            <w:pPr>
              <w:spacing w:after="0"/>
              <w:rPr>
                <w:sz w:val="20"/>
                <w:szCs w:val="20"/>
                <w:color w:val="auto"/>
              </w:rPr>
            </w:pPr>
            <w:r>
              <w:rPr>
                <w:rFonts w:ascii="Arial" w:cs="Arial" w:eastAsia="Arial" w:hAnsi="Arial"/>
                <w:sz w:val="18"/>
                <w:szCs w:val="18"/>
                <w:color w:val="auto"/>
              </w:rPr>
              <w:t>FYE within 90 days and as amended/updated</w:t>
            </w:r>
          </w:p>
        </w:tc>
        <w:tc>
          <w:tcPr>
            <w:tcW w:w="3600" w:type="dxa"/>
            <w:vAlign w:val="bottom"/>
          </w:tcPr>
          <w:p>
            <w:pPr>
              <w:jc w:val="center"/>
              <w:spacing w:after="0"/>
              <w:rPr>
                <w:sz w:val="20"/>
                <w:szCs w:val="20"/>
                <w:color w:val="auto"/>
              </w:rPr>
            </w:pPr>
            <w:r>
              <w:rPr>
                <w:rFonts w:ascii="Arial" w:cs="Arial" w:eastAsia="Arial" w:hAnsi="Arial"/>
                <w:sz w:val="18"/>
                <w:szCs w:val="18"/>
                <w:color w:val="auto"/>
                <w:w w:val="98"/>
              </w:rPr>
              <w:t>Yes No</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_____________________________________________________________________________________________</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_____________________________________________________________________________________________</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_____________________________________________________________________________________________</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LOAN PAYMENT/ADVANCE REQUEST FORM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OON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ASTERN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IME</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ind w:left="1800"/>
              <w:spacing w:after="0"/>
              <w:rPr>
                <w:sz w:val="20"/>
                <w:szCs w:val="20"/>
                <w:color w:val="auto"/>
              </w:rPr>
            </w:pPr>
            <w:r>
              <w:rPr>
                <w:rFonts w:ascii="Arial" w:cs="Arial" w:eastAsia="Arial" w:hAnsi="Arial"/>
                <w:sz w:val="18"/>
                <w:szCs w:val="18"/>
                <w:color w:val="auto"/>
                <w:w w:val="88"/>
              </w:rPr>
              <w:t>Date: _____________________</w:t>
            </w:r>
          </w:p>
        </w:tc>
      </w:tr>
      <w:tr>
        <w:trPr>
          <w:trHeight w:val="219"/>
        </w:trPr>
        <w:tc>
          <w:tcPr>
            <w:tcW w:w="19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r>
      <w:tr>
        <w:trPr>
          <w:trHeight w:val="210"/>
        </w:trPr>
        <w:tc>
          <w:tcPr>
            <w:tcW w:w="192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L</w:t>
            </w:r>
            <w:r>
              <w:rPr>
                <w:rFonts w:ascii="Arial" w:cs="Arial" w:eastAsia="Arial" w:hAnsi="Arial"/>
                <w:sz w:val="10"/>
                <w:szCs w:val="10"/>
                <w:b w:val="1"/>
                <w:bCs w:val="1"/>
                <w:color w:val="auto"/>
              </w:rPr>
              <w:t>OAN</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AYMENT</w:t>
            </w:r>
            <w:r>
              <w:rPr>
                <w:rFonts w:ascii="Arial" w:cs="Arial" w:eastAsia="Arial" w:hAnsi="Arial"/>
                <w:sz w:val="16"/>
                <w:szCs w:val="16"/>
                <w:b w:val="1"/>
                <w:bCs w:val="1"/>
                <w:color w:val="auto"/>
              </w:rPr>
              <w:t>:</w:t>
            </w:r>
          </w:p>
        </w:tc>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r>
      <w:tr>
        <w:trPr>
          <w:trHeight w:val="395"/>
        </w:trPr>
        <w:tc>
          <w:tcPr>
            <w:tcW w:w="1920" w:type="dxa"/>
            <w:vAlign w:val="bottom"/>
            <w:tcBorders>
              <w:left w:val="single" w:sz="8" w:color="auto"/>
            </w:tcBorders>
          </w:tcPr>
          <w:p>
            <w:pPr>
              <w:spacing w:after="0"/>
              <w:rPr>
                <w:sz w:val="24"/>
                <w:szCs w:val="24"/>
                <w:color w:val="auto"/>
              </w:rPr>
            </w:pPr>
          </w:p>
        </w:tc>
        <w:tc>
          <w:tcPr>
            <w:tcW w:w="5180" w:type="dxa"/>
            <w:vAlign w:val="bottom"/>
            <w:gridSpan w:val="2"/>
          </w:tcPr>
          <w:p>
            <w:pPr>
              <w:ind w:left="2760"/>
              <w:spacing w:after="0"/>
              <w:rPr>
                <w:sz w:val="20"/>
                <w:szCs w:val="20"/>
                <w:color w:val="auto"/>
              </w:rPr>
            </w:pPr>
            <w:r>
              <w:rPr>
                <w:rFonts w:ascii="Arial" w:cs="Arial" w:eastAsia="Arial" w:hAnsi="Arial"/>
                <w:sz w:val="16"/>
                <w:szCs w:val="16"/>
                <w:color w:val="auto"/>
              </w:rPr>
              <w:t>CELSION CORPORATION</w:t>
            </w:r>
          </w:p>
        </w:tc>
        <w:tc>
          <w:tcPr>
            <w:tcW w:w="4120" w:type="dxa"/>
            <w:vAlign w:val="bottom"/>
            <w:tcBorders>
              <w:right w:val="single" w:sz="8" w:color="auto"/>
            </w:tcBorders>
          </w:tcPr>
          <w:p>
            <w:pPr>
              <w:spacing w:after="0"/>
              <w:rPr>
                <w:sz w:val="24"/>
                <w:szCs w:val="24"/>
                <w:color w:val="auto"/>
              </w:rPr>
            </w:pPr>
          </w:p>
        </w:tc>
      </w:tr>
      <w:tr>
        <w:trPr>
          <w:trHeight w:val="401"/>
        </w:trPr>
        <w:tc>
          <w:tcPr>
            <w:tcW w:w="19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From Account #</w:t>
            </w:r>
          </w:p>
        </w:tc>
        <w:tc>
          <w:tcPr>
            <w:tcW w:w="3360" w:type="dxa"/>
            <w:vAlign w:val="bottom"/>
          </w:tcPr>
          <w:p>
            <w:pPr>
              <w:jc w:val="center"/>
              <w:ind w:left="39"/>
              <w:spacing w:after="0"/>
              <w:rPr>
                <w:sz w:val="20"/>
                <w:szCs w:val="20"/>
                <w:color w:val="auto"/>
              </w:rPr>
            </w:pPr>
            <w:r>
              <w:rPr>
                <w:rFonts w:ascii="Arial" w:cs="Arial" w:eastAsia="Arial" w:hAnsi="Arial"/>
                <w:sz w:val="16"/>
                <w:szCs w:val="16"/>
                <w:color w:val="auto"/>
                <w:w w:val="91"/>
              </w:rPr>
              <w:t>________________________________</w:t>
            </w:r>
          </w:p>
        </w:tc>
        <w:tc>
          <w:tcPr>
            <w:tcW w:w="1820" w:type="dxa"/>
            <w:vAlign w:val="bottom"/>
          </w:tcPr>
          <w:p>
            <w:pPr>
              <w:ind w:left="340"/>
              <w:spacing w:after="0"/>
              <w:rPr>
                <w:sz w:val="20"/>
                <w:szCs w:val="20"/>
                <w:color w:val="auto"/>
              </w:rPr>
            </w:pPr>
            <w:r>
              <w:rPr>
                <w:rFonts w:ascii="Arial" w:cs="Arial" w:eastAsia="Arial" w:hAnsi="Arial"/>
                <w:sz w:val="16"/>
                <w:szCs w:val="16"/>
                <w:color w:val="auto"/>
              </w:rPr>
              <w:t>To Account #</w:t>
            </w:r>
          </w:p>
        </w:tc>
        <w:tc>
          <w:tcPr>
            <w:tcW w:w="4120" w:type="dxa"/>
            <w:vAlign w:val="bottom"/>
            <w:tcBorders>
              <w:right w:val="single" w:sz="8" w:color="auto"/>
            </w:tcBorders>
          </w:tcPr>
          <w:p>
            <w:pPr>
              <w:jc w:val="center"/>
              <w:ind w:left="37"/>
              <w:spacing w:after="0"/>
              <w:rPr>
                <w:sz w:val="20"/>
                <w:szCs w:val="20"/>
                <w:color w:val="auto"/>
              </w:rPr>
            </w:pPr>
            <w:r>
              <w:rPr>
                <w:rFonts w:ascii="Arial" w:cs="Arial" w:eastAsia="Arial" w:hAnsi="Arial"/>
                <w:sz w:val="16"/>
                <w:szCs w:val="16"/>
                <w:color w:val="auto"/>
                <w:w w:val="90"/>
              </w:rPr>
              <w:t>__________________________________________</w:t>
            </w:r>
          </w:p>
        </w:tc>
      </w:tr>
      <w:tr>
        <w:trPr>
          <w:trHeight w:val="203"/>
        </w:trPr>
        <w:tc>
          <w:tcPr>
            <w:tcW w:w="1920" w:type="dxa"/>
            <w:vAlign w:val="bottom"/>
            <w:tcBorders>
              <w:left w:val="single" w:sz="8" w:color="auto"/>
            </w:tcBorders>
          </w:tcPr>
          <w:p>
            <w:pPr>
              <w:spacing w:after="0"/>
              <w:rPr>
                <w:sz w:val="17"/>
                <w:szCs w:val="17"/>
                <w:color w:val="auto"/>
              </w:rPr>
            </w:pPr>
          </w:p>
        </w:tc>
        <w:tc>
          <w:tcPr>
            <w:tcW w:w="3360" w:type="dxa"/>
            <w:vAlign w:val="bottom"/>
          </w:tcPr>
          <w:p>
            <w:pPr>
              <w:ind w:left="1080"/>
              <w:spacing w:after="0"/>
              <w:rPr>
                <w:sz w:val="20"/>
                <w:szCs w:val="20"/>
                <w:color w:val="auto"/>
              </w:rPr>
            </w:pPr>
            <w:r>
              <w:rPr>
                <w:rFonts w:ascii="Arial" w:cs="Arial" w:eastAsia="Arial" w:hAnsi="Arial"/>
                <w:sz w:val="16"/>
                <w:szCs w:val="16"/>
                <w:color w:val="auto"/>
              </w:rPr>
              <w:t>(Deposit Account #)</w:t>
            </w:r>
          </w:p>
        </w:tc>
        <w:tc>
          <w:tcPr>
            <w:tcW w:w="1820" w:type="dxa"/>
            <w:vAlign w:val="bottom"/>
          </w:tcPr>
          <w:p>
            <w:pPr>
              <w:spacing w:after="0"/>
              <w:rPr>
                <w:sz w:val="17"/>
                <w:szCs w:val="17"/>
                <w:color w:val="auto"/>
              </w:rPr>
            </w:pPr>
          </w:p>
        </w:tc>
        <w:tc>
          <w:tcPr>
            <w:tcW w:w="4120" w:type="dxa"/>
            <w:vAlign w:val="bottom"/>
            <w:tcBorders>
              <w:right w:val="single" w:sz="8" w:color="auto"/>
            </w:tcBorders>
          </w:tcPr>
          <w:p>
            <w:pPr>
              <w:ind w:left="1560"/>
              <w:spacing w:after="0"/>
              <w:rPr>
                <w:sz w:val="20"/>
                <w:szCs w:val="20"/>
                <w:color w:val="auto"/>
              </w:rPr>
            </w:pPr>
            <w:r>
              <w:rPr>
                <w:rFonts w:ascii="Arial" w:cs="Arial" w:eastAsia="Arial" w:hAnsi="Arial"/>
                <w:sz w:val="16"/>
                <w:szCs w:val="16"/>
                <w:color w:val="auto"/>
              </w:rPr>
              <w:t>(Loan Account #)</w:t>
            </w:r>
          </w:p>
        </w:tc>
      </w:tr>
      <w:tr>
        <w:trPr>
          <w:trHeight w:val="206"/>
        </w:trPr>
        <w:tc>
          <w:tcPr>
            <w:tcW w:w="19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Principal $</w:t>
            </w:r>
          </w:p>
        </w:tc>
        <w:tc>
          <w:tcPr>
            <w:tcW w:w="3360" w:type="dxa"/>
            <w:vAlign w:val="bottom"/>
          </w:tcPr>
          <w:p>
            <w:pPr>
              <w:jc w:val="center"/>
              <w:ind w:left="39"/>
              <w:spacing w:after="0"/>
              <w:rPr>
                <w:sz w:val="20"/>
                <w:szCs w:val="20"/>
                <w:color w:val="auto"/>
              </w:rPr>
            </w:pPr>
            <w:r>
              <w:rPr>
                <w:rFonts w:ascii="Arial" w:cs="Arial" w:eastAsia="Arial" w:hAnsi="Arial"/>
                <w:sz w:val="16"/>
                <w:szCs w:val="16"/>
                <w:color w:val="auto"/>
                <w:w w:val="91"/>
              </w:rPr>
              <w:t>_______________________________</w:t>
            </w:r>
          </w:p>
        </w:tc>
        <w:tc>
          <w:tcPr>
            <w:tcW w:w="1820" w:type="dxa"/>
            <w:vAlign w:val="bottom"/>
          </w:tcPr>
          <w:p>
            <w:pPr>
              <w:ind w:left="340"/>
              <w:spacing w:after="0"/>
              <w:rPr>
                <w:sz w:val="20"/>
                <w:szCs w:val="20"/>
                <w:color w:val="auto"/>
              </w:rPr>
            </w:pPr>
            <w:r>
              <w:rPr>
                <w:rFonts w:ascii="Arial" w:cs="Arial" w:eastAsia="Arial" w:hAnsi="Arial"/>
                <w:sz w:val="16"/>
                <w:szCs w:val="16"/>
                <w:color w:val="auto"/>
              </w:rPr>
              <w:t>and/or Interest $</w:t>
            </w:r>
          </w:p>
        </w:tc>
        <w:tc>
          <w:tcPr>
            <w:tcW w:w="4120" w:type="dxa"/>
            <w:vAlign w:val="bottom"/>
            <w:tcBorders>
              <w:right w:val="single" w:sz="8" w:color="auto"/>
            </w:tcBorders>
          </w:tcPr>
          <w:p>
            <w:pPr>
              <w:jc w:val="center"/>
              <w:ind w:left="37"/>
              <w:spacing w:after="0"/>
              <w:rPr>
                <w:sz w:val="20"/>
                <w:szCs w:val="20"/>
                <w:color w:val="auto"/>
              </w:rPr>
            </w:pPr>
            <w:r>
              <w:rPr>
                <w:rFonts w:ascii="Arial" w:cs="Arial" w:eastAsia="Arial" w:hAnsi="Arial"/>
                <w:sz w:val="16"/>
                <w:szCs w:val="16"/>
                <w:color w:val="auto"/>
                <w:w w:val="91"/>
              </w:rPr>
              <w:t>________________________________________</w:t>
            </w:r>
          </w:p>
        </w:tc>
      </w:tr>
      <w:tr>
        <w:trPr>
          <w:trHeight w:val="401"/>
        </w:trPr>
        <w:tc>
          <w:tcPr>
            <w:tcW w:w="19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Authorized Signature:</w:t>
            </w:r>
          </w:p>
        </w:tc>
        <w:tc>
          <w:tcPr>
            <w:tcW w:w="3360" w:type="dxa"/>
            <w:vAlign w:val="bottom"/>
          </w:tcPr>
          <w:p>
            <w:pPr>
              <w:jc w:val="center"/>
              <w:ind w:left="39"/>
              <w:spacing w:after="0"/>
              <w:rPr>
                <w:sz w:val="20"/>
                <w:szCs w:val="20"/>
                <w:color w:val="auto"/>
              </w:rPr>
            </w:pPr>
            <w:r>
              <w:rPr>
                <w:rFonts w:ascii="Arial" w:cs="Arial" w:eastAsia="Arial" w:hAnsi="Arial"/>
                <w:sz w:val="16"/>
                <w:szCs w:val="16"/>
                <w:color w:val="auto"/>
                <w:w w:val="91"/>
              </w:rPr>
              <w:t>_______________________________</w:t>
            </w:r>
          </w:p>
        </w:tc>
        <w:tc>
          <w:tcPr>
            <w:tcW w:w="1820" w:type="dxa"/>
            <w:vAlign w:val="bottom"/>
          </w:tcPr>
          <w:p>
            <w:pPr>
              <w:ind w:left="340"/>
              <w:spacing w:after="0"/>
              <w:rPr>
                <w:sz w:val="20"/>
                <w:szCs w:val="20"/>
                <w:color w:val="auto"/>
              </w:rPr>
            </w:pPr>
            <w:r>
              <w:rPr>
                <w:rFonts w:ascii="Arial" w:cs="Arial" w:eastAsia="Arial" w:hAnsi="Arial"/>
                <w:sz w:val="16"/>
                <w:szCs w:val="16"/>
                <w:color w:val="auto"/>
              </w:rPr>
              <w:t>Phone Number:</w:t>
            </w:r>
          </w:p>
        </w:tc>
        <w:tc>
          <w:tcPr>
            <w:tcW w:w="4120" w:type="dxa"/>
            <w:vAlign w:val="bottom"/>
            <w:tcBorders>
              <w:right w:val="single" w:sz="8" w:color="auto"/>
            </w:tcBorders>
          </w:tcPr>
          <w:p>
            <w:pPr>
              <w:jc w:val="center"/>
              <w:ind w:left="37"/>
              <w:spacing w:after="0"/>
              <w:rPr>
                <w:sz w:val="20"/>
                <w:szCs w:val="20"/>
                <w:color w:val="auto"/>
              </w:rPr>
            </w:pPr>
            <w:r>
              <w:rPr>
                <w:rFonts w:ascii="Arial" w:cs="Arial" w:eastAsia="Arial" w:hAnsi="Arial"/>
                <w:sz w:val="16"/>
                <w:szCs w:val="16"/>
                <w:color w:val="auto"/>
                <w:w w:val="91"/>
              </w:rPr>
              <w:t>________________________________________</w:t>
            </w:r>
          </w:p>
        </w:tc>
      </w:tr>
      <w:tr>
        <w:trPr>
          <w:trHeight w:val="206"/>
        </w:trPr>
        <w:tc>
          <w:tcPr>
            <w:tcW w:w="19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Print Name/Title:</w:t>
            </w:r>
          </w:p>
        </w:tc>
        <w:tc>
          <w:tcPr>
            <w:tcW w:w="3360" w:type="dxa"/>
            <w:vAlign w:val="bottom"/>
          </w:tcPr>
          <w:p>
            <w:pPr>
              <w:jc w:val="center"/>
              <w:ind w:left="39"/>
              <w:spacing w:after="0"/>
              <w:rPr>
                <w:sz w:val="20"/>
                <w:szCs w:val="20"/>
                <w:color w:val="auto"/>
              </w:rPr>
            </w:pPr>
            <w:r>
              <w:rPr>
                <w:rFonts w:ascii="Arial" w:cs="Arial" w:eastAsia="Arial" w:hAnsi="Arial"/>
                <w:sz w:val="16"/>
                <w:szCs w:val="16"/>
                <w:color w:val="auto"/>
                <w:w w:val="91"/>
              </w:rPr>
              <w:t>_______________________________</w:t>
            </w:r>
          </w:p>
        </w:tc>
        <w:tc>
          <w:tcPr>
            <w:tcW w:w="1820" w:type="dxa"/>
            <w:vAlign w:val="bottom"/>
          </w:tcPr>
          <w:p>
            <w:pPr>
              <w:spacing w:after="0"/>
              <w:rPr>
                <w:sz w:val="17"/>
                <w:szCs w:val="17"/>
                <w:color w:val="auto"/>
              </w:rPr>
            </w:pPr>
          </w:p>
        </w:tc>
        <w:tc>
          <w:tcPr>
            <w:tcW w:w="4120" w:type="dxa"/>
            <w:vAlign w:val="bottom"/>
            <w:tcBorders>
              <w:right w:val="single" w:sz="8" w:color="auto"/>
            </w:tcBorders>
          </w:tcPr>
          <w:p>
            <w:pPr>
              <w:spacing w:after="0"/>
              <w:rPr>
                <w:sz w:val="17"/>
                <w:szCs w:val="17"/>
                <w:color w:val="auto"/>
              </w:rPr>
            </w:pPr>
          </w:p>
        </w:tc>
      </w:tr>
      <w:tr>
        <w:trPr>
          <w:trHeight w:val="225"/>
        </w:trPr>
        <w:tc>
          <w:tcPr>
            <w:tcW w:w="1920" w:type="dxa"/>
            <w:vAlign w:val="bottom"/>
            <w:tcBorders>
              <w:left w:val="single" w:sz="8" w:color="auto"/>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10730" cy="22244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10730" cy="2224405"/>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w:t>
      </w:r>
      <w:r>
        <w:rPr>
          <w:rFonts w:ascii="Arial" w:cs="Arial" w:eastAsia="Arial" w:hAnsi="Arial"/>
          <w:sz w:val="10"/>
          <w:szCs w:val="10"/>
          <w:b w:val="1"/>
          <w:bCs w:val="1"/>
          <w:color w:val="auto"/>
        </w:rPr>
        <w:t>OAN</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DVANCE</w:t>
      </w:r>
      <w:r>
        <w:rPr>
          <w:rFonts w:ascii="Arial" w:cs="Arial" w:eastAsia="Arial" w:hAnsi="Arial"/>
          <w:sz w:val="16"/>
          <w:szCs w:val="16"/>
          <w:b w:val="1"/>
          <w:bCs w:val="1"/>
          <w:color w:val="auto"/>
        </w:rPr>
        <w: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Complete </w:t>
      </w:r>
      <w:r>
        <w:rPr>
          <w:rFonts w:ascii="Arial" w:cs="Arial" w:eastAsia="Arial" w:hAnsi="Arial"/>
          <w:sz w:val="16"/>
          <w:szCs w:val="16"/>
          <w:i w:val="1"/>
          <w:iCs w:val="1"/>
          <w:color w:val="auto"/>
        </w:rPr>
        <w:t>Outgoing Wire Request</w:t>
      </w:r>
      <w:r>
        <w:rPr>
          <w:rFonts w:ascii="Arial" w:cs="Arial" w:eastAsia="Arial" w:hAnsi="Arial"/>
          <w:sz w:val="16"/>
          <w:szCs w:val="16"/>
          <w:color w:val="auto"/>
        </w:rPr>
        <w:t xml:space="preserve"> section below if all or a portion of the funds from this loan advance are for an outgoing wire.</w:t>
      </w:r>
    </w:p>
    <w:p>
      <w:pPr>
        <w:sectPr>
          <w:pgSz w:w="11900" w:h="16838" w:orient="portrait"/>
          <w:cols w:equalWidth="0" w:num="1">
            <w:col w:w="11220"/>
          </w:cols>
          <w:pgMar w:left="340" w:top="688" w:right="339" w:bottom="1440" w:gutter="0" w:footer="0" w:header="0"/>
        </w:sect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5"/>
          <w:szCs w:val="15"/>
          <w:color w:val="auto"/>
        </w:rPr>
        <w:t>From Account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________________________________</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(Loan Account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To Account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__________________________________________</w:t>
      </w:r>
    </w:p>
    <w:p>
      <w:pPr>
        <w:spacing w:after="0" w:line="4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(Deposit Account #)</w:t>
      </w:r>
    </w:p>
    <w:p>
      <w:pPr>
        <w:spacing w:after="0" w:line="200" w:lineRule="exact"/>
        <w:rPr>
          <w:sz w:val="20"/>
          <w:szCs w:val="20"/>
          <w:color w:val="auto"/>
        </w:rPr>
      </w:pPr>
    </w:p>
    <w:p>
      <w:pPr>
        <w:sectPr>
          <w:pgSz w:w="11900" w:h="16838" w:orient="portrait"/>
          <w:cols w:equalWidth="0" w:num="4">
            <w:col w:w="1600" w:space="720"/>
            <w:col w:w="2600" w:space="640"/>
            <w:col w:w="1480" w:space="720"/>
            <w:col w:w="3460"/>
          </w:cols>
          <w:pgMar w:left="340" w:top="688" w:right="339" w:bottom="1440" w:gutter="0" w:footer="0" w:header="0"/>
          <w:type w:val="continuous"/>
        </w:sectPr>
      </w:pP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 of Term Loan Advance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_______________________________</w:t>
      </w:r>
    </w:p>
    <w:p>
      <w:pPr>
        <w:spacing w:after="0" w:line="200" w:lineRule="exact"/>
        <w:rPr>
          <w:sz w:val="20"/>
          <w:szCs w:val="20"/>
          <w:color w:val="auto"/>
        </w:rPr>
      </w:pPr>
    </w:p>
    <w:p>
      <w:pPr>
        <w:sectPr>
          <w:pgSz w:w="11900" w:h="16838" w:orient="portrait"/>
          <w:cols w:equalWidth="0" w:num="2">
            <w:col w:w="4840" w:space="720"/>
            <w:col w:w="5660"/>
          </w:cols>
          <w:pgMar w:left="340" w:top="688" w:right="339" w:bottom="1440" w:gutter="0" w:footer="0" w:header="0"/>
          <w:type w:val="continuous"/>
        </w:sectPr>
      </w:pPr>
    </w:p>
    <w:p>
      <w:pPr>
        <w:spacing w:after="0" w:line="44" w:lineRule="exact"/>
        <w:rPr>
          <w:sz w:val="20"/>
          <w:szCs w:val="20"/>
          <w:color w:val="auto"/>
        </w:rPr>
      </w:pPr>
    </w:p>
    <w:p>
      <w:pPr>
        <w:jc w:val="both"/>
        <w:ind w:left="40" w:right="60"/>
        <w:spacing w:after="0" w:line="273" w:lineRule="auto"/>
        <w:rPr>
          <w:sz w:val="20"/>
          <w:szCs w:val="20"/>
          <w:color w:val="auto"/>
        </w:rPr>
      </w:pPr>
      <w:r>
        <w:rPr>
          <w:rFonts w:ascii="Arial" w:cs="Arial" w:eastAsia="Arial" w:hAnsi="Arial"/>
          <w:sz w:val="16"/>
          <w:szCs w:val="16"/>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ectPr>
          <w:pgSz w:w="11900" w:h="16838" w:orient="portrait"/>
          <w:cols w:equalWidth="0" w:num="1">
            <w:col w:w="11220"/>
          </w:cols>
          <w:pgMar w:left="340" w:top="688" w:right="339" w:bottom="1440" w:gutter="0" w:footer="0" w:header="0"/>
          <w:type w:val="continuous"/>
        </w:sectPr>
      </w:pPr>
    </w:p>
    <w:p>
      <w:pPr>
        <w:spacing w:after="0" w:line="1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Authorized Signature: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Phone Number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45" w:lineRule="exact"/>
        <w:rPr>
          <w:sz w:val="20"/>
          <w:szCs w:val="20"/>
          <w:color w:val="auto"/>
        </w:rPr>
      </w:pPr>
    </w:p>
    <w:p>
      <w:pPr>
        <w:sectPr>
          <w:pgSz w:w="11900" w:h="16838" w:orient="portrait"/>
          <w:cols w:equalWidth="0" w:num="4">
            <w:col w:w="1640" w:space="720"/>
            <w:col w:w="2600" w:space="660"/>
            <w:col w:w="1560" w:space="720"/>
            <w:col w:w="3320"/>
          </w:cols>
          <w:pgMar w:left="340" w:top="688" w:right="3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Print 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323850</wp:posOffset>
            </wp:positionV>
            <wp:extent cx="7127875" cy="3150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27875" cy="31502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1640" w:space="720"/>
            <w:col w:w="8860"/>
          </w:cols>
          <w:pgMar w:left="340" w:top="688"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UTGOING</w:t>
      </w:r>
      <w:r>
        <w:rPr>
          <w:rFonts w:ascii="Arial" w:cs="Arial" w:eastAsia="Arial" w:hAnsi="Arial"/>
          <w:sz w:val="16"/>
          <w:szCs w:val="16"/>
          <w:b w:val="1"/>
          <w:bCs w:val="1"/>
          <w:color w:val="auto"/>
        </w:rPr>
        <w:t xml:space="preserve"> W</w:t>
      </w:r>
      <w:r>
        <w:rPr>
          <w:rFonts w:ascii="Arial" w:cs="Arial" w:eastAsia="Arial" w:hAnsi="Arial"/>
          <w:sz w:val="10"/>
          <w:szCs w:val="10"/>
          <w:b w:val="1"/>
          <w:bCs w:val="1"/>
          <w:color w:val="auto"/>
        </w:rPr>
        <w:t>IRE</w:t>
      </w:r>
      <w:r>
        <w:rPr>
          <w:rFonts w:ascii="Arial" w:cs="Arial" w:eastAsia="Arial" w:hAnsi="Arial"/>
          <w:sz w:val="16"/>
          <w:szCs w:val="16"/>
          <w:b w:val="1"/>
          <w:bCs w:val="1"/>
          <w:color w:val="auto"/>
        </w:rPr>
        <w:t xml:space="preserve"> R</w:t>
      </w:r>
      <w:r>
        <w:rPr>
          <w:rFonts w:ascii="Arial" w:cs="Arial" w:eastAsia="Arial" w:hAnsi="Arial"/>
          <w:sz w:val="10"/>
          <w:szCs w:val="10"/>
          <w:b w:val="1"/>
          <w:bCs w:val="1"/>
          <w:color w:val="auto"/>
        </w:rPr>
        <w:t>EQUEST</w:t>
      </w:r>
      <w:r>
        <w:rPr>
          <w:rFonts w:ascii="Arial" w:cs="Arial" w:eastAsia="Arial" w:hAnsi="Arial"/>
          <w:sz w:val="16"/>
          <w:szCs w:val="16"/>
          <w:b w:val="1"/>
          <w:bCs w:val="1"/>
          <w:color w:val="auto"/>
        </w:rPr>
        <w: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Complete only if all or a portion of funds from the loan advance above is to be wired.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Deadline for same day processing is noon, Eastern Time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520" w:type="dxa"/>
            <w:vAlign w:val="bottom"/>
          </w:tcPr>
          <w:p>
            <w:pPr>
              <w:spacing w:after="0"/>
              <w:rPr>
                <w:sz w:val="20"/>
                <w:szCs w:val="20"/>
                <w:color w:val="auto"/>
              </w:rPr>
            </w:pPr>
            <w:r>
              <w:rPr>
                <w:rFonts w:ascii="Arial" w:cs="Arial" w:eastAsia="Arial" w:hAnsi="Arial"/>
                <w:sz w:val="16"/>
                <w:szCs w:val="16"/>
                <w:color w:val="auto"/>
              </w:rPr>
              <w:t>Beneficiary Name:</w:t>
            </w:r>
          </w:p>
        </w:tc>
        <w:tc>
          <w:tcPr>
            <w:tcW w:w="6000" w:type="dxa"/>
            <w:vAlign w:val="bottom"/>
          </w:tcPr>
          <w:p>
            <w:pPr>
              <w:ind w:left="220"/>
              <w:spacing w:after="0"/>
              <w:rPr>
                <w:sz w:val="20"/>
                <w:szCs w:val="20"/>
                <w:color w:val="auto"/>
              </w:rPr>
            </w:pPr>
            <w:r>
              <w:rPr>
                <w:rFonts w:ascii="Arial" w:cs="Arial" w:eastAsia="Arial" w:hAnsi="Arial"/>
                <w:sz w:val="16"/>
                <w:szCs w:val="16"/>
                <w:color w:val="auto"/>
              </w:rPr>
              <w:t>_____________________________Amount of Wire: $</w:t>
            </w:r>
          </w:p>
        </w:tc>
        <w:tc>
          <w:tcPr>
            <w:tcW w:w="2640" w:type="dxa"/>
            <w:vAlign w:val="bottom"/>
          </w:tcPr>
          <w:p>
            <w:pPr>
              <w:jc w:val="right"/>
              <w:spacing w:after="0"/>
              <w:rPr>
                <w:sz w:val="20"/>
                <w:szCs w:val="20"/>
                <w:color w:val="auto"/>
              </w:rPr>
            </w:pPr>
            <w:r>
              <w:rPr>
                <w:rFonts w:ascii="Arial" w:cs="Arial" w:eastAsia="Arial" w:hAnsi="Arial"/>
                <w:sz w:val="16"/>
                <w:szCs w:val="16"/>
                <w:color w:val="auto"/>
              </w:rPr>
              <w:t>_____________________________</w:t>
            </w: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Beneficiary Bank:</w:t>
            </w:r>
          </w:p>
        </w:tc>
        <w:tc>
          <w:tcPr>
            <w:tcW w:w="6000" w:type="dxa"/>
            <w:vAlign w:val="bottom"/>
          </w:tcPr>
          <w:p>
            <w:pPr>
              <w:ind w:left="220"/>
              <w:spacing w:after="0"/>
              <w:rPr>
                <w:sz w:val="20"/>
                <w:szCs w:val="20"/>
                <w:color w:val="auto"/>
              </w:rPr>
            </w:pPr>
            <w:r>
              <w:rPr>
                <w:rFonts w:ascii="Arial" w:cs="Arial" w:eastAsia="Arial" w:hAnsi="Arial"/>
                <w:sz w:val="16"/>
                <w:szCs w:val="16"/>
                <w:color w:val="auto"/>
              </w:rPr>
              <w:t>_____________________________Account Number:</w:t>
            </w:r>
          </w:p>
        </w:tc>
        <w:tc>
          <w:tcPr>
            <w:tcW w:w="2640" w:type="dxa"/>
            <w:vAlign w:val="bottom"/>
          </w:tcPr>
          <w:p>
            <w:pPr>
              <w:jc w:val="right"/>
              <w:spacing w:after="0"/>
              <w:rPr>
                <w:sz w:val="20"/>
                <w:szCs w:val="20"/>
                <w:color w:val="auto"/>
              </w:rPr>
            </w:pPr>
            <w:r>
              <w:rPr>
                <w:rFonts w:ascii="Arial" w:cs="Arial" w:eastAsia="Arial" w:hAnsi="Arial"/>
                <w:sz w:val="16"/>
                <w:szCs w:val="16"/>
                <w:color w:val="auto"/>
              </w:rPr>
              <w:t>_____________________________</w:t>
            </w:r>
          </w:p>
        </w:tc>
      </w:tr>
      <w:tr>
        <w:trPr>
          <w:trHeight w:val="206"/>
        </w:trPr>
        <w:tc>
          <w:tcPr>
            <w:tcW w:w="2520" w:type="dxa"/>
            <w:vAlign w:val="bottom"/>
          </w:tcPr>
          <w:p>
            <w:pPr>
              <w:spacing w:after="0"/>
              <w:rPr>
                <w:sz w:val="20"/>
                <w:szCs w:val="20"/>
                <w:color w:val="auto"/>
              </w:rPr>
            </w:pPr>
            <w:r>
              <w:rPr>
                <w:rFonts w:ascii="Arial" w:cs="Arial" w:eastAsia="Arial" w:hAnsi="Arial"/>
                <w:sz w:val="16"/>
                <w:szCs w:val="16"/>
                <w:color w:val="auto"/>
              </w:rPr>
              <w:t>City and State:</w:t>
            </w:r>
          </w:p>
        </w:tc>
        <w:tc>
          <w:tcPr>
            <w:tcW w:w="6000" w:type="dxa"/>
            <w:vAlign w:val="bottom"/>
          </w:tcPr>
          <w:p>
            <w:pPr>
              <w:ind w:left="220"/>
              <w:spacing w:after="0"/>
              <w:rPr>
                <w:sz w:val="20"/>
                <w:szCs w:val="20"/>
                <w:color w:val="auto"/>
              </w:rPr>
            </w:pPr>
            <w:r>
              <w:rPr>
                <w:rFonts w:ascii="Arial" w:cs="Arial" w:eastAsia="Arial" w:hAnsi="Arial"/>
                <w:sz w:val="16"/>
                <w:szCs w:val="16"/>
                <w:color w:val="auto"/>
              </w:rPr>
              <w:t>_____________________________</w:t>
            </w:r>
          </w:p>
        </w:tc>
        <w:tc>
          <w:tcPr>
            <w:tcW w:w="2640" w:type="dxa"/>
            <w:vAlign w:val="bottom"/>
          </w:tcPr>
          <w:p>
            <w:pPr>
              <w:spacing w:after="0"/>
              <w:rPr>
                <w:sz w:val="17"/>
                <w:szCs w:val="17"/>
                <w:color w:val="auto"/>
              </w:rPr>
            </w:pPr>
          </w:p>
        </w:tc>
      </w:tr>
      <w:tr>
        <w:trPr>
          <w:trHeight w:val="397"/>
        </w:trPr>
        <w:tc>
          <w:tcPr>
            <w:tcW w:w="2520" w:type="dxa"/>
            <w:vAlign w:val="bottom"/>
          </w:tcPr>
          <w:p>
            <w:pPr>
              <w:spacing w:after="0"/>
              <w:rPr>
                <w:sz w:val="20"/>
                <w:szCs w:val="20"/>
                <w:color w:val="auto"/>
              </w:rPr>
            </w:pPr>
            <w:r>
              <w:rPr>
                <w:rFonts w:ascii="Arial" w:cs="Arial" w:eastAsia="Arial" w:hAnsi="Arial"/>
                <w:sz w:val="16"/>
                <w:szCs w:val="16"/>
                <w:color w:val="auto"/>
              </w:rPr>
              <w:t>Beneficiary Bank Transit (ABA) #:</w:t>
            </w:r>
          </w:p>
        </w:tc>
        <w:tc>
          <w:tcPr>
            <w:tcW w:w="6000" w:type="dxa"/>
            <w:vAlign w:val="bottom"/>
          </w:tcPr>
          <w:p>
            <w:pPr>
              <w:ind w:left="220"/>
              <w:spacing w:after="0"/>
              <w:rPr>
                <w:sz w:val="20"/>
                <w:szCs w:val="20"/>
                <w:color w:val="auto"/>
              </w:rPr>
            </w:pPr>
            <w:r>
              <w:rPr>
                <w:rFonts w:ascii="Arial" w:cs="Arial" w:eastAsia="Arial" w:hAnsi="Arial"/>
                <w:sz w:val="16"/>
                <w:szCs w:val="16"/>
                <w:color w:val="auto"/>
                <w:w w:val="97"/>
              </w:rPr>
              <w:t>_____________________________Beneficiary Bank Code (Swift, Sort, Chip, etc.):</w:t>
            </w:r>
          </w:p>
        </w:tc>
        <w:tc>
          <w:tcPr>
            <w:tcW w:w="2640" w:type="dxa"/>
            <w:vAlign w:val="bottom"/>
          </w:tcPr>
          <w:p>
            <w:pPr>
              <w:jc w:val="right"/>
              <w:spacing w:after="0"/>
              <w:rPr>
                <w:sz w:val="20"/>
                <w:szCs w:val="20"/>
                <w:color w:val="auto"/>
              </w:rPr>
            </w:pPr>
            <w:r>
              <w:rPr>
                <w:rFonts w:ascii="Arial" w:cs="Arial" w:eastAsia="Arial" w:hAnsi="Arial"/>
                <w:sz w:val="16"/>
                <w:szCs w:val="16"/>
                <w:color w:val="auto"/>
              </w:rPr>
              <w:t>_____________________________</w:t>
            </w:r>
          </w:p>
        </w:tc>
      </w:tr>
      <w:tr>
        <w:trPr>
          <w:trHeight w:val="210"/>
        </w:trPr>
        <w:tc>
          <w:tcPr>
            <w:tcW w:w="2520" w:type="dxa"/>
            <w:vAlign w:val="bottom"/>
          </w:tcPr>
          <w:p>
            <w:pPr>
              <w:spacing w:after="0"/>
              <w:rPr>
                <w:sz w:val="18"/>
                <w:szCs w:val="18"/>
                <w:color w:val="auto"/>
              </w:rPr>
            </w:pPr>
          </w:p>
        </w:tc>
        <w:tc>
          <w:tcPr>
            <w:tcW w:w="6000" w:type="dxa"/>
            <w:vAlign w:val="bottom"/>
          </w:tcPr>
          <w:p>
            <w:pPr>
              <w:ind w:left="2580"/>
              <w:spacing w:after="0"/>
              <w:rPr>
                <w:sz w:val="20"/>
                <w:szCs w:val="20"/>
                <w:color w:val="auto"/>
              </w:rPr>
            </w:pPr>
            <w:r>
              <w:rPr>
                <w:rFonts w:ascii="Arial" w:cs="Arial" w:eastAsia="Arial" w:hAnsi="Arial"/>
                <w:sz w:val="16"/>
                <w:szCs w:val="16"/>
                <w:b w:val="1"/>
                <w:bCs w:val="1"/>
                <w:color w:val="auto"/>
              </w:rPr>
              <w:t>(For International Wire Only)</w:t>
            </w:r>
          </w:p>
        </w:tc>
        <w:tc>
          <w:tcPr>
            <w:tcW w:w="2640" w:type="dxa"/>
            <w:vAlign w:val="bottom"/>
          </w:tcPr>
          <w:p>
            <w:pPr>
              <w:spacing w:after="0"/>
              <w:rPr>
                <w:sz w:val="18"/>
                <w:szCs w:val="18"/>
                <w:color w:val="auto"/>
              </w:rPr>
            </w:pPr>
          </w:p>
        </w:tc>
      </w:tr>
      <w:tr>
        <w:trPr>
          <w:trHeight w:val="401"/>
        </w:trPr>
        <w:tc>
          <w:tcPr>
            <w:tcW w:w="2520" w:type="dxa"/>
            <w:vAlign w:val="bottom"/>
          </w:tcPr>
          <w:p>
            <w:pPr>
              <w:spacing w:after="0"/>
              <w:rPr>
                <w:sz w:val="20"/>
                <w:szCs w:val="20"/>
                <w:color w:val="auto"/>
              </w:rPr>
            </w:pPr>
            <w:r>
              <w:rPr>
                <w:rFonts w:ascii="Arial" w:cs="Arial" w:eastAsia="Arial" w:hAnsi="Arial"/>
                <w:sz w:val="16"/>
                <w:szCs w:val="16"/>
                <w:color w:val="auto"/>
              </w:rPr>
              <w:t>Intermediary Bank:</w:t>
            </w:r>
          </w:p>
        </w:tc>
        <w:tc>
          <w:tcPr>
            <w:tcW w:w="6000" w:type="dxa"/>
            <w:vAlign w:val="bottom"/>
          </w:tcPr>
          <w:p>
            <w:pPr>
              <w:ind w:left="220"/>
              <w:spacing w:after="0"/>
              <w:rPr>
                <w:sz w:val="20"/>
                <w:szCs w:val="20"/>
                <w:color w:val="auto"/>
              </w:rPr>
            </w:pPr>
            <w:r>
              <w:rPr>
                <w:rFonts w:ascii="Arial" w:cs="Arial" w:eastAsia="Arial" w:hAnsi="Arial"/>
                <w:sz w:val="16"/>
                <w:szCs w:val="16"/>
                <w:color w:val="auto"/>
              </w:rPr>
              <w:t>_____________________________Transit (ABA) #:</w:t>
            </w:r>
          </w:p>
        </w:tc>
        <w:tc>
          <w:tcPr>
            <w:tcW w:w="2640" w:type="dxa"/>
            <w:vAlign w:val="bottom"/>
          </w:tcPr>
          <w:p>
            <w:pPr>
              <w:jc w:val="right"/>
              <w:spacing w:after="0"/>
              <w:rPr>
                <w:sz w:val="20"/>
                <w:szCs w:val="20"/>
                <w:color w:val="auto"/>
              </w:rPr>
            </w:pPr>
            <w:r>
              <w:rPr>
                <w:rFonts w:ascii="Arial" w:cs="Arial" w:eastAsia="Arial" w:hAnsi="Arial"/>
                <w:sz w:val="16"/>
                <w:szCs w:val="16"/>
                <w:color w:val="auto"/>
              </w:rPr>
              <w:t>_____________________________</w:t>
            </w:r>
          </w:p>
        </w:tc>
      </w:tr>
      <w:tr>
        <w:trPr>
          <w:trHeight w:val="206"/>
        </w:trPr>
        <w:tc>
          <w:tcPr>
            <w:tcW w:w="2520" w:type="dxa"/>
            <w:vAlign w:val="bottom"/>
          </w:tcPr>
          <w:p>
            <w:pPr>
              <w:spacing w:after="0"/>
              <w:rPr>
                <w:sz w:val="20"/>
                <w:szCs w:val="20"/>
                <w:color w:val="auto"/>
              </w:rPr>
            </w:pPr>
            <w:r>
              <w:rPr>
                <w:rFonts w:ascii="Arial" w:cs="Arial" w:eastAsia="Arial" w:hAnsi="Arial"/>
                <w:sz w:val="16"/>
                <w:szCs w:val="16"/>
                <w:color w:val="auto"/>
              </w:rPr>
              <w:t>For Further Credit to:</w:t>
            </w:r>
          </w:p>
        </w:tc>
        <w:tc>
          <w:tcPr>
            <w:tcW w:w="8640" w:type="dxa"/>
            <w:vAlign w:val="bottom"/>
            <w:gridSpan w:val="2"/>
          </w:tcPr>
          <w:p>
            <w:pPr>
              <w:ind w:left="220"/>
              <w:spacing w:after="0"/>
              <w:rPr>
                <w:sz w:val="20"/>
                <w:szCs w:val="20"/>
                <w:color w:val="auto"/>
              </w:rPr>
            </w:pPr>
            <w:r>
              <w:rPr>
                <w:rFonts w:ascii="Arial" w:cs="Arial" w:eastAsia="Arial" w:hAnsi="Arial"/>
                <w:sz w:val="16"/>
                <w:szCs w:val="16"/>
                <w:color w:val="auto"/>
              </w:rPr>
              <w:t>______________________________________________________________________________</w:t>
            </w:r>
          </w:p>
        </w:tc>
      </w:tr>
      <w:tr>
        <w:trPr>
          <w:trHeight w:val="405"/>
        </w:trPr>
        <w:tc>
          <w:tcPr>
            <w:tcW w:w="2520" w:type="dxa"/>
            <w:vAlign w:val="bottom"/>
          </w:tcPr>
          <w:p>
            <w:pPr>
              <w:spacing w:after="0"/>
              <w:rPr>
                <w:sz w:val="20"/>
                <w:szCs w:val="20"/>
                <w:color w:val="auto"/>
              </w:rPr>
            </w:pPr>
            <w:r>
              <w:rPr>
                <w:rFonts w:ascii="Arial" w:cs="Arial" w:eastAsia="Arial" w:hAnsi="Arial"/>
                <w:sz w:val="16"/>
                <w:szCs w:val="16"/>
                <w:color w:val="auto"/>
              </w:rPr>
              <w:t>Special Instruction:</w:t>
            </w:r>
          </w:p>
        </w:tc>
        <w:tc>
          <w:tcPr>
            <w:tcW w:w="8640" w:type="dxa"/>
            <w:vAlign w:val="bottom"/>
            <w:gridSpan w:val="2"/>
          </w:tcPr>
          <w:p>
            <w:pPr>
              <w:ind w:left="220"/>
              <w:spacing w:after="0"/>
              <w:rPr>
                <w:sz w:val="20"/>
                <w:szCs w:val="20"/>
                <w:color w:val="auto"/>
              </w:rPr>
            </w:pPr>
            <w:r>
              <w:rPr>
                <w:rFonts w:ascii="Arial" w:cs="Arial" w:eastAsia="Arial" w:hAnsi="Arial"/>
                <w:sz w:val="16"/>
                <w:szCs w:val="16"/>
                <w:color w:val="auto"/>
              </w:rPr>
              <w:t>______________________________________________________________________________</w:t>
            </w:r>
          </w:p>
        </w:tc>
      </w:tr>
    </w:tbl>
    <w:p>
      <w:pPr>
        <w:spacing w:after="0" w:line="199" w:lineRule="exact"/>
        <w:rPr>
          <w:sz w:val="20"/>
          <w:szCs w:val="20"/>
          <w:color w:val="auto"/>
        </w:rPr>
      </w:pPr>
    </w:p>
    <w:p>
      <w:pPr>
        <w:jc w:val="both"/>
        <w:ind w:left="20" w:right="40"/>
        <w:spacing w:after="0" w:line="281"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528"/>
        </w:trPr>
        <w:tc>
          <w:tcPr>
            <w:tcW w:w="1620" w:type="dxa"/>
            <w:vAlign w:val="bottom"/>
          </w:tcPr>
          <w:p>
            <w:pPr>
              <w:ind w:left="20"/>
              <w:spacing w:after="0"/>
              <w:rPr>
                <w:sz w:val="20"/>
                <w:szCs w:val="20"/>
                <w:color w:val="auto"/>
              </w:rPr>
            </w:pPr>
            <w:r>
              <w:rPr>
                <w:rFonts w:ascii="Arial" w:cs="Arial" w:eastAsia="Arial" w:hAnsi="Arial"/>
                <w:sz w:val="16"/>
                <w:szCs w:val="16"/>
                <w:color w:val="auto"/>
              </w:rPr>
              <w:t>Authorized Signature:</w:t>
            </w:r>
          </w:p>
        </w:tc>
        <w:tc>
          <w:tcPr>
            <w:tcW w:w="6520" w:type="dxa"/>
            <w:vAlign w:val="bottom"/>
            <w:gridSpan w:val="3"/>
          </w:tcPr>
          <w:p>
            <w:pPr>
              <w:ind w:left="1720"/>
              <w:spacing w:after="0"/>
              <w:rPr>
                <w:sz w:val="20"/>
                <w:szCs w:val="20"/>
                <w:color w:val="auto"/>
              </w:rPr>
            </w:pPr>
            <w:r>
              <w:rPr>
                <w:rFonts w:ascii="Arial" w:cs="Arial" w:eastAsia="Arial" w:hAnsi="Arial"/>
                <w:sz w:val="16"/>
                <w:szCs w:val="16"/>
                <w:color w:val="auto"/>
                <w:w w:val="94"/>
              </w:rPr>
              <w:t>_____________________________</w:t>
            </w:r>
            <w:r>
              <w:rPr>
                <w:rFonts w:ascii="Arial" w:cs="Arial" w:eastAsia="Arial" w:hAnsi="Arial"/>
                <w:sz w:val="32"/>
                <w:szCs w:val="32"/>
                <w:color w:val="auto"/>
                <w:w w:val="94"/>
                <w:vertAlign w:val="subscript"/>
              </w:rPr>
              <w:t>2</w:t>
            </w:r>
            <w:r>
              <w:rPr>
                <w:rFonts w:ascii="Arial" w:cs="Arial" w:eastAsia="Arial" w:hAnsi="Arial"/>
                <w:sz w:val="26"/>
                <w:szCs w:val="26"/>
                <w:color w:val="auto"/>
                <w:w w:val="94"/>
                <w:vertAlign w:val="superscript"/>
              </w:rPr>
              <w:t>nd</w:t>
            </w:r>
            <w:r>
              <w:rPr>
                <w:rFonts w:ascii="Arial" w:cs="Arial" w:eastAsia="Arial" w:hAnsi="Arial"/>
                <w:sz w:val="16"/>
                <w:szCs w:val="16"/>
                <w:color w:val="auto"/>
                <w:w w:val="94"/>
              </w:rPr>
              <w:t xml:space="preserve"> </w:t>
            </w:r>
            <w:r>
              <w:rPr>
                <w:rFonts w:ascii="Arial" w:cs="Arial" w:eastAsia="Arial" w:hAnsi="Arial"/>
                <w:sz w:val="32"/>
                <w:szCs w:val="32"/>
                <w:color w:val="auto"/>
                <w:w w:val="94"/>
                <w:vertAlign w:val="subscript"/>
              </w:rPr>
              <w:t>Signature (if required):</w:t>
            </w:r>
          </w:p>
        </w:tc>
        <w:tc>
          <w:tcPr>
            <w:tcW w:w="3080" w:type="dxa"/>
            <w:vAlign w:val="bottom"/>
          </w:tcPr>
          <w:p>
            <w:pPr>
              <w:jc w:val="right"/>
              <w:spacing w:after="0"/>
              <w:rPr>
                <w:sz w:val="20"/>
                <w:szCs w:val="20"/>
                <w:color w:val="auto"/>
              </w:rPr>
            </w:pPr>
            <w:r>
              <w:rPr>
                <w:rFonts w:ascii="Arial" w:cs="Arial" w:eastAsia="Arial" w:hAnsi="Arial"/>
                <w:sz w:val="16"/>
                <w:szCs w:val="16"/>
                <w:color w:val="auto"/>
              </w:rPr>
              <w:t>_____________________________</w:t>
            </w:r>
          </w:p>
        </w:tc>
      </w:tr>
      <w:tr>
        <w:trPr>
          <w:trHeight w:val="107"/>
        </w:trPr>
        <w:tc>
          <w:tcPr>
            <w:tcW w:w="16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gridSpan w:val="2"/>
          </w:tcPr>
          <w:p>
            <w:pPr>
              <w:spacing w:after="0"/>
              <w:rPr>
                <w:sz w:val="9"/>
                <w:szCs w:val="9"/>
                <w:color w:val="auto"/>
              </w:rPr>
            </w:pPr>
          </w:p>
        </w:tc>
      </w:tr>
      <w:tr>
        <w:trPr>
          <w:trHeight w:val="223"/>
        </w:trPr>
        <w:tc>
          <w:tcPr>
            <w:tcW w:w="16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2"/>
          </w:tcPr>
          <w:p>
            <w:pPr>
              <w:spacing w:after="0"/>
              <w:rPr>
                <w:sz w:val="19"/>
                <w:szCs w:val="19"/>
                <w:color w:val="auto"/>
              </w:rPr>
            </w:pPr>
          </w:p>
        </w:tc>
      </w:tr>
      <w:tr>
        <w:trPr>
          <w:trHeight w:val="399"/>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Print Name/Title:</w:t>
            </w:r>
          </w:p>
        </w:tc>
        <w:tc>
          <w:tcPr>
            <w:tcW w:w="3280" w:type="dxa"/>
            <w:vAlign w:val="bottom"/>
          </w:tcPr>
          <w:p>
            <w:pPr>
              <w:jc w:val="right"/>
              <w:ind w:right="599"/>
              <w:spacing w:after="0"/>
              <w:rPr>
                <w:sz w:val="20"/>
                <w:szCs w:val="20"/>
                <w:color w:val="auto"/>
              </w:rPr>
            </w:pPr>
            <w:r>
              <w:rPr>
                <w:rFonts w:ascii="Arial" w:cs="Arial" w:eastAsia="Arial" w:hAnsi="Arial"/>
                <w:sz w:val="16"/>
                <w:szCs w:val="16"/>
                <w:color w:val="auto"/>
                <w:w w:val="96"/>
              </w:rPr>
              <w:t>______________________________</w:t>
            </w:r>
          </w:p>
        </w:tc>
        <w:tc>
          <w:tcPr>
            <w:tcW w:w="2140" w:type="dxa"/>
            <w:vAlign w:val="bottom"/>
          </w:tcPr>
          <w:p>
            <w:pPr>
              <w:ind w:left="680"/>
              <w:spacing w:after="0"/>
              <w:rPr>
                <w:sz w:val="20"/>
                <w:szCs w:val="20"/>
                <w:color w:val="auto"/>
              </w:rPr>
            </w:pPr>
            <w:r>
              <w:rPr>
                <w:rFonts w:ascii="Arial" w:cs="Arial" w:eastAsia="Arial" w:hAnsi="Arial"/>
                <w:sz w:val="16"/>
                <w:szCs w:val="16"/>
                <w:color w:val="auto"/>
              </w:rPr>
              <w:t>Print Name/Title:</w:t>
            </w:r>
          </w:p>
        </w:tc>
        <w:tc>
          <w:tcPr>
            <w:tcW w:w="4180" w:type="dxa"/>
            <w:vAlign w:val="bottom"/>
            <w:tcBorders>
              <w:right w:val="single" w:sz="8" w:color="auto"/>
            </w:tcBorders>
            <w:gridSpan w:val="2"/>
          </w:tcPr>
          <w:p>
            <w:pPr>
              <w:jc w:val="right"/>
              <w:ind w:right="1359"/>
              <w:spacing w:after="0"/>
              <w:rPr>
                <w:sz w:val="20"/>
                <w:szCs w:val="20"/>
                <w:color w:val="auto"/>
              </w:rPr>
            </w:pPr>
            <w:r>
              <w:rPr>
                <w:rFonts w:ascii="Arial" w:cs="Arial" w:eastAsia="Arial" w:hAnsi="Arial"/>
                <w:sz w:val="16"/>
                <w:szCs w:val="16"/>
                <w:color w:val="auto"/>
              </w:rPr>
              <w:t>______________________________</w:t>
            </w:r>
          </w:p>
        </w:tc>
      </w:tr>
      <w:tr>
        <w:trPr>
          <w:trHeight w:val="206"/>
        </w:trPr>
        <w:tc>
          <w:tcPr>
            <w:tcW w:w="16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Telephone #:</w:t>
            </w:r>
          </w:p>
        </w:tc>
        <w:tc>
          <w:tcPr>
            <w:tcW w:w="3280" w:type="dxa"/>
            <w:vAlign w:val="bottom"/>
          </w:tcPr>
          <w:p>
            <w:pPr>
              <w:jc w:val="right"/>
              <w:ind w:right="599"/>
              <w:spacing w:after="0"/>
              <w:rPr>
                <w:sz w:val="20"/>
                <w:szCs w:val="20"/>
                <w:color w:val="auto"/>
              </w:rPr>
            </w:pPr>
            <w:r>
              <w:rPr>
                <w:rFonts w:ascii="Arial" w:cs="Arial" w:eastAsia="Arial" w:hAnsi="Arial"/>
                <w:sz w:val="16"/>
                <w:szCs w:val="16"/>
                <w:color w:val="auto"/>
                <w:w w:val="96"/>
              </w:rPr>
              <w:t>______________________________</w:t>
            </w:r>
          </w:p>
        </w:tc>
        <w:tc>
          <w:tcPr>
            <w:tcW w:w="2140" w:type="dxa"/>
            <w:vAlign w:val="bottom"/>
          </w:tcPr>
          <w:p>
            <w:pPr>
              <w:ind w:left="680"/>
              <w:spacing w:after="0"/>
              <w:rPr>
                <w:sz w:val="20"/>
                <w:szCs w:val="20"/>
                <w:color w:val="auto"/>
              </w:rPr>
            </w:pPr>
            <w:r>
              <w:rPr>
                <w:rFonts w:ascii="Arial" w:cs="Arial" w:eastAsia="Arial" w:hAnsi="Arial"/>
                <w:sz w:val="16"/>
                <w:szCs w:val="16"/>
                <w:color w:val="auto"/>
              </w:rPr>
              <w:t>Telephone #:</w:t>
            </w:r>
          </w:p>
        </w:tc>
        <w:tc>
          <w:tcPr>
            <w:tcW w:w="4180" w:type="dxa"/>
            <w:vAlign w:val="bottom"/>
            <w:tcBorders>
              <w:right w:val="single" w:sz="8" w:color="auto"/>
            </w:tcBorders>
            <w:gridSpan w:val="2"/>
          </w:tcPr>
          <w:p>
            <w:pPr>
              <w:jc w:val="right"/>
              <w:ind w:right="1359"/>
              <w:spacing w:after="0"/>
              <w:rPr>
                <w:sz w:val="20"/>
                <w:szCs w:val="20"/>
                <w:color w:val="auto"/>
              </w:rPr>
            </w:pPr>
            <w:r>
              <w:rPr>
                <w:rFonts w:ascii="Arial" w:cs="Arial" w:eastAsia="Arial" w:hAnsi="Arial"/>
                <w:sz w:val="16"/>
                <w:szCs w:val="16"/>
                <w:color w:val="auto"/>
              </w:rPr>
              <w:t>______________________________</w:t>
            </w:r>
          </w:p>
        </w:tc>
      </w:tr>
      <w:tr>
        <w:trPr>
          <w:trHeight w:val="212"/>
        </w:trPr>
        <w:tc>
          <w:tcPr>
            <w:tcW w:w="16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spacing w:after="0"/>
              <w:rPr>
                <w:sz w:val="18"/>
                <w:szCs w:val="18"/>
                <w:color w:val="auto"/>
              </w:rPr>
            </w:pPr>
          </w:p>
        </w:tc>
      </w:tr>
    </w:tbl>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SVB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2021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lowerLetter"/>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lowerRoman"/>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lvl w:ilvl="1">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1"/>
      <w:numFmt w:val="upperLetter"/>
      <w:start w:val="6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lvl w:ilvl="1">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lowerLetter"/>
      <w:start w:val="1"/>
    </w:lvl>
  </w:abstractNum>
  <w:abstractNum w:abstractNumId="24">
    <w:nsid w:val="7644A45C"/>
    <w:multiLevelType w:val="hybridMultilevel"/>
    <w:lvl w:ilvl="0">
      <w:lvlJc w:val="left"/>
      <w:lvlText w:val="%1)"/>
      <w:numFmt w:val="lowerLetter"/>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Letter"/>
      <w:start w:val="1"/>
    </w:lvl>
    <w:lvl w:ilvl="1">
      <w:lvlJc w:val="left"/>
      <w:lvlText w:val="(%2)"/>
      <w:numFmt w:val="lowerRoman"/>
      <w:start w:val="1"/>
    </w:lvl>
  </w:abstractNum>
  <w:abstractNum w:abstractNumId="30">
    <w:nsid w:val="1BA026FA"/>
    <w:multiLevelType w:val="hybridMultilevel"/>
    <w:lvl w:ilvl="0">
      <w:lvlJc w:val="left"/>
      <w:lvlText w:val="(%1)"/>
      <w:numFmt w:val="lowerLetter"/>
      <w:start w:val="3"/>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lowerLetter"/>
      <w:start w:val="1"/>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lowerLetter"/>
      <w:start w:val="1"/>
    </w:lvl>
    <w:lvl w:ilvl="1">
      <w:lvlJc w:val="left"/>
      <w:lvlText w:val="(%2)"/>
      <w:numFmt w:val="lowerLetter"/>
      <w:start w:val="1"/>
    </w:lvl>
  </w:abstractNum>
  <w:abstractNum w:abstractNumId="37">
    <w:nsid w:val="4F4EF005"/>
    <w:multiLevelType w:val="hybridMultilevel"/>
    <w:lvl w:ilvl="0">
      <w:lvlJc w:val="left"/>
      <w:lvlText w:val="(%1)"/>
      <w:numFmt w:val="lowerLetter"/>
      <w:start w:val="35"/>
    </w:lvl>
    <w:lvl w:ilvl="1">
      <w:lvlJc w:val="left"/>
      <w:lvlText w:val="(%2)"/>
      <w:numFmt w:val="lowerLetter"/>
      <w:start w:val="4"/>
    </w:lvl>
  </w:abstractNum>
  <w:abstractNum w:abstractNumId="38">
    <w:nsid w:val="23F9C13C"/>
    <w:multiLevelType w:val="hybridMultilevel"/>
    <w:lvl w:ilvl="0">
      <w:lvlJc w:val="left"/>
      <w:lvlText w:val="(%1)"/>
      <w:numFmt w:val="lowerLetter"/>
      <w:start w:val="7"/>
    </w:lvl>
  </w:abstractNum>
  <w:abstractNum w:abstractNumId="39">
    <w:nsid w:val="649BB77C"/>
    <w:multiLevelType w:val="hybridMultilevel"/>
    <w:lvl w:ilvl="0">
      <w:lvlJc w:val="left"/>
      <w:lvlText w:val="(%1)"/>
      <w:numFmt w:val="lowerLetter"/>
      <w:start w:val="2"/>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lowerLetter"/>
      <w:start w:val="1"/>
    </w:lvl>
  </w:abstractNum>
  <w:abstractNum w:abstractNumId="42">
    <w:nsid w:val="1CF10FD8"/>
    <w:multiLevelType w:val="hybridMultilevel"/>
    <w:lvl w:ilvl="0">
      <w:lvlJc w:val="left"/>
      <w:lvlText w:val="(%1)"/>
      <w:numFmt w:val="lowerLetter"/>
      <w:start w:val="1"/>
    </w:lvl>
  </w:abstractNum>
  <w:abstractNum w:abstractNumId="43">
    <w:nsid w:val="180115BE"/>
    <w:multiLevelType w:val="hybridMultilevel"/>
    <w:lvl w:ilvl="0">
      <w:lvlJc w:val="left"/>
      <w:lvlText w:val="%1"/>
      <w:numFmt w:val="lowerLetter"/>
      <w:start w:val="1"/>
    </w:lvl>
    <w:lvl w:ilvl="1">
      <w:lvlJc w:val="left"/>
      <w:lvlText w:val="(%2)"/>
      <w:numFmt w:val="lowerLetter"/>
      <w:start w:val="1"/>
    </w:lvl>
  </w:abstractNum>
  <w:abstractNum w:abstractNumId="44">
    <w:nsid w:val="235BA861"/>
    <w:multiLevelType w:val="hybridMultilevel"/>
    <w:lvl w:ilvl="0">
      <w:lvlJc w:val="left"/>
      <w:lvlText w:val="(%1)"/>
      <w:numFmt w:val="lowerLetter"/>
      <w:start w:val="2"/>
    </w:lvl>
    <w:lvl w:ilvl="1">
      <w:lvlJc w:val="left"/>
      <w:lvlText w:val="(%2)"/>
      <w:numFmt w:val="lowerLetter"/>
      <w:start w:val="2"/>
    </w:lvl>
  </w:abstractNum>
  <w:abstractNum w:abstractNumId="45">
    <w:nsid w:val="47398C89"/>
    <w:multiLevelType w:val="hybridMultilevel"/>
    <w:lvl w:ilvl="0">
      <w:lvlJc w:val="left"/>
      <w:lvlText w:val="(%1)"/>
      <w:numFmt w:val="lowerLetter"/>
      <w:start w:val="3"/>
    </w:lvl>
    <w:lvl w:ilvl="1">
      <w:lvlJc w:val="left"/>
      <w:lvlText w:val="(%2)"/>
      <w:numFmt w:val="lowerLetter"/>
      <w:start w:val="1"/>
    </w:lvl>
  </w:abstractNum>
  <w:abstractNum w:abstractNumId="46">
    <w:nsid w:val="354FE9F9"/>
    <w:multiLevelType w:val="hybridMultilevel"/>
    <w:lvl w:ilvl="0">
      <w:lvlJc w:val="left"/>
      <w:lvlText w:val="(%1)"/>
      <w:numFmt w:val="lowerLetter"/>
      <w:start w:val="1"/>
    </w:lvl>
  </w:abstractNum>
  <w:abstractNum w:abstractNumId="47">
    <w:nsid w:val="15B5AF5C"/>
    <w:multiLevelType w:val="hybridMultilevel"/>
    <w:lvl w:ilvl="0">
      <w:lvlJc w:val="left"/>
      <w:lvlText w:val="(%1)"/>
      <w:numFmt w:val="lowerLetter"/>
      <w:start w:val="2"/>
    </w:lvl>
  </w:abstractNum>
  <w:abstractNum w:abstractNumId="48">
    <w:nsid w:val="741226BB"/>
    <w:multiLevelType w:val="hybridMultilevel"/>
    <w:lvl w:ilvl="0">
      <w:lvlJc w:val="left"/>
      <w:lvlText w:val="(%1)"/>
      <w:numFmt w:val="lowerLetter"/>
      <w:start w:val="11"/>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lowerLetter"/>
      <w:start w:val="1"/>
    </w:lvl>
  </w:abstractNum>
  <w:abstractNum w:abstractNumId="52">
    <w:nsid w:val="61574095"/>
    <w:multiLevelType w:val="hybridMultilevel"/>
    <w:lvl w:ilvl="0">
      <w:lvlJc w:val="left"/>
      <w:lvlText w:val="(%1)"/>
      <w:numFmt w:val="lowerLetter"/>
      <w:start w:val="2"/>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lowerLetter"/>
      <w:start w:val="2"/>
    </w:lvl>
  </w:abstractNum>
  <w:abstractNum w:abstractNumId="57">
    <w:nsid w:val="5FF87E05"/>
    <w:multiLevelType w:val="hybridMultilevel"/>
    <w:lvl w:ilvl="0">
      <w:lvlJc w:val="left"/>
      <w:lvlText w:val="9"/>
      <w:numFmt w:val="bullet"/>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lowerLetter"/>
      <w:start w:val="1"/>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5"/>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lowerLetter"/>
      <w:start w:val="4"/>
    </w:lvl>
  </w:abstractNum>
  <w:abstractNum w:abstractNumId="65">
    <w:nsid w:val="100F8FCA"/>
    <w:multiLevelType w:val="hybridMultilevel"/>
    <w:lvl w:ilvl="0">
      <w:lvlJc w:val="left"/>
      <w:lvlText w:val="(%1)"/>
      <w:numFmt w:val="lowerLetter"/>
      <w:start w:val="2"/>
    </w:lvl>
  </w:abstractNum>
  <w:abstractNum w:abstractNumId="66">
    <w:nsid w:val="6590700B"/>
    <w:multiLevelType w:val="hybridMultilevel"/>
    <w:lvl w:ilvl="0">
      <w:lvlJc w:val="left"/>
      <w:lvlText w:val="(%1)"/>
      <w:numFmt w:val="lowerLetter"/>
      <w:start w:val="2"/>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56" Type="http://schemas.openxmlformats.org/officeDocument/2006/relationships/hyperlink" Target="https://www.sec.gov/Archives/edgar/data/749647/0001493152210140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2021-11-15T08:09:22Z</dcterms:created>
  <dcterms:modified xsi:type="dcterms:W3CDTF">2021-11-15T08:09:22Z</dcterms:modified>
</cp:coreProperties>
</file>