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61" w:lineRule="exact"/>
        <w:rPr>
          <w:sz w:val="24"/>
          <w:szCs w:val="24"/>
          <w:color w:val="auto"/>
        </w:rPr>
      </w:pPr>
    </w:p>
    <w:p>
      <w:pPr>
        <w:ind w:left="3840" w:right="1560" w:hanging="3107"/>
        <w:spacing w:after="0" w:line="532" w:lineRule="auto"/>
        <w:tabs>
          <w:tab w:leader="none" w:pos="11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2013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CELSION CORPORATION</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478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2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191"/>
        </w:trPr>
        <w:tc>
          <w:tcPr>
            <w:tcW w:w="4780" w:type="dxa"/>
            <w:vAlign w:val="bottom"/>
            <w:tcBorders>
              <w:top w:val="single" w:sz="8" w:color="auto"/>
            </w:tcBorders>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40" w:type="dxa"/>
            <w:vAlign w:val="bottom"/>
          </w:tcPr>
          <w:p>
            <w:pPr>
              <w:spacing w:after="0"/>
              <w:rPr>
                <w:sz w:val="16"/>
                <w:szCs w:val="16"/>
                <w:color w:val="auto"/>
              </w:rPr>
            </w:pPr>
          </w:p>
        </w:tc>
        <w:tc>
          <w:tcPr>
            <w:tcW w:w="4780" w:type="dxa"/>
            <w:vAlign w:val="bottom"/>
            <w:tcBorders>
              <w:top w:val="single" w:sz="8" w:color="auto"/>
            </w:tcBorders>
          </w:tcPr>
          <w:p>
            <w:pPr>
              <w:jc w:val="right"/>
              <w:ind w:right="1110"/>
              <w:spacing w:after="0" w:line="191" w:lineRule="exact"/>
              <w:rPr>
                <w:sz w:val="20"/>
                <w:szCs w:val="20"/>
                <w:color w:val="auto"/>
              </w:rPr>
            </w:pPr>
            <w:r>
              <w:rPr>
                <w:rFonts w:ascii="Times New Roman" w:cs="Times New Roman" w:eastAsia="Times New Roman" w:hAnsi="Times New Roman"/>
                <w:sz w:val="18"/>
                <w:szCs w:val="18"/>
                <w:color w:val="auto"/>
              </w:rPr>
              <w:t>(I.R.S. Employer Identification Number)</w:t>
            </w:r>
          </w:p>
        </w:tc>
      </w:tr>
      <w:tr>
        <w:trPr>
          <w:trHeight w:val="234"/>
        </w:trPr>
        <w:tc>
          <w:tcPr>
            <w:tcW w:w="4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organization)</w:t>
            </w:r>
          </w:p>
        </w:tc>
        <w:tc>
          <w:tcPr>
            <w:tcW w:w="44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997 Lenox Drive, Suite 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Lawrenceville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NJ </w:t>
      </w:r>
      <w:r>
        <w:rPr>
          <w:rFonts w:ascii="Times New Roman" w:cs="Times New Roman" w:eastAsia="Times New Roman" w:hAnsi="Times New Roman"/>
          <w:sz w:val="18"/>
          <w:szCs w:val="18"/>
          <w:b w:val="1"/>
          <w:bCs w:val="1"/>
          <w:u w:val="single" w:color="auto"/>
          <w:color w:val="auto"/>
        </w:rPr>
        <w:t>08648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3743325</wp:posOffset>
            </wp:positionH>
            <wp:positionV relativeFrom="paragraph">
              <wp:posOffset>-19050</wp:posOffset>
            </wp:positionV>
            <wp:extent cx="168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(609) 896-9100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w:t>
      </w:r>
    </w:p>
    <w:p>
      <w:pPr>
        <w:spacing w:after="0" w:line="25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84" w:right="239" w:bottom="1440" w:gutter="0" w:footer="0" w:header="0"/>
        </w:sectPr>
      </w:pPr>
    </w:p>
    <w:p>
      <w:pPr>
        <w:spacing w:after="0" w:line="1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4">
            <w:col w:w="2320" w:space="140"/>
            <w:col w:w="2860" w:space="720"/>
            <w:col w:w="1200" w:space="680"/>
            <w:col w:w="3500"/>
          </w:cols>
          <w:pgMar w:left="240" w:top="684" w:right="239" w:bottom="1440" w:gutter="0" w:footer="0" w:header="0"/>
          <w:type w:val="continuous"/>
        </w:sectPr>
      </w:pPr>
    </w:p>
    <w:p>
      <w:pPr>
        <w:spacing w:after="0" w:line="37"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right="820" w:hanging="338"/>
        <w:spacing w:after="0" w:line="282" w:lineRule="auto"/>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517" w:lineRule="exact"/>
        <w:rPr>
          <w:sz w:val="24"/>
          <w:szCs w:val="24"/>
          <w:color w:val="auto"/>
        </w:rPr>
      </w:pPr>
    </w:p>
    <w:p>
      <w:pPr>
        <w:sectPr>
          <w:pgSz w:w="11900" w:h="16838" w:orient="portrait"/>
          <w:cols w:equalWidth="0" w:num="5">
            <w:col w:w="2240" w:space="80"/>
            <w:col w:w="160" w:space="480"/>
            <w:col w:w="2360" w:space="720"/>
            <w:col w:w="1980" w:space="220"/>
            <w:col w:w="3180"/>
          </w:cols>
          <w:pgMar w:left="240" w:top="68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11, 2013, the Registrant had 13,604,975 shares of Common Stock, $.01 par value per share, outstanding. On October 28, 2013, the Company announced that it effected a 1-for-4.5 reverse stock split of its common stock which was made effective for trading purposes as of the commencement of trading on October 29, 2013. As of that date, each 9 shares of issued and outstanding common stock and equivalents were consolidated into 2 shares of common stock. Immediately prior to the reverse stock split, the Company had 61,226,873 shares of common stock outstanding which consolidated into 13,604,975 shares of the Company’s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QUARTERLY REPORT ON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Balance Sheets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Statements of Operations</w:t>
            </w:r>
          </w:p>
        </w:tc>
        <w:tc>
          <w:tcPr>
            <w:tcW w:w="160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 of Comprehensive Income (Loss)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60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Item</w:t>
            </w:r>
          </w:p>
        </w:tc>
        <w:tc>
          <w:tcPr>
            <w:tcW w:w="7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Risk Factors</w:t>
            </w:r>
          </w:p>
        </w:tc>
        <w:tc>
          <w:tcPr>
            <w:tcW w:w="1600" w:type="dxa"/>
            <w:vAlign w:val="bottom"/>
            <w:shd w:val="clear" w:color="auto" w:fill="CCEEFF"/>
          </w:tcPr>
          <w:p>
            <w:pPr>
              <w:jc w:val="center"/>
              <w:ind w:left="970"/>
              <w:spacing w:after="0" w:line="198"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1A.</w:t>
            </w:r>
          </w:p>
        </w:tc>
        <w:tc>
          <w:tcPr>
            <w:tcW w:w="76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60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7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160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940" w:top="603" w:right="9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 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“Celsion,” “we,” “us,” and “our” refer to Celsion Corporation, a Delaware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Celsion brand and product names, including but not limited to Celsion® and ThermoDox® , contained in this document are trademarks, registered trademarks or service marks of Celsion Corporation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CELSION CORPORATION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4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13,170,412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14,991,488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securities – available for sale, at fair 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8,037,620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Advances and deposits for investigator grants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307,699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46,097,966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23,648,984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(at cost, less accumulated depreciation of $1,149,961 and $924,961, respectively)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Deposits, deferred fees and other assets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Patent licensing fees,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assets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595,313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47,431,754</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25,358,918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5,005,202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4,283,932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payable – non-current portion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3,661,147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18,290,280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13,397,060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 shares authorized; 20,000 and 5,000 shares issued at September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30, 2013 and December 31, 2012 and -0- shares outstanding at September 30, 2013 and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2012, respectively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$0.01 par value; 75,000,000 shares authorized; 13,740,629 and 8,437,267 shares issued at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September 30, 2013 and December 31, 2012 and 13,604,975 and 8,289,507 shares outstanding at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September 30, 2013 and December 31, 2012,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197,082,448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170,957,891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(305,831)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(165,302,674)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(156,263,288)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31,611,349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14,652,369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Treasury stock, at cost (135,654 and 147,760 shares at September 30, 2013 and December 31, 2012,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(2,469,875)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(2,690,511)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respectively)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29,141,474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11,961,858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47,431,754</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25,358,918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40" w:type="dxa"/>
            <w:vAlign w:val="bottom"/>
            <w:tcBorders>
              <w:top w:val="single" w:sz="8" w:color="CCEEFF"/>
            </w:tcBorders>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financial statements</w:t>
            </w: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3"/>
        </w:trPr>
        <w:tc>
          <w:tcPr>
            <w:tcW w:w="8060" w:type="dxa"/>
            <w:vAlign w:val="bottom"/>
            <w:gridSpan w:val="2"/>
          </w:tcPr>
          <w:p>
            <w:pPr>
              <w:jc w:val="center"/>
              <w:ind w:left="327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3" w:right="1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3,539,309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7,494,981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5,028,988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3,658,767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4,959,567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12,523,969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16,930,564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(3,533,767)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(4,959,567)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(12,148,969)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(16,930,564)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from change in valuation of common stock warrant liability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(518,843)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(881,127)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8,141,574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228,227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(171,720)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(519,913)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(1,058,428)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7,847,358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(4,071,521)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(6,017,995)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(4,301,611)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Non-cash deemed dividend from beneficial conversion feature on convertible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(4,601,410)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(4,071,521)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(6,017,995)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(8,903,021)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(18,308,621)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 common shareholders per common share</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b w:val="1"/>
                <w:bCs w:val="1"/>
                <w:color w:val="auto"/>
              </w:rPr>
              <w:t>– basic and diluted</w:t>
            </w:r>
          </w:p>
        </w:tc>
        <w:tc>
          <w:tcPr>
            <w:tcW w:w="40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13,601,800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7,475,958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11,755,611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7,425,072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b w:val="1"/>
                <w:bCs w:val="1"/>
                <w:color w:val="auto"/>
              </w:rPr>
              <w:t>– basic and diluted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(4,071,521)</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(6,017,995)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(4,301,611)</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(18,308,621)</w:t>
            </w:r>
          </w:p>
        </w:tc>
      </w:tr>
      <w:tr>
        <w:trPr>
          <w:trHeight w:val="210"/>
        </w:trPr>
        <w:tc>
          <w:tcPr>
            <w:tcW w:w="5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loss on investment securities recognized in investment income,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(76,146)</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121,030</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investment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260,440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24,364</w:t>
            </w:r>
          </w:p>
        </w:tc>
      </w:tr>
      <w:tr>
        <w:trPr>
          <w:trHeight w:val="20"/>
        </w:trPr>
        <w:tc>
          <w:tcPr>
            <w:tcW w:w="5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184,294</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145,394</w:t>
            </w:r>
          </w:p>
        </w:tc>
      </w:tr>
      <w:tr>
        <w:trPr>
          <w:trHeight w:val="25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(5,833,701</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(4,480,835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(18,163,227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 w:name="page7"/>
    <w:bookmarkEnd w:id="6"/>
    <w:p>
      <w:pPr>
        <w:ind w:left="4660"/>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28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(4,301,611)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(18,308,621)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 included in net loss: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(8,141,574)</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(375,000)</w:t>
            </w:r>
          </w:p>
        </w:tc>
        <w:tc>
          <w:tcPr>
            <w:tcW w:w="5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995,950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shares issued for services and 401(k) matching contribution</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deferred rent liability</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(13,752)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finance charges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received for non-refundable research and development fee</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changes in:</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(29,469)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(90,768)</w:t>
            </w: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2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184,033</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683,575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(6,358,478)</w:t>
            </w: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(16,166,137)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(42,584,990)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18,219,375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Refund of deposit for letter of credit</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(57,494)</w:t>
            </w: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(24,373,109)</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(4,307,737)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preferred stock, net of issuance costs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13,616,442</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15,628,099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options to purchase common stock</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(780,021)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9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28,910,511</w:t>
            </w:r>
          </w:p>
        </w:tc>
        <w:tc>
          <w:tcPr>
            <w:tcW w:w="22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8,646,356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(1,821,076)</w:t>
            </w:r>
          </w:p>
        </w:tc>
        <w:tc>
          <w:tcPr>
            <w:tcW w:w="5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14,991,488</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20,145,854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13,170,412</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2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390,668</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CELSION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2013 AND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Celsion Corporation, referred to herein as “Celsion”, “We”, or “the Company,” a Delaware corporation based in Lawrenceville, New Jersey, is an oncology drug development company focused on improving treatment for those suffering with difficult-to-treat forms of cancer. We are working to develop and commercialize more efficient, effective, targeted chemotherapeutic oncology drugs based on our proprietary heat-activated liposomal technology. Our lead product ThermoDox®, is being tested in human clinical trials for the treatment of primary liver cancer, recurrent chest wall breast cancer and colorectal liver metastases.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financial statements of Celsion have been prepared in accordance with generally accepted accounting principles (GAAP) in the United States for interim financial information and with the instructions to Form 10-Q and Article 10 of Regulation S-X. Certain information and footnote disclosures normally included in financial statements prepared in accordance with GAAP have been condensed or omitted pursuant to such rules and regulations.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financial statements. Operating results for the three and nine month periods ended September 30, 2013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2012 filed on March 18, 2013 and our Amendment No. 1 to the Annual Report on Form 10-K/A filed on April 30, 2013 with the Securities and Exchange Commission.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Events and conditions arising subsequent to the most recent balance sheet date have been evaluated for their possible impact on the financial statements and accompanying notes. On October 28, 2013, the Company effected a reverse stock split of the Company's common stock such that each 4.5 shares of issued common stock were reclassified into one share of common stock. All common stock share and per-share amounts for all periods presented in these financial statements have been adjusted to retroactively reflect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2013, the FASB issued </w:t>
      </w:r>
      <w:r>
        <w:rPr>
          <w:rFonts w:ascii="Times New Roman" w:cs="Times New Roman" w:eastAsia="Times New Roman" w:hAnsi="Times New Roman"/>
          <w:sz w:val="18"/>
          <w:szCs w:val="18"/>
          <w:i w:val="1"/>
          <w:iCs w:val="1"/>
          <w:color w:val="auto"/>
        </w:rPr>
        <w:t>Accounting Standards Update (ASU) No. 2013-02, Comprehensive Income (Topic 220): Reporting of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Reclassified out of Accumulated Other Comprehensive Income </w:t>
      </w:r>
      <w:r>
        <w:rPr>
          <w:rFonts w:ascii="Times New Roman" w:cs="Times New Roman" w:eastAsia="Times New Roman" w:hAnsi="Times New Roman"/>
          <w:sz w:val="18"/>
          <w:szCs w:val="18"/>
          <w:color w:val="auto"/>
        </w:rPr>
        <w:t>, a new standard to improve the reporting of reclassifications out of accumulated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The new standard requires the disclosure of significant amounts reclassified from each component of accumulated other comprehensive income and the income statement line items affected by the reclassification. The standard is effective prospectively for interim and annual periods beginning after December 15, 2012. The adoption of this guidance did not have a material effect on the financial statements on January 1, 2013, the date adopted.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2013, the Company announced that it effected a 1-for-4.5 reverse stock split of its common stock which was made effective for trading purposes as of the commencement of trading on October 29, 2013. Immediately prior to the reverse stock split, the Company had 61,226,873 shares of common stock outstanding which consolidated into 13,604,975 shares of the Company’s common stock. In accordance with </w:t>
      </w:r>
      <w:r>
        <w:rPr>
          <w:rFonts w:ascii="Times New Roman" w:cs="Times New Roman" w:eastAsia="Times New Roman" w:hAnsi="Times New Roman"/>
          <w:sz w:val="18"/>
          <w:szCs w:val="18"/>
          <w:i w:val="1"/>
          <w:iCs w:val="1"/>
          <w:color w:val="auto"/>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No. 2010-01, Equity (Topic 505): Accounting for Distributions to Shareholders with Components of Stock and Cash</w:t>
      </w:r>
      <w:r>
        <w:rPr>
          <w:rFonts w:ascii="Times New Roman" w:cs="Times New Roman" w:eastAsia="Times New Roman" w:hAnsi="Times New Roman"/>
          <w:sz w:val="18"/>
          <w:szCs w:val="18"/>
          <w:color w:val="auto"/>
        </w:rPr>
        <w:t>, the changes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a result of the reverse stock split require the per share components of the current and prior period financial statements presented be based on the new number of shares. Therefore, net loss per common share for the three and nine months ended September 30, 2013 and 2012 reflect post reverse stock split shares.</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2013 and 2012 and the nine months ended September 30, 2013 and 2012, diluted loss per common share was the same as basic loss per common share as all options and warrants that were convertible into shares of the Company’s common stock were excluded from the calculation of diluted earnings per share as their effect would have been anti-dilutive. The total number of shares of common stock issuable upon exercise of warrants and equity awards for the three and nine month periods ended September 30, 2013 and 2012 affected for the October 28, 2013 reverse stock split were 3,939,484 and 3,031,868,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Investment securities available for sale of $32,038,638 and $8,037,620 as of September 30, 2013 and December 31, 2012, respectively, consist of commercial paper and corporate debt securities. They are valued at fair value, with unrealized gains and losses reported as a separate component of Stockholders’ Equity in Accumulated Other Comprehensive Loss.</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bond maturities of the Company’s investment securities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2013</w:t>
            </w:r>
          </w:p>
        </w:tc>
        <w:tc>
          <w:tcPr>
            <w:tcW w:w="240" w:type="dxa"/>
            <w:vAlign w:val="bottom"/>
          </w:tcPr>
          <w:p>
            <w:pPr>
              <w:spacing w:after="0"/>
              <w:rPr>
                <w:sz w:val="20"/>
                <w:szCs w:val="20"/>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bond maturities</w:t>
            </w:r>
          </w:p>
        </w:tc>
        <w:tc>
          <w:tcPr>
            <w:tcW w:w="2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3 months</w:t>
            </w:r>
          </w:p>
        </w:tc>
        <w:tc>
          <w:tcPr>
            <w:tcW w:w="2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19,170,591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19,015,521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3,053,740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Between 3-12 months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13,173,878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13,023,117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5,110,487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5,035,270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32,344,469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32,038,638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8,164,227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8,037,620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378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3" w:right="19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securities with unrealized holding gains and losses and their fair value by investment category and length of time that individual securities have been in a continuous unrealized loss position at September 30, 2013 and December 31, 2012. The Company has reviewed individual securities to determine whether a decline in fair value below the amortizable cost basis is other than temporary.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 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Holding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0" w:type="dxa"/>
            <w:vAlign w:val="bottom"/>
          </w:tcPr>
          <w:p>
            <w:pPr>
              <w:spacing w:after="0"/>
              <w:rPr>
                <w:sz w:val="1"/>
                <w:szCs w:val="1"/>
                <w:color w:val="auto"/>
              </w:rPr>
            </w:pPr>
          </w:p>
        </w:tc>
      </w:tr>
      <w:tr>
        <w:trPr>
          <w:trHeight w:val="23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Available for Sale (all unrealized holding gains and losses are less than 12 months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 date of measurement)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Bonds – corporate issuances with unrealized gains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3,499,580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998,330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Bonds – corporate issuances with unrealized losses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28,539,058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7,039,290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Bonds – corporate issuances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32,038,638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(305,831)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8,037,620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Investment income which includes interest and dividends and gross realized gains and losses on sales of available for sale securities,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253,250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115,449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527,628</w:t>
            </w:r>
          </w:p>
        </w:tc>
        <w:tc>
          <w:tcPr>
            <w:tcW w:w="54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(108,718)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(121,030)</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(299,401)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(318,206)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loss for the first nine months of 2013.</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51764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517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740" w:right="2855" w:hanging="161"/>
        <w:spacing w:after="0" w:line="292" w:lineRule="auto"/>
        <w:rPr>
          <w:sz w:val="20"/>
          <w:szCs w:val="20"/>
          <w:color w:val="auto"/>
        </w:rPr>
      </w:pPr>
      <w:r>
        <w:rPr>
          <w:rFonts w:ascii="Times New Roman" w:cs="Times New Roman" w:eastAsia="Times New Roman" w:hAnsi="Times New Roman"/>
          <w:sz w:val="18"/>
          <w:szCs w:val="18"/>
          <w:color w:val="auto"/>
        </w:rPr>
        <w:t>Realized loss reclassified from other accumulated comprehensive loss Net other comprehensive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-173355</wp:posOffset>
            </wp:positionV>
            <wp:extent cx="65176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109220</wp:posOffset>
            </wp:positionV>
            <wp:extent cx="651764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at September 30,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Measurements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95"/>
        <w:spacing w:after="0"/>
        <w:rPr>
          <w:sz w:val="20"/>
          <w:szCs w:val="20"/>
          <w:color w:val="auto"/>
        </w:rPr>
      </w:pPr>
      <w:r>
        <w:rPr>
          <w:rFonts w:ascii="Times New Roman" w:cs="Times New Roman" w:eastAsia="Times New Roman" w:hAnsi="Times New Roman"/>
          <w:sz w:val="17"/>
          <w:szCs w:val="17"/>
          <w:b w:val="1"/>
          <w:bCs w:val="1"/>
          <w:color w:val="auto"/>
        </w:rPr>
        <w:t>Accumulated Other</w:t>
      </w:r>
    </w:p>
    <w:p>
      <w:pPr>
        <w:spacing w:after="0" w:line="43" w:lineRule="exact"/>
        <w:rPr>
          <w:sz w:val="20"/>
          <w:szCs w:val="20"/>
          <w:color w:val="auto"/>
        </w:rPr>
      </w:pPr>
    </w:p>
    <w:p>
      <w:pPr>
        <w:jc w:val="center"/>
        <w:ind w:right="695"/>
        <w:spacing w:after="0"/>
        <w:rPr>
          <w:sz w:val="20"/>
          <w:szCs w:val="20"/>
          <w:color w:val="auto"/>
        </w:rPr>
      </w:pPr>
      <w:r>
        <w:rPr>
          <w:rFonts w:ascii="Times New Roman" w:cs="Times New Roman" w:eastAsia="Times New Roman" w:hAnsi="Times New Roman"/>
          <w:sz w:val="18"/>
          <w:szCs w:val="18"/>
          <w:b w:val="1"/>
          <w:bCs w:val="1"/>
          <w:color w:val="auto"/>
        </w:rPr>
        <w:t>Comprehensive</w:t>
      </w:r>
    </w:p>
    <w:p>
      <w:pPr>
        <w:spacing w:after="0" w:line="9" w:lineRule="exact"/>
        <w:rPr>
          <w:sz w:val="20"/>
          <w:szCs w:val="20"/>
          <w:color w:val="auto"/>
        </w:rPr>
      </w:pPr>
    </w:p>
    <w:p>
      <w:pPr>
        <w:jc w:val="center"/>
        <w:ind w:right="695"/>
        <w:spacing w:after="0"/>
        <w:rPr>
          <w:sz w:val="20"/>
          <w:szCs w:val="20"/>
          <w:color w:val="auto"/>
        </w:rPr>
      </w:pPr>
      <w:r>
        <w:rPr>
          <w:rFonts w:ascii="Times New Roman" w:cs="Times New Roman" w:eastAsia="Times New Roman" w:hAnsi="Times New Roman"/>
          <w:sz w:val="18"/>
          <w:szCs w:val="18"/>
          <w:b w:val="1"/>
          <w:bCs w:val="1"/>
          <w:color w:val="auto"/>
        </w:rPr>
        <w:t>Loss</w:t>
      </w:r>
    </w:p>
    <w:p>
      <w:pPr>
        <w:spacing w:after="0" w:line="9" w:lineRule="exact"/>
        <w:rPr>
          <w:sz w:val="20"/>
          <w:szCs w:val="20"/>
          <w:color w:val="auto"/>
        </w:rPr>
      </w:pPr>
    </w:p>
    <w:p>
      <w:pPr>
        <w:ind w:left="885" w:hanging="885"/>
        <w:spacing w:after="0"/>
        <w:tabs>
          <w:tab w:leader="none" w:pos="8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(126,607)</w:t>
      </w:r>
    </w:p>
    <w:p>
      <w:pPr>
        <w:spacing w:after="0" w:line="245" w:lineRule="exact"/>
        <w:rPr>
          <w:rFonts w:ascii="Times New Roman" w:cs="Times New Roman" w:eastAsia="Times New Roman" w:hAnsi="Times New Roman"/>
          <w:sz w:val="17"/>
          <w:szCs w:val="17"/>
          <w:color w:val="auto"/>
        </w:rPr>
      </w:pPr>
    </w:p>
    <w:p>
      <w:pPr>
        <w:ind w:left="8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(478,625)</w:t>
      </w:r>
    </w:p>
    <w:p>
      <w:pPr>
        <w:spacing w:after="0" w:line="38" w:lineRule="exact"/>
        <w:rPr>
          <w:rFonts w:ascii="Times New Roman" w:cs="Times New Roman" w:eastAsia="Times New Roman" w:hAnsi="Times New Roman"/>
          <w:sz w:val="17"/>
          <w:szCs w:val="17"/>
          <w:color w:val="auto"/>
        </w:rPr>
      </w:pPr>
    </w:p>
    <w:p>
      <w:pPr>
        <w:ind w:left="94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299,401</w:t>
      </w:r>
    </w:p>
    <w:p>
      <w:pPr>
        <w:spacing w:after="0" w:line="9" w:lineRule="exact"/>
        <w:rPr>
          <w:rFonts w:ascii="Times New Roman" w:cs="Times New Roman" w:eastAsia="Times New Roman" w:hAnsi="Times New Roman"/>
          <w:sz w:val="17"/>
          <w:szCs w:val="17"/>
          <w:color w:val="auto"/>
        </w:rPr>
      </w:pPr>
    </w:p>
    <w:p>
      <w:pPr>
        <w:ind w:left="88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-689610</wp:posOffset>
            </wp:positionV>
            <wp:extent cx="969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-123190</wp:posOffset>
            </wp:positionV>
            <wp:extent cx="9690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25" w:lineRule="exact"/>
        <w:rPr>
          <w:sz w:val="20"/>
          <w:szCs w:val="20"/>
          <w:color w:val="auto"/>
        </w:rPr>
      </w:pPr>
    </w:p>
    <w:p>
      <w:pPr>
        <w:ind w:left="885" w:hanging="885"/>
        <w:spacing w:after="0"/>
        <w:tabs>
          <w:tab w:leader="none" w:pos="8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(305,831)</w:t>
      </w:r>
    </w:p>
    <w:p>
      <w:pPr>
        <w:spacing w:after="0" w:line="680" w:lineRule="exact"/>
        <w:rPr>
          <w:sz w:val="20"/>
          <w:szCs w:val="20"/>
          <w:color w:val="auto"/>
        </w:rPr>
      </w:pPr>
    </w:p>
    <w:p>
      <w:pPr>
        <w:sectPr>
          <w:pgSz w:w="11900" w:h="16838" w:orient="portrait"/>
          <w:cols w:equalWidth="0" w:num="2">
            <w:col w:w="8475" w:space="720"/>
            <w:col w:w="2225"/>
          </w:cols>
          <w:pgMar w:left="240" w:top="607" w:right="239" w:bottom="1440" w:gutter="0" w:footer="0" w:header="0"/>
          <w:type w:val="continuous"/>
        </w:sectPr>
      </w:pPr>
    </w:p>
    <w:p>
      <w:pPr>
        <w:spacing w:after="0" w:line="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FASB Accounting Standards Codification (ASC) Section 820 (formerly SFAS No. 157)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226" w:lineRule="exact"/>
        <w:rPr>
          <w:sz w:val="20"/>
          <w:szCs w:val="20"/>
          <w:color w:val="auto"/>
        </w:rPr>
      </w:pPr>
    </w:p>
    <w:p>
      <w:pPr>
        <w:ind w:left="540" w:right="680"/>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Quoted prices (unadjusted) or identical assets or liabilities in active markets that the entity has the ability to access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155" w:lineRule="exact"/>
        <w:rPr>
          <w:sz w:val="20"/>
          <w:szCs w:val="20"/>
          <w:color w:val="auto"/>
        </w:rPr>
      </w:pPr>
    </w:p>
    <w:p>
      <w:pPr>
        <w:ind w:left="540" w:right="680"/>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and</w:t>
      </w:r>
    </w:p>
    <w:p>
      <w:pPr>
        <w:spacing w:after="0" w:line="155" w:lineRule="exact"/>
        <w:rPr>
          <w:sz w:val="20"/>
          <w:szCs w:val="20"/>
          <w:color w:val="auto"/>
        </w:rPr>
      </w:pPr>
    </w:p>
    <w:p>
      <w:pPr>
        <w:ind w:left="540" w:right="660"/>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Significant unobservable inputs that reflect a reporting entity’s own assumptions that market participants would use in pricing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liability.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0" w:name="page11"/>
    <w:bookmarkEnd w:id="10"/>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11 to the financial statements.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balance sheet at their estimated fair values primarily due to their short-term nature.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a recurring basis as of September 30, 2013 and December 31, 2012 on the Company’s Balance Sheet: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Identical</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Value on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Sheet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 available for sale Bonds – corporate issuances</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32,038,638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32,038,638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 available for sale Bonds – corporate issuances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8,037,620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8,037,620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5,252,660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5,252,660</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4,283,932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4,283,932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or liabilities between Level 1 and Level 2 and no transfers in or out of Level 3 during the nine month period ended September 30,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Accrued Liabilities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at September 30, 2013 and December 31, 2012 include the following:</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on notes payable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1,394,120</w:t>
            </w:r>
          </w:p>
        </w:tc>
        <w:tc>
          <w:tcPr>
            <w:tcW w:w="12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60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7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8. Note Payable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2012, the Company entered into a Loan and Security Agreement (the “Credit Agreement”) with Oxford Finance LLC (“Oxford”) and Horizon Technology Finance Corporation (“Horizon”). The Credit Agreement provides for a secured term loan of up to $10 million, with 50% of any loans to be funded by Oxford and 50% to be funded by Horizon. The aggregate loan amount may be advanced in two tranches of $5 million each. The first tranche (the “Term A Loan”) was made available to the Company on June 27, 2012 and the second tranche (the “Term B Loan”)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 therefore the second tranche was not drawn down.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A Loan is scheduled to mature on October 15, 2015. The obligations under the Credit Agreement are secured by substantially all assets of the Company other than its intellectual property and certain other agreed-upon exclusions.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A Loan bears interest at a fixed rate of 11.75%. However, for the period extending from inception through May 1, 2013 for the Term A Loan, the Company was required to make interest payments only. The Company was also obligated to pay other customary facility fees for a credit facility of this size and type.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covenants, including covenants that limit or restrict the Company’s ability to incur liens, incur indebtedness, make certain restricted payments, merge or consolidate and make dispositions of assets. Upon the occurrence of an event of default under the Credit Agreement, the lenders may cease making loans, terminate the Credit Agreement, declare all amounts outstanding to be immediately due and payable and foreclose on or liquidate the Company’s assets that comprise the lenders’ collateral. The Credit Agreement specifies a number of events of default (some of which are subject to applicable grace or cure periods), including, among other things, non-payment defaults, covenant defaults, a material adverse change in the Company’s business, cross-defaults to other materials indebtedness, bankruptcy and insolvency defaults and material judgment defaults. The Company is currently in compliance with all loan covenants.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fee in connection with the Credit Agreement, the Company issued warrants to Horizon and Oxford (the “Warrants”) to purchase the number of shares of the Company’s common stock equal to 3% of each loan amount divided by the exercise price, which was calculated as the average NASDAQ closing price of the Company’s common stock for the three days prior to the funding of the loan amount ($13.14 per share for the Term A Loan). This resulted in 11,416 warrant shares issued in connection with the Term A Loan. The Warrants issued in connection with the Term A Loan are immediately exercisable for cash or by net exercise and will expire seven years after their issuance, which is June 27, 2019.</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valued the Warrants using the Black-Scholes option pricing model and recorded $73,654 as deferred financing fees. In calculating the value of the warrants, the Company assumed a volatility rate of 74.3%, risk free interest rate of 1.10%, an expected life of 3.5 years, a stock price equal to the closing price on the date of the Warrant and no expected forfeitures nor dividends.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incurred cash and other expenses of $291,369 which were recorded as deferred financing fees. These deferred financing fees are being amortized as interest expense over the life of the loan. For the first nine months of 2013, $98,817 in deferred financing fees was amortized as interest expense. Also, the Company paid $384,607 in interest expense on the Credit Agreement during this same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schedule of future principal payments due on the Credit Agreement:</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Credit</w:t>
            </w:r>
          </w:p>
        </w:tc>
      </w:tr>
      <w:tr>
        <w:trPr>
          <w:trHeight w:val="238"/>
        </w:trPr>
        <w:tc>
          <w:tcPr>
            <w:tcW w:w="7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September 30:</w:t>
            </w: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jc w:val="right"/>
              <w:ind w:right="7290"/>
              <w:spacing w:after="0"/>
              <w:rPr>
                <w:sz w:val="20"/>
                <w:szCs w:val="20"/>
                <w:color w:val="auto"/>
              </w:rPr>
            </w:pPr>
            <w:r>
              <w:rPr>
                <w:rFonts w:ascii="Times New Roman" w:cs="Times New Roman" w:eastAsia="Times New Roman" w:hAnsi="Times New Roman"/>
                <w:sz w:val="18"/>
                <w:szCs w:val="18"/>
                <w:color w:val="auto"/>
              </w:rPr>
              <w:t>2014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1,917,808</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jc w:val="right"/>
              <w:ind w:right="7290"/>
              <w:spacing w:after="0"/>
              <w:rPr>
                <w:sz w:val="20"/>
                <w:szCs w:val="20"/>
                <w:color w:val="auto"/>
              </w:rPr>
            </w:pPr>
            <w:r>
              <w:rPr>
                <w:rFonts w:ascii="Times New Roman" w:cs="Times New Roman" w:eastAsia="Times New Roman" w:hAnsi="Times New Roman"/>
                <w:sz w:val="18"/>
                <w:szCs w:val="18"/>
                <w:color w:val="auto"/>
              </w:rPr>
              <w:t>2015</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2,155,690</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jc w:val="right"/>
              <w:ind w:right="7290"/>
              <w:spacing w:after="0"/>
              <w:rPr>
                <w:sz w:val="20"/>
                <w:szCs w:val="20"/>
                <w:color w:val="auto"/>
              </w:rPr>
            </w:pPr>
            <w:r>
              <w:rPr>
                <w:rFonts w:ascii="Times New Roman" w:cs="Times New Roman" w:eastAsia="Times New Roman" w:hAnsi="Times New Roman"/>
                <w:sz w:val="18"/>
                <w:szCs w:val="18"/>
                <w:color w:val="auto"/>
              </w:rPr>
              <w:t>2016</w:t>
            </w: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191,278</w:t>
            </w:r>
          </w:p>
        </w:tc>
        <w:tc>
          <w:tcPr>
            <w:tcW w:w="100" w:type="dxa"/>
            <w:vAlign w:val="bottom"/>
          </w:tcPr>
          <w:p>
            <w:pPr>
              <w:spacing w:after="0"/>
              <w:rPr>
                <w:sz w:val="18"/>
                <w:szCs w:val="18"/>
                <w:color w:val="auto"/>
              </w:rPr>
            </w:pPr>
          </w:p>
        </w:tc>
      </w:tr>
      <w:tr>
        <w:trPr>
          <w:trHeight w:val="250"/>
        </w:trPr>
        <w:tc>
          <w:tcPr>
            <w:tcW w:w="79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4,264,776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2011, the Company financed $144,448 of lab equipment through a capital lease. This lease obligation has thirty monthly payments of $5,651 through February 2014. During the first nine months of 2013, the Company made principal and interest payments totaling $50,863. The outstanding lease obligation is $26,800 as of September 30, 2013.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2013, we received approximately $0.4 million of gross proceeds from the exercise of warrants and stock options to purchase approximately 137,032 shares of the Company’s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Controlled Equity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February 2013 Preferred Stock Offering in February 2013 discussed below, the Company agreed to not sell any ATM Shares for a period of one year from February 26, 2013. In connection with the Common Stock Offering below, the Company agreed to not sell any ATM Shares until June 3,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2013 Preferred Stock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one-time, non-cash deemed dividend related to the beneficial conversion feature connected to the preferred stock in the Preferred Stock Offering.</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Assumptions used in the valuation of the warrants issued in the February 2013 Preferred Stock Offering are as follows:</w:t>
            </w:r>
          </w:p>
        </w:tc>
        <w:tc>
          <w:tcPr>
            <w:tcW w:w="192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2013, all 2,682,764 shares of common stock in the aggregate were issued upon conversion of all 15,000.00422 shares of the Series A 0% convertible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Common Stock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 (the “Common Stock Offering”). The closing of the Common Stock Offering occurred on June 3, 2013.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closing of the Common Stock Offering, there were an insufficient number of authorized shares to complete the transaction. The investors in the Common Stock Offering also held warrants to purchase common stock of the Company which were issued in connection with previous offerings. Concurrent with the closing of the Common Stock Offering, the institutional investors agreed to waive their rights to exercise these warrants to purchase 1,398,816 shares of common stock of the Company (the “Waived Warrants”) until the Company has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announced that it effected a 1-for-4.5 reverse stock split of its common stock. See Reverse Stock Split below for further information.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Prior to the closing of the Common Stock Offering, the warrants described above were originally recorded as equity at the fair value on the date of issuance. In accordance with ASC 815-40, </w:t>
      </w:r>
      <w:r>
        <w:rPr>
          <w:rFonts w:ascii="Times New Roman" w:cs="Times New Roman" w:eastAsia="Times New Roman" w:hAnsi="Times New Roman"/>
          <w:sz w:val="18"/>
          <w:szCs w:val="18"/>
          <w:i w:val="1"/>
          <w:iCs w:val="1"/>
          <w:color w:val="auto"/>
        </w:rPr>
        <w:t>Derivative Instruments and Hedging - Contracts in Entity’s Own Equity,</w:t>
      </w:r>
      <w:r>
        <w:rPr>
          <w:rFonts w:ascii="Times New Roman" w:cs="Times New Roman" w:eastAsia="Times New Roman" w:hAnsi="Times New Roman"/>
          <w:sz w:val="18"/>
          <w:szCs w:val="18"/>
          <w:color w:val="auto"/>
        </w:rPr>
        <w:t xml:space="preserve"> the Waived Warrants are required to be liability classified immediately after the closing of the Common Stock Offering on June 3, 2013 because there were an insufficient number of common shares authorized to permit the full exercise of the warrants. Therefore, the Company has reclassified the fair value of the Waived Warrants totaling approximately $9.1 million from equity to a liability as of June 3, 2013. The Waived Warrants are required to be recorded at fair value at each balance sheet date with changes in fair value recorded in earnings until such time as there are a sufficient number of common shares authorized to permit the full exercise of the warrants (see Note 11). In connection with the Reverse Stock Split as more fully described below, these warrants will be revalued as of October 28, 2013 and reclassified from liabilities to equity.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Following is a summary list of the Waived Warrants: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28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associated with the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 of</w:t>
            </w:r>
          </w:p>
        </w:tc>
        <w:tc>
          <w:tcPr>
            <w:tcW w:w="860" w:type="dxa"/>
            <w:vAlign w:val="bottom"/>
          </w:tcPr>
          <w:p>
            <w:pPr>
              <w:spacing w:after="0"/>
              <w:rPr>
                <w:sz w:val="18"/>
                <w:szCs w:val="18"/>
                <w:color w:val="auto"/>
              </w:rPr>
            </w:pPr>
          </w:p>
        </w:tc>
        <w:tc>
          <w:tcPr>
            <w:tcW w:w="206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500" w:type="dxa"/>
            <w:vAlign w:val="bottom"/>
          </w:tcPr>
          <w:p>
            <w:pPr>
              <w:spacing w:after="0"/>
              <w:rPr>
                <w:sz w:val="18"/>
                <w:szCs w:val="18"/>
                <w:color w:val="auto"/>
              </w:rPr>
            </w:pPr>
          </w:p>
        </w:tc>
        <w:tc>
          <w:tcPr>
            <w:tcW w:w="22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Fair Value on</w:t>
            </w:r>
          </w:p>
        </w:tc>
      </w:tr>
      <w:tr>
        <w:trPr>
          <w:trHeight w:val="238"/>
        </w:trPr>
        <w:tc>
          <w:tcPr>
            <w:tcW w:w="2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Waived Warrants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Waived Warrants</w:t>
            </w:r>
          </w:p>
        </w:tc>
        <w:tc>
          <w:tcPr>
            <w:tcW w:w="8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June 3, 2013</w:t>
            </w:r>
          </w:p>
        </w:tc>
      </w:tr>
      <w:tr>
        <w:trPr>
          <w:trHeight w:val="210"/>
        </w:trPr>
        <w:tc>
          <w:tcPr>
            <w:tcW w:w="2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1,323,496</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2/26/2018</w:t>
            </w:r>
          </w:p>
        </w:tc>
        <w:tc>
          <w:tcPr>
            <w:tcW w:w="8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31,243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7/25/2016</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2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12,628</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7/6/2016</w:t>
            </w:r>
          </w:p>
        </w:tc>
        <w:tc>
          <w:tcPr>
            <w:tcW w:w="8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34"/>
        </w:trPr>
        <w:tc>
          <w:tcPr>
            <w:tcW w:w="2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31,448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11/25/2017</w:t>
            </w: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Assumptions used in the June 3, 2013 valuation of the Waived Warrants associated with the Common Stock Offering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663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Risk-free interest rate</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Expected volatility</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life (in years)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CEEFF"/>
          </w:tcPr>
          <w:p>
            <w:pPr>
              <w:spacing w:after="0"/>
              <w:rPr>
                <w:sz w:val="18"/>
                <w:szCs w:val="18"/>
                <w:color w:val="auto"/>
              </w:rPr>
            </w:pPr>
          </w:p>
        </w:tc>
      </w:tr>
      <w:tr>
        <w:trPr>
          <w:trHeight w:val="216"/>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Expected forfeiture rate</w:t>
            </w: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dividend yield</w:t>
            </w: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January 2011 Preferred Stock Offering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reassessed the application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 it relates to the 8% Series A Redeemable Convertible Preferred Stock Offering completed in January 2011 (the January 2011 Preferred Offering). The Company received gross proceeds from the January 2011 Preferred Offering of approximately $5.1 million in which it sold 5,000 shares of 8% redeemable convertible preferred stock with a stated value of $1,000 per share, each share convertible into 92.5926 shares of common stock, and warrants to purchase up to approximately 463,000 shares of common stock. All 5,000 shares of preferred stock sold in the January 2011 Preferred Offering were subsequently converted into the stated number of common stock shares as of August 2011. ASC 470-20 requires the Company to value the preferred stock and common stock warrants, any resulting beneficial conversion feature(s) resulting from the valuation of these securities and to determine and record the value of each of these securities or conversion feature as debt or equity based on the interpretation and application of ASC 470-20.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allocated the proceeds of the Offering between the redeemable preferred stock and the warrants based on fair value and correctly recorded the redeemable preferred stock as a liability (debt), but did not consider the embedded beneficial conversion feature (BCF) associated with the redeemable preferred stock. ASC 470-20 required the Company to record a BCF of approximately $5 million at the time of issuance of the $5 million convertible Preferred Stock offering and to amortize the BCF as non-cash interest expense over the conversion period. Since all 462,960 shares were converted by August 8, 2011, the entire $5 million of BCF should have been amortized as interest expense during 2011. As a result, the Company’s interest expense and net loss were understated by $5 million. The error had no effect on cash, cash flows or total shareholders’ equity during 2011 and had no effect on cash, cash flows, net income or total shareholders’ equity for any subsequent periods. After considering the quantitative and qualitative effects of the errors to the 2011 annual financial statements, as well as the quarterly period financial statements within 2011, in the opinion of management the error is not material to assessing the financial condition or operations of the Company. The Company has adjusted additional paid-in capital and a corresponding offset to retained earnings on the September 30, 2013 and December 31, 2012 balance sheets to reflect this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2013, the Company announced that it effected a 1-for-4.5 reverse stock split of its common stock which was made effective for trading purposes as of the commencement of trading on October 29, 2013. As of that date, each 9 shares of issued and outstanding common stock and equivalents will be consolidated into 2 shares of common stock. In addition, at the market open on October 29, 2013, the Company’s common stock started trading under a new CUSIP number 15117N404 although the Company’s ticker symbol, CLSN, remained unchanged.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2013 Annual Meeting held on July 19, 2013, and the Company subsequently filed a Certificate of Amendment to its Certificate of Incorporation to effect the stock consolidation. The primary reasons for the reverse stock split and the amendment are:</w:t>
      </w: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market price of the Company’s common stock making it more attractive to a broader range of institutional and other investors,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announced, to facilitate expanding the Company’s business or product lines through potential acquisitions.</w:t>
      </w:r>
    </w:p>
    <w:p>
      <w:pPr>
        <w:spacing w:after="0" w:line="20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61,226,873 shares of common stock outstanding which consolidated into 13,604,975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3.9 million to approximately 0.9 million and outstanding warrants being reduced from approximately 13.8 million to approximately 3.1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Plans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0"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and June 7, 2012, the stockholders approved amendments to the Plan. The only material difference between the original Plan and the amended Plan was the number of shares of common stock available for issuance under the amended Plan which was increased by 222,222 to a total of 444,444 shares in 2010 and by 500,000 to a total of 944,444 shares in 2012.</w:t>
      </w:r>
    </w:p>
    <w:p>
      <w:pPr>
        <w:spacing w:after="0" w:line="1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3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w w:val="99"/>
              </w:rPr>
              <w:t>The Company used the following assumptions for determining the fair value of options granted under the Black-Scholes option pricing model:</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6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0.85</w:t>
            </w:r>
          </w:p>
        </w:tc>
        <w:tc>
          <w:tcPr>
            <w:tcW w:w="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20" w:type="dxa"/>
            <w:vAlign w:val="bottom"/>
            <w:gridSpan w:val="2"/>
          </w:tcPr>
          <w:p>
            <w:pPr>
              <w:jc w:val="center"/>
              <w:ind w:left="2950"/>
              <w:spacing w:after="0"/>
              <w:rPr>
                <w:sz w:val="20"/>
                <w:szCs w:val="20"/>
                <w:color w:val="auto"/>
              </w:rPr>
            </w:pPr>
            <w:r>
              <w:rPr>
                <w:rFonts w:ascii="Times New Roman" w:cs="Times New Roman" w:eastAsia="Times New Roman" w:hAnsi="Times New Roman"/>
                <w:sz w:val="18"/>
                <w:szCs w:val="18"/>
                <w:color w:val="auto"/>
              </w:rPr>
              <w:t>83.41</w:t>
            </w: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97.83%</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80.2</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5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620" w:type="dxa"/>
            <w:vAlign w:val="bottom"/>
            <w:gridSpan w:val="2"/>
            <w:shd w:val="clear" w:color="auto" w:fill="CCEEFF"/>
          </w:tcPr>
          <w:p>
            <w:pPr>
              <w:jc w:val="center"/>
              <w:ind w:left="2950"/>
              <w:spacing w:after="0"/>
              <w:rPr>
                <w:sz w:val="20"/>
                <w:szCs w:val="20"/>
                <w:color w:val="auto"/>
              </w:rPr>
            </w:pPr>
            <w:r>
              <w:rPr>
                <w:rFonts w:ascii="Times New Roman" w:cs="Times New Roman" w:eastAsia="Times New Roman" w:hAnsi="Times New Roman"/>
                <w:sz w:val="18"/>
                <w:szCs w:val="18"/>
                <w:color w:val="auto"/>
                <w:w w:val="95"/>
              </w:rPr>
              <w:t>5.25</w:t>
            </w:r>
          </w:p>
        </w:tc>
        <w:tc>
          <w:tcPr>
            <w:tcW w:w="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3620" w:type="dxa"/>
            <w:vAlign w:val="bottom"/>
            <w:gridSpan w:val="2"/>
          </w:tcPr>
          <w:p>
            <w:pPr>
              <w:jc w:val="center"/>
              <w:ind w:left="2950"/>
              <w:spacing w:after="0"/>
              <w:rPr>
                <w:sz w:val="20"/>
                <w:szCs w:val="20"/>
                <w:color w:val="auto"/>
              </w:rPr>
            </w:pPr>
            <w:r>
              <w:rPr>
                <w:rFonts w:ascii="Times New Roman" w:cs="Times New Roman" w:eastAsia="Times New Roman" w:hAnsi="Times New Roman"/>
                <w:sz w:val="18"/>
                <w:szCs w:val="18"/>
                <w:color w:val="auto"/>
                <w:w w:val="97"/>
              </w:rPr>
              <w:t>5.0</w:t>
            </w: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18"/>
                <w:szCs w:val="18"/>
                <w:color w:val="auto"/>
              </w:rPr>
            </w:pPr>
          </w:p>
        </w:tc>
      </w:tr>
      <w:tr>
        <w:trPr>
          <w:trHeight w:val="675"/>
        </w:trPr>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5"/>
        </w:trPr>
        <w:tc>
          <w:tcPr>
            <w:tcW w:w="4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30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2013 and 2012 grants was generated using the simplified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and restricted stock awards for the nine month period ended September 30, 2013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0" w:type="dxa"/>
            <w:vAlign w:val="bottom"/>
          </w:tcPr>
          <w:p>
            <w:pPr>
              <w:spacing w:after="0"/>
              <w:rPr>
                <w:sz w:val="1"/>
                <w:szCs w:val="1"/>
                <w:color w:val="auto"/>
              </w:rPr>
            </w:pPr>
          </w:p>
        </w:tc>
      </w:t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December 31, 2012</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187,777</w:t>
            </w:r>
          </w:p>
        </w:tc>
        <w:tc>
          <w:tcPr>
            <w:tcW w:w="120" w:type="dxa"/>
            <w:vAlign w:val="bottom"/>
          </w:tcPr>
          <w:p>
            <w:pPr>
              <w:spacing w:after="0"/>
              <w:rPr>
                <w:sz w:val="18"/>
                <w:szCs w:val="18"/>
                <w:color w:val="auto"/>
              </w:rPr>
            </w:pP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(12,429)</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forfeited, cancelled or expired</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(35,268)</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September 30, 2013</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Aggregate intrinsic value of outstanding awards September 30,</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15,717</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2013</w:t>
            </w: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Equity awards exercisable at September 30, 2013</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599,000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Aggregate intrinsic value of awards exercisable at September</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00" w:type="dxa"/>
            <w:vAlign w:val="bottom"/>
            <w:gridSpan w:val="2"/>
          </w:tcPr>
          <w:p>
            <w:pPr>
              <w:ind w:left="180"/>
              <w:spacing w:after="0" w:line="194" w:lineRule="exact"/>
              <w:rPr>
                <w:sz w:val="20"/>
                <w:szCs w:val="20"/>
                <w:color w:val="auto"/>
              </w:rPr>
            </w:pPr>
            <w:r>
              <w:rPr>
                <w:rFonts w:ascii="Times New Roman" w:cs="Times New Roman" w:eastAsia="Times New Roman" w:hAnsi="Times New Roman"/>
                <w:sz w:val="18"/>
                <w:szCs w:val="18"/>
                <w:color w:val="auto"/>
              </w:rPr>
              <w:t>30, 2013</w:t>
            </w: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outstanding stock options and restricted stock awards in the schedule above are effected for the reverse stock split made effective on October 28, 2013 as more fully described in Note 9.</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employee stock options and restricted stock awards amounted to $261,277 and $276,107 for the three months ended September 30, 2013 and 2012, respectively. Total compensation cost related to employee stock options and restricted stock awards amounted to $995,950 and $850,990 for the nine months ended September 30, 2013 and 2012, respectively. No compensation cost related to share-based payments arrangements was capitalized as part of the cost of any asset as of September 30, 2013 and 2012.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2013, there was $1.1 million of total unrecognized compensation cost related to non-vested share-based compensation arrangements. That cost is expected to be recognized over a weighted-average period of 1.5 years. The weighted average grant-date fair value was $4.41 and $6.66 per share for the options granted during the nine months ended September 30, 2013 and 2012, respectively. The weighted average grant-date fair value was $5.36 and $9.45 for the restricted stock awards granted during the nine months ended September 30, 2013 and 2012, respectively. The Company granted 111 restricted stock awards during the first nine months of 2013.</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2013, the Company received gross proceeds of approximately $0.2 million from the exercise of options to purchase 12,429 shares of common stock. Collectively, for all the stock option plans as of September 30, 2013, there were a total of 1,195,612 shares reserved, which were comprised of 868,646 equity awards granted and 326,966 equity awards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Note 11. Warrants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gridSpan w:val="2"/>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first nine months of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2012</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granted in connection with the Preferred Stock Offering, as more fully described in Note 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1,341,382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for common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4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3,073,027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(in years)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warrants in the schedule above are effected for the reverse stock split made effective on October 28, 2013 as more fully described in Note 9.</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2013, the Company received gross proceeds of approximately $0.2 million from the exercise of warrants to purchase 15,833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Warrant Liability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Times New Roman" w:cs="Times New Roman" w:eastAsia="Times New Roman" w:hAnsi="Times New Roman"/>
          <w:sz w:val="18"/>
          <w:szCs w:val="18"/>
          <w:i w:val="1"/>
          <w:iCs w:val="1"/>
          <w:color w:val="auto"/>
        </w:rPr>
        <w:t xml:space="preserve">Derivative Instruments and Hedging - Contracts in Entity’s Own Equity, </w:t>
      </w:r>
      <w:r>
        <w:rPr>
          <w:rFonts w:ascii="Times New Roman" w:cs="Times New Roman" w:eastAsia="Times New Roman" w:hAnsi="Times New Roman"/>
          <w:sz w:val="18"/>
          <w:szCs w:val="18"/>
          <w:color w:val="auto"/>
        </w:rPr>
        <w:t>the warrants are recorded as a liability and then marked to market each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more fully described in Note 9, concurrent with the closing of the Common Stock Offering, the investors in this offering agreed to waive their rights to exercise the Waived Warrants to purchase 1,398,816 shares of common stock of the Company until the Company has obtained stockholders’ approval of increasing the number of its authorized shares of common stock in conjunction with the proposed reverse stock split of its outstanding shares of common stock. In accordance with ASC 815-40, </w:t>
      </w:r>
      <w:r>
        <w:rPr>
          <w:rFonts w:ascii="Times New Roman" w:cs="Times New Roman" w:eastAsia="Times New Roman" w:hAnsi="Times New Roman"/>
          <w:sz w:val="18"/>
          <w:szCs w:val="18"/>
          <w:i w:val="1"/>
          <w:iCs w:val="1"/>
          <w:color w:val="auto"/>
        </w:rPr>
        <w:t>Derivative Instruments and Hedging - Contracts in Entity’s Own Equity,</w:t>
      </w:r>
      <w:r>
        <w:rPr>
          <w:rFonts w:ascii="Times New Roman" w:cs="Times New Roman" w:eastAsia="Times New Roman" w:hAnsi="Times New Roman"/>
          <w:sz w:val="18"/>
          <w:szCs w:val="18"/>
          <w:color w:val="auto"/>
        </w:rPr>
        <w:t xml:space="preserve"> the Waived Warrants were required to be classified as liabilities immediately after the closing of the Common Stock Offering on June 3, 2013 because there were an insufficient number of common shares authorized to permit the full exercise of the Waived Warrants if they were exercised. Therefore, the Company has reclassified the fair value of the Waived Warrants totaling approximately $9.1 million from equity to a liability as of June 3, 2013. The Waived Warrants were required to be recorded at fair value at each balance sheet date with changes in fair value recorded in earnings until such time as there are a sufficient number of common shares authorized to permit the full exercise of the warrants.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color w:val="auto"/>
        </w:rPr>
        <w:t>The fair value of the warrants at September 30, 2013 and December 31, 2012 was $5,252,660 and $4,283,932, respectively, calculated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 with the following ranges of assumptions: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2013</w:t>
            </w:r>
          </w:p>
        </w:tc>
        <w:tc>
          <w:tcPr>
            <w:tcW w:w="380" w:type="dxa"/>
            <w:vAlign w:val="bottom"/>
          </w:tcPr>
          <w:p>
            <w:pPr>
              <w:spacing w:after="0"/>
              <w:rPr>
                <w:sz w:val="20"/>
                <w:szCs w:val="20"/>
                <w:color w:val="auto"/>
              </w:rPr>
            </w:pPr>
          </w:p>
        </w:tc>
        <w:tc>
          <w:tcPr>
            <w:tcW w:w="1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280" w:type="dxa"/>
            <w:vAlign w:val="bottom"/>
          </w:tcPr>
          <w:p>
            <w:pPr>
              <w:spacing w:after="0"/>
              <w:rPr>
                <w:sz w:val="20"/>
                <w:szCs w:val="20"/>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0.33</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60.0</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111.26%</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4.4</w:t>
            </w:r>
          </w:p>
        </w:tc>
        <w:tc>
          <w:tcPr>
            <w:tcW w:w="3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 rate</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0.0</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Common Stock Offering, the Company recorded an additional warrant liability of $9.1 million immediately after the closing of the Common Stock Offering on June 3, 2013. As a result of this change in the warrant liability in the aggregate at September 30, 2013, the Company recorded a non-cash benefit of $8.1 million in the nine months ended September 30, 2013. The following is a summary of the changes in the common stock warrant liability for the nine months ended September 30, 2013:</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2013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4,283,932</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classification (see Note 9)</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9,110,302</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adjustment for the change in fair value included in net income</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(8,141,574)</w:t>
            </w:r>
          </w:p>
        </w:tc>
      </w:tr>
      <w:tr>
        <w:trPr>
          <w:trHeight w:val="210"/>
        </w:trPr>
        <w:tc>
          <w:tcPr>
            <w:tcW w:w="9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as of September 30, 2013</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5,252,660</w:t>
            </w:r>
          </w:p>
        </w:tc>
        <w:tc>
          <w:tcPr>
            <w:tcW w:w="100" w:type="dxa"/>
            <w:vAlign w:val="bottom"/>
            <w:tcBorders>
              <w:top w:val="single" w:sz="8" w:color="CCEEFF"/>
            </w:tcBorders>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Reverse Stock Split as more fully described in Note 9, these warrants will be revalued as of October 28, 2013 and be reclassified from liabilities to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Contingent Liabilities and Commitments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the $50,000 reduction of the standby letter of credit in April 2013, the Company reduced the escrow deposit by $50,000.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Technology Development and Licensing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(SFDA). As of September 30, 2013, the Company has incurred approximately $371,000 in costs to be reimbursed to Hisun.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jc w:val="both"/>
        <w:ind w:firstLine="72"/>
        <w:spacing w:after="0" w:line="254"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will focus on next generation liposomal formulation development with the goal of creating safer, more efficacious versions of marketed cancer chemotherapeutics.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660" w:right="142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61" w:lineRule="exact"/>
        <w:rPr>
          <w:rFonts w:ascii="Times New Roman" w:cs="Times New Roman" w:eastAsia="Times New Roman" w:hAnsi="Times New Roman"/>
          <w:sz w:val="18"/>
          <w:szCs w:val="18"/>
          <w:b w:val="1"/>
          <w:bCs w:val="1"/>
          <w:color w:val="auto"/>
        </w:rPr>
      </w:pPr>
    </w:p>
    <w:p>
      <w:pPr>
        <w:ind w:left="660" w:right="142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the Company around the clinical and regulatory approval activities for ThermoDox® as well as other liposomal formations with the SFDA; and</w:t>
      </w:r>
    </w:p>
    <w:p>
      <w:pPr>
        <w:spacing w:after="0" w:line="161" w:lineRule="exact"/>
        <w:rPr>
          <w:rFonts w:ascii="Times New Roman" w:cs="Times New Roman" w:eastAsia="Times New Roman" w:hAnsi="Times New Roman"/>
          <w:sz w:val="18"/>
          <w:szCs w:val="18"/>
          <w:b w:val="1"/>
          <w:bCs w:val="1"/>
          <w:color w:val="auto"/>
        </w:rPr>
      </w:pPr>
    </w:p>
    <w:p>
      <w:pPr>
        <w:ind w:left="660" w:right="1440" w:hanging="328"/>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be granted a right of first offer for a commercial license to ThermoDox® for the sale and distribution of ThermoDox® in the China territory.</w:t>
      </w:r>
    </w:p>
    <w:p>
      <w:pPr>
        <w:spacing w:after="0" w:line="3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accelerated partial payments to us on a drug approval milestone. The terms of the Yakult Agreement provided for the payment to us of $2.0 million upon the closing of the preferred equity financing. The second $2.0 million was conditioned upon the resumption of enrollment of Japanese patients in the Japan cohort of the HEAT study, which has not been resumed. In consideration of the $2.0 million accelerated milestone payment from Yakult, we have agreed to reduce future drug approval milestone payments by approximately twenty percent (20%). All other milestone payments are unaffected.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2012 filed on March 18, 2013 and our Amendment No. 1 to the Annual Report on Form 10-K/A filed on April 30, 2013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Clinical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Celsion is an oncology drug development company focused on the development of treatments for those suffering with difficult to treat forms of cancer. We are working to develop and commercialize more efficient, effective, targeted chemotherapeutic oncology drugs based on our proprietary heat-activated liposomal technology. The promise of this drug technology is to maximize efficacy while minimizing side-effects common to cancer treatments.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lead product, ThermoDox® is being evaluated in a Phase III clinical trial for primary liver cancer (the HEAT study) and a Phase II clinical trial for recurrent chest wall breast cancer.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2013, we announced that ThermoDox® in combination with radio frequency ablation did not meet the primary endpoint of the HEAT study in patients with hepatocellular carcinoma, also known as primary liver cancer. Specifically, we determined, after conferring with the HEAT study independent Data Monitoring Committee, that the HEAT study did not meet the goal of demonstrating persuasive evidence of clinical effectiveness that could form the basis for regulatory approval in the population chosen for the HEAT study. In the trial, ThermoDox® was well-tolerated with no unexpected serious adverse</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We have conducted a comprehensive analysis of the data from the HEAT study to assess the future strategic value of ThermoDox®. As part of this analysis, we are also assessing our product pipeline and research and development priorities. In April 2013, we announced the deferral of expenses associated with the Company’s Phase II study of ThermoDox ® in combination with RFA for the treatment of colorectal liver metastases (The ABLATE Study) until such time as the Company finalizes its plans for the continuation of its development program with ThermoDox® in HCC.</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2013, the Company announced that the latest overall survival data from its post-hoc analysis of results from the Phase III HEAT Study supports continued clinical development through a prospective pivotal Phase III Study. Celsion expects to submit its proposed pivotal Phase III clinical protocol for FDA review in the fourth quarter of 2013 and anticipates initiating a multicenter global trial in the first half of 2014. The data from the HEAT Study post-hoc analysis suggests that ThermoDox® may markedly improve overall survival, when compared to the control group, in patients if their tumors undergo optimal RFA treatment. This post-hoc analysis followed the announcement on January 31, 2013, that ThermoDox® in combination with radiofrequency ablation (RFA) did not meet the Study's primary endpoint, progression-free survival (PFS). The Company continues to follow patients in the Study to the secondary endpoint, overall survival (OS). Data from three OS sweeps have been conducted since the top line PFS data was announced in January 2013, with each showing progressive improvement in statistical significance. Emerging data from the HEAT Study post-hoc analysis has been presented at three scientific and medical conferences in 2013 by key HEAT Study investigators and leading liver cancer experts. The presentations include:</w:t>
      </w:r>
    </w:p>
    <w:p>
      <w:pPr>
        <w:spacing w:after="0" w:line="243"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Conference on Interventional Oncology in May 2013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Conference on Interventional Oncology in June 2013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Liver Cancer Association Annual Conference in September 2013</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post-hoc findings apply to all single HCC lesions from both size cohorts of the HEAT Study (3-5 cm and 5-7 cm) and represent a subgroup of 285 patients (41% of the patients in the HEAT Study). Updated OS data from this subgroup of patients is summarized below:</w:t>
      </w:r>
    </w:p>
    <w:p>
      <w:pPr>
        <w:spacing w:after="0" w:line="18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patient subgroup treated in the ThermoDox® arm whose RFA procedure lasted longer than 45 minutes (285 patients or 63% of single lesion patients) clinical results indicate an improvement in overall survival with a Hazard Ratio of 0.63 (95% CI 0.393 – 1.011) and a P-value = 0.056. The median in this subgroup has not been reached.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contrast, the patient subgroup treated with ThermoDox® whose RFA procedure lasted less than 45 minutes in duration (167 patients or 37% of single lesion patients) demonstrated a Hazard Ratio of 1.14 (95% CI 0.737 – 1.776) and a P-value = 0.547. The median in this subgroup has not been reached.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Hazard Ratios reported above, while more than sufficient to support additional clinical development, should be viewed with caution since they are not statistically significant and the HEAT Study has not reached its median for overall survival analysis. Celsion continues to follow all patients in the HEAT Study to the secondary endpoint, overall survival, and will update the subgroup analysis based on RFA heating duration.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completed computer modeling with supplementary preclinical animal studies supporting the relationship between heating duration and clinical outcomes.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2013, the Company engaged Cantor Fitzgerald &amp; Co. to conduct a comprehensive review of merger and acquisition opportunities with the goal of identifying novel products with high potential, or companies, for Celsion to acquire. Strategic alternatives the Company may pursue could include, but are not limited to, continuing its current operating plan, partnering or other collaboration agreements, acquisition of another company’s business or assets, or a merger or other strategic transaction. There can be no assurance that the exploration of strategic alternatives will result in any agreements or transactions, or that, if completed, any agreements or transactions will be successful or on attractive terms.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financial condition and market value.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2008, we entered into a development, product supply and commercialization agreement with Yakult Honsha Co. (the Yakult Agreement) under which Yakult was granted the exclusive right to commercialize and market ThermoDox® for the Japanese market. We were paid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 digit escalating royalties on the sale of ThermoDox® in Japan, when and if any such sales occur and we also will be the exclusive supplier of ThermoDox® to Yakult. Concurrent with a convertible preferred stock equity financing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forty percent (40%). All other milestone payments are unaffected.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6, 2012, we entered into a long 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 batches of ThermoDox®. As of September 30, 2013, the Company has incurred approximately $371,000 in costs to be reimbursed to Hisun. On January 18, 2013, we entered into a technology development contract with Hisun, pursuant to which Hisun paid us a non-refundable research and development fee of $5.0 million to support our development of ThermoDox® and we will provide research data and other technical support in relation to a regulatory filing by Hisun in the China territory for approval of ThermoDox®.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China territory.</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greater China territory. This expanded collaboration will focus on next generation liposomal formulation development with the goal of creating safer, more efficacious versions of marketed cancer chemotherapeutics.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key provisions of the Celsion-Hisun Memorandum of Understanding are:</w:t>
      </w:r>
    </w:p>
    <w:p>
      <w:pPr>
        <w:spacing w:after="0" w:line="225" w:lineRule="exact"/>
        <w:rPr>
          <w:sz w:val="20"/>
          <w:szCs w:val="20"/>
          <w:color w:val="auto"/>
        </w:rPr>
      </w:pPr>
    </w:p>
    <w:p>
      <w:pPr>
        <w:ind w:left="660" w:right="1420" w:hanging="328"/>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61" w:lineRule="exact"/>
        <w:rPr>
          <w:rFonts w:ascii="Times New Roman" w:cs="Times New Roman" w:eastAsia="Times New Roman" w:hAnsi="Times New Roman"/>
          <w:sz w:val="18"/>
          <w:szCs w:val="18"/>
          <w:b w:val="1"/>
          <w:bCs w:val="1"/>
          <w:color w:val="auto"/>
        </w:rPr>
      </w:pPr>
    </w:p>
    <w:p>
      <w:pPr>
        <w:ind w:left="660" w:right="1420" w:hanging="328"/>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collaborate with the Company around the clinical and regulatory approval activities for ThermoDox® as well as other liposomal formations with the China state Food and Drug Administration (SFDA); and</w:t>
      </w:r>
    </w:p>
    <w:p>
      <w:pPr>
        <w:spacing w:after="0" w:line="161" w:lineRule="exact"/>
        <w:rPr>
          <w:rFonts w:ascii="Times New Roman" w:cs="Times New Roman" w:eastAsia="Times New Roman" w:hAnsi="Times New Roman"/>
          <w:sz w:val="18"/>
          <w:szCs w:val="18"/>
          <w:b w:val="1"/>
          <w:bCs w:val="1"/>
          <w:color w:val="auto"/>
        </w:rPr>
      </w:pPr>
    </w:p>
    <w:p>
      <w:pPr>
        <w:ind w:left="660" w:right="1440" w:hanging="328"/>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Hisun will be granted a right of first offer for a commercial license to ThermoDox® for the sale and distribution of ThermoDox® in the China territory.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 w:name="page24"/>
    <w:bookmarkEnd w:id="23"/>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and clinical trials, or if we are in a position to pursue manufacturing or commercialization activities, it is clear we will need significant additional capital to develop our product candidates through clinical development, manufacturing, and commercialization.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AND NINE MONTHS ENDED SEPTEMBER 30, 2013 AND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2013, our net loss was $4.1 million compared to $6.0 million for the same period of 2012. For the nine months ended September 30, 2013, our loss was $4.3 million compared to $18.3 million for the same period of 2012. As of September 30, 2013, we had $45.5 million in cash and short-term investments including accrued interest from short term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87"/>
        </w:trPr>
        <w:tc>
          <w:tcPr>
            <w:tcW w:w="3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ind w:left="660"/>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amounts in 000’s)</w:t>
            </w:r>
          </w:p>
        </w:tc>
        <w:tc>
          <w:tcPr>
            <w:tcW w:w="320" w:type="dxa"/>
            <w:vAlign w:val="bottom"/>
          </w:tcPr>
          <w:p>
            <w:pPr>
              <w:spacing w:after="0"/>
              <w:rPr>
                <w:sz w:val="20"/>
                <w:szCs w:val="20"/>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Research</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2,813</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(1,112)</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3,539</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(1,270)</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4,959</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(4,959)</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8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7"/>
        </w:trPr>
        <w:tc>
          <w:tcPr>
            <w:tcW w:w="3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ind w:left="660"/>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amounts in 000’s)</w:t>
            </w:r>
          </w:p>
        </w:tc>
        <w:tc>
          <w:tcPr>
            <w:tcW w:w="320" w:type="dxa"/>
            <w:vAlign w:val="bottom"/>
          </w:tcPr>
          <w:p>
            <w:pPr>
              <w:spacing w:after="0"/>
              <w:rPr>
                <w:sz w:val="20"/>
                <w:szCs w:val="20"/>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Research</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9,162</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(3,925)</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12,345</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16,931</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(4,407)</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4"/>
                <w:szCs w:val="14"/>
                <w:color w:val="auto"/>
              </w:rPr>
              <w:t>(12,149</w:t>
            </w:r>
            <w:r>
              <w:rPr>
                <w:rFonts w:ascii="Times New Roman" w:cs="Times New Roman" w:eastAsia="Times New Roman" w:hAnsi="Times New Roman"/>
                <w:sz w:val="25"/>
                <w:szCs w:val="25"/>
                <w:color w:val="auto"/>
                <w:vertAlign w:val="subscript"/>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4"/>
                <w:szCs w:val="14"/>
                <w:color w:val="auto"/>
              </w:rPr>
              <w:t>(16,931</w:t>
            </w:r>
            <w:r>
              <w:rPr>
                <w:rFonts w:ascii="Times New Roman" w:cs="Times New Roman" w:eastAsia="Times New Roman" w:hAnsi="Times New Roman"/>
                <w:sz w:val="25"/>
                <w:szCs w:val="25"/>
                <w:color w:val="auto"/>
                <w:vertAlign w:val="subscript"/>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4,782</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656"/>
        </w:trPr>
        <w:tc>
          <w:tcPr>
            <w:tcW w:w="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2013 and 2012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continue to be amortized over the 10 year term of the agreement, therefore we recorded deferred revenue of $125,000 for the three months ended September 30, 2013. We had no licensing revenue in 2012.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decreased by $1.3 million from $3.5 million in the third quarter of 2012 to $2.3 million in the same period of 2013. Costs associated with the HEAT Study decreased to $0.8 million in the third quarter of 2013 compared to $1.6 million in the same period of 2012 primarily due to reduced costs associated with the HEAT Study after the data results were announced on January 31, 2013. Costs associated with our recurrent chest wall breast cancer clinical trial remained relatively unchanged at $0.1 million in the third quarter of 2013 compared to the same period of 2012. Costs associated with our colorectal liver metastases trial were insignificant in the third quarter of 2013 and 2012. Other R&amp;D costs related to preclinical operations and regulatory operations decreased to $0.5 million in the third quarter of 2013 compared to $0.6 million in the same period of 2012. Costs associated with the production of ThermoDox® decreased to $0.6 million in the third quarter of 2013 compared to $0.7 million the same period of 2012.</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2013, the Company has implemented a restructuring program to lower its operating costs to conserve capital to ensure that our costs are adequately aligned with our resources and business strategy. The program included elimination of approximately one-third of Celsion’s workforce and the deferral of expenses associated with the Company’s Phase II study for colorectal liver metastasis (the ABLATE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(G&amp;A) expenses were relatively unchanged at $1.4 million in the third quarter of 2013 compared to the same period of 2012. We expect G&amp;A costs to decrease throughout the remainder of 2013 compared to 2012 as we continue to reduce our operating costs and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and Income and Interest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warrant liability was incurred as a result of warrants we issued in a public offering in September 2009. In connection with a securities purchase agreement and offering in the second quarter of 2013, the investors in the offering agree to waive their rights to exercise the warrants to purchase 1,398,816 shares of common stock of the Company until the Company had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(June 3, 2013). Prior to the offering the warrants described above were originally recorded as equity at the fair value on the date of their issuance. In accordance with ASC 815-40, </w:t>
      </w:r>
      <w:r>
        <w:rPr>
          <w:rFonts w:ascii="Times New Roman" w:cs="Times New Roman" w:eastAsia="Times New Roman" w:hAnsi="Times New Roman"/>
          <w:sz w:val="18"/>
          <w:szCs w:val="18"/>
          <w:i w:val="1"/>
          <w:iCs w:val="1"/>
          <w:color w:val="auto"/>
        </w:rPr>
        <w:t>Derivative Instruments and Hedging - Contracts in Entity’s Own Equity ,</w:t>
      </w:r>
      <w:r>
        <w:rPr>
          <w:rFonts w:ascii="Times New Roman" w:cs="Times New Roman" w:eastAsia="Times New Roman" w:hAnsi="Times New Roman"/>
          <w:sz w:val="18"/>
          <w:szCs w:val="18"/>
          <w:color w:val="auto"/>
        </w:rPr>
        <w:t xml:space="preserve"> these warrants are required to be classified as liabilities immediately after the closing of the common stock offering on June 3, 2013 because there were an insufficient number of common shares authorized to permit the full exercise of the warrants if they were exercised. Therefore, these warrants are required to be recorded at fair value at each balance sheet date with changes in fair value recorded in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liability associated with these warrants is calculated at its fair market value using the Black-Scholes option-pricing model and is adjusted at the end of each quarter. For the third quarter ended September 30, 2013, we recorded a non-cash charge of $0.5 million based on the change in the fair value of the warrants compared to a non-cash charge of $0.9 million in the same period of 2012.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credit facility entered into with Oxford Financial LLC and Horizon Technology Finance Corporation during the second quarter of 2012, the Company incurred $0.2 million in interest expense in each of the third quarters of 2013 and 2012.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2013 and 2012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continue to be amortized over the 10 year term of the agreement; therefore we recorded deferred revenue of $375,000 for the nine months ended September 30, 2013. We had no licensing revenue in 2012.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decreased by $4.8 million from $12.3 million in the first nine months of 2012 to $7.5 million in the same period of 2013. Costs associated with the HEAT Study decreased to $3.0 million in the nine months of 2013 compared to $6.0 million in the same period of 2012 primarily due to reduced costs associated with the HEAT Study when the data results were announced on January 31, 2013. Costs associated with our recurrent chest wall breast cancer clinical trial remained relatively unchanged at $0.3 million in the first nine months of 2013 compared to the same period of 2012. Costs associated with our colorectal liver metastases trial were insignificant in the first nine months of 2013 compared to $0.2 million in the same period of 2012. Other R&amp;D costs related to preclinical operations and regulatory operations decreased to $1.0 million in the first nine months of 2013 compared to $1.5 million in the same period of 2012. Costs associated with the production of ThermoDox® decreased to $2.3 million in the first nine months of 2013 compared to $3.2 million the same period of 2012.</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2013, the Company has implemented a restructuring program to lower its operating costs to conserve capital to ensure that our costs are adequately aligned with our resources and business strategy. The program included elimination of approximately one-third of Celsion’s workforce and the deferral of expenses associated with the Company’s Phase II study for colorectal liver metastasis (the ablate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increased to $5.0 million in the first nine months of 2013 compared to $4.6 million in the same period of 2012. This increase is largely the result of an increase in professional fees in the first nine months of 2013 and severance costs ($0.2 million in 2013) related to the April 2013 restructuring program as discussed above compared to the same period of 2012. We expect G&amp;A costs to decrease throughout the remainder of 2013 compared to 2012 as we continue to reduce our operating costs and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and Income and Interest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warrant liability was incurred as a result of warrants we issued in a public offering in September 2009. In connection with a securities purchase agreement and offering in the second quarter of 2013, the investors in the offering agree to waive their rights to exercise the warrants to purchase 1,398,816 shares of common stock of the Company until the Company had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(June 3, 2013). Prior to the offering the warrants described above were originally recorded as equity at the fair value on the date of their issuance. In accordance with ASC 815-40, </w:t>
      </w:r>
      <w:r>
        <w:rPr>
          <w:rFonts w:ascii="Times New Roman" w:cs="Times New Roman" w:eastAsia="Times New Roman" w:hAnsi="Times New Roman"/>
          <w:sz w:val="18"/>
          <w:szCs w:val="18"/>
          <w:i w:val="1"/>
          <w:iCs w:val="1"/>
          <w:color w:val="auto"/>
        </w:rPr>
        <w:t>Derivative Instruments and Hedging - Contracts in Entity’s Own Equity ,</w:t>
      </w:r>
      <w:r>
        <w:rPr>
          <w:rFonts w:ascii="Times New Roman" w:cs="Times New Roman" w:eastAsia="Times New Roman" w:hAnsi="Times New Roman"/>
          <w:sz w:val="18"/>
          <w:szCs w:val="18"/>
          <w:color w:val="auto"/>
        </w:rPr>
        <w:t xml:space="preserve"> these warrants are required to be classified as liabilities immediately after the closing of the common stock offering on June 3, 2013 because there were an insufficient number of common shares authorized to permit the full exercise of the warrants if they were exercised. Therefore, these warrants are required to be recorded at fair value at each balance sheet date with changes in fair value recorded in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liability associated with these warrants is calculated at its fair market value using the Black-Scholes option-pricing model and is adjusted at the end of each quarter. For the nine months ended September 30, 2013, we recorded a non-cash benefit of $8.1 million based on the change in the fair value of the warrants compared to a non-cash charge of $1.3 million in the same period of 2012.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credit facility entered into with Oxford Financial LLC and Horizon Technology Finance Corporation during the second quarter of 2012, the Company incurred $0.5 million in interest expense in the first nine months of 2013 compared to $0.2 million in the same period of 2012.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agreement with Hisun. The process of developing and commercializing ThermoDox®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revenues, and we had an accumulated deficit of $165 million at September 30, 2013.</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2013, we had total current assets of $46.1 million (including cash, short term investments and related accrued interest on the short term investments of $45.5 million) and current liabilities of $6.1 million, resulting in working capital of $40.0 million. At December 31, 2012, we had total current assets of $23.6 million (including cash and short term investments and related accrued interest on the short term investments of $23.1 million) and current liabilities of $5.0 million, resulting in working capital of $18.6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2013 was $6.4 million. Our net loss for the first nine months of 2013 included $1.0 million in non-cash stock-based compensation expense and $8.1 million in non-cash benefit based on the change in the common stock warrant liability.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$28.9 million during the first nine months of 2013 which consisted of approximately $6.7 million of net proceeds from sale of 1,195,927 shares of the Company’s common stock in connection with the ATM Agreement, approximately $13.6 million of net proceeds from sale of approximately 15,000 shares of the Company’s Series A 0% convertible preferred stock and the warrants to purchase shares of its common stock in the Preferred Stock Offering, approximately $9.1 million of net proceeds from the sale of 1,392,109 shares of its common stock and approximately $0.4 million of gross proceeds from the exercise of options and warrants to purchase approximately 28,000 shares of the Company’s common stock. This was partially offset by approximately $0.8 million of principal payment on its notes payable.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18, 2013, we entered into a technology development contract with Hisun, pursuant to which Hisun paid us a non-refundable research and development fee of $5.0 million to support our development of ThermoDox® in mainland China, Hong Kong and Macau.</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The ATM Agreement will terminate upon the earlier of (i) the sale of ATM Shares under the ATM Agreement having an aggregate offering price of $25.0 million and (ii) the termination of the ATM Agreement by Cantor or the Company. The ATM Agreement may be terminated by Cantor or Celsion at any time upon 10 days' notice to the other party, or by Cantor at any time in certain circumstances, including the occurrence of a material adverse change in Celsion. The Company will pay Cantor a commission of 3.0% of the aggregate gross proceeds from each sale of ATM Shares and has agreed to provide Cantor with customary indemnification and contribution rights. The Company reimbursed Cantor for legal fees and disbursements of $50,000 in connection with entering into the ATM Agreement. In connection with the preferred stock offering in February 2013 discussed below, the Company agreed to not sell any ATM Shares for a period of one year from February 26, 2013. From February 1, 2013 through February 25, 2013, the Company has sold and issued an aggregate of 1,195,927 shares under the ATM Agreement, receiving approximately $6.8 million in net proceeds.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22, 2013, the Company entered into a Securities Purchase Agreement with certain institutional investors, pursuant to which the Company agreed to sell,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its issuance. As of September 30, 2013, the Company issued 2,682,764 shares of common stock upon conversion of all 15,000.0042 shares of the Series A 0% convertible 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issuance, we estimated the fair value of the warrants issued in the February 2013 Preferred Stock Offering to be approximately $5.4 million using the Black-Scholes pricing model. Also, upon issuance, we recognized approximately $4.6 million as a one time non-cash deemed dividend related to the beneficial conversion feature connected to the preferred stock in the Preferred Stock Offering.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 (the “Common Stock Offering”). The closing of the Common Stock Offering occurred on June 3, 2013 . The issuance of Common Stock in the Common Stock Offering was made pursuant to the Company’s previously filed and effective Registration Statement on Form S-3 (File No. 333-183286), the base prospectus dated September 14, 2012 filed as part of such Registration Statement, and the prospectus supplement filed with the Securities and Exchange Commission on June 3, 2013. The Securities Purchase Agreement also contained representations, warranties, indemnification and other provisions customary for transactions of this nature.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closing of the Common Stock Offering, there were an insufficient number of authorized shares to complete the transaction. The investors in the Common Stock Offering also held warrants to purchase previously reserved and registered shares of common stock of the Company which were issued in connection with previous offerings. Concurrent with the closing of the Common Stock Offering, the institutional investors agreed to waive their rights to exercise the these warrants to purchase 1,392,109 shares of common stock of the Company (the “Waived Warrants”) until the Company has obtained stockholders’ approval of increasing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Prior to the closing of the Common Stock Offering, the warrants described above were originally recorded as equity at the fair value on the date of issuance. In accordance with ASC 815-40, </w:t>
      </w:r>
      <w:r>
        <w:rPr>
          <w:rFonts w:ascii="Times New Roman" w:cs="Times New Roman" w:eastAsia="Times New Roman" w:hAnsi="Times New Roman"/>
          <w:sz w:val="18"/>
          <w:szCs w:val="18"/>
          <w:i w:val="1"/>
          <w:iCs w:val="1"/>
          <w:color w:val="auto"/>
        </w:rPr>
        <w:t>Derivative Instruments and Hedging - Contracts in Entity’s Own Equity,</w:t>
      </w:r>
      <w:r>
        <w:rPr>
          <w:rFonts w:ascii="Times New Roman" w:cs="Times New Roman" w:eastAsia="Times New Roman" w:hAnsi="Times New Roman"/>
          <w:sz w:val="18"/>
          <w:szCs w:val="18"/>
          <w:color w:val="auto"/>
        </w:rPr>
        <w:t xml:space="preserve"> the Waived Warrants are required to be classified as liabilities immediately after the closing of the Common Stock Offering on June 3, 2013 because there were an insufficient number of common shares authorized to permit the full exercise of the warrants. Therefore, the Company has reclassified the fair value the Waived Warrants totaling approximately $9.1 million from equity to a liability as of June 3, 2013. The Waived Warrants are required to be recorded at fair value at each balance sheet date with changes in fair value recorded in earnings until such time as there are a sufficient number of common shares authorized to permit the full exercise of the warrants. In connection with the reverse stock split as more fully described below, these warrants will be revalued as of October 28, 2013 and be reclassified from liability to equity.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jc w:val="both"/>
        <w:ind w:firstLine="68"/>
        <w:spacing w:after="0" w:line="261" w:lineRule="auto"/>
        <w:rPr>
          <w:sz w:val="20"/>
          <w:szCs w:val="20"/>
          <w:color w:val="auto"/>
        </w:rPr>
      </w:pPr>
      <w:r>
        <w:rPr>
          <w:rFonts w:ascii="Times New Roman" w:cs="Times New Roman" w:eastAsia="Times New Roman" w:hAnsi="Times New Roman"/>
          <w:sz w:val="18"/>
          <w:szCs w:val="18"/>
          <w:color w:val="auto"/>
        </w:rPr>
        <w:t>On October 28, 2013, the Company announced that it effected a 1-for-4.5 reverse stock split of its common stock which was made effective for trading purposes as of the commencement of trading on October 29, 2013. As of that date, each 9 shares of issued and outstanding common stock and equivalents will be consolidated into 2 shares of common stock. In addition, at the market open on October 29, 2013, the Company’s common stock started trading under a new CUSIP number 15117N404 although the Company’s ticker symbol, CLSN, remained unchanged.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2013 Annual Meeting held on July 19, 2013, and the Company subsequently filed a Certificate of Amendment to its Certificate of Incorporation to effect the stock consolidation. The primary reasons for the reverse stock split and the amendments are:</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market price of the Company’s common stock making it more attractive to a broader range of institutional and other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announced, to facilitate expanding the Company’s business or product lines through potential acquisitions.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61,226,873 shares of common stock outstanding which consolidated into 13,604,975 shares of the Company’s common stock. The number of authorized shares and the par value per share remained unchanged.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3.9 million to approximately 0.9 million and outstanding warrants being reduced from approximately 13.8 million to approximately 3.1 million.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reassessed the application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 it relates to the 8% Series A Redeemable Convertible Preferred Stock Offering completed in January 2011 (the January 2011 Preferred Offering). The Company received gross proceeds from the January 2011 Preferred Offering of approximately $5.1 million in which it sold 5,000 shares of 8% redeemable convertible preferred stock with a stated value of $1,000 per share, each share convertible into 92.5926 shares of common stock, and warrants to purchase up to approximately 463,000 shares of common stock. All 5,000 shares of preferred stock sold in the January 2011 Preferred Offering were converted into the stated number of common stock shares as of August 2011. ASC 470-20 requires the Company to value the preferred stock and common stock warrants, any resulting beneficial conversion feature(s) resulting from the valuation of these securities and to determine and record the value of each of these securities or conversion feature as debt or equity based on the interpretation and application of ASC 470-20.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allocated the proceeds of the Offering between the redeemable preferred stock and the warrants based on fair value and correctly recorded the redeemable preferred stock as a liability (debt), but did not consider the embedded beneficial conversion feature (BCF) associated with the redeemable preferred stock. ASC 470-20 required the Company to record a BCF of approximately $5 million at the time of issuance of the $5 million convertible Preferred Stock offering and to amortize the BCF as non-cash interest expense over the conversion period. Since all 462,960 shares were converted by August 8, 2011, the entire $5 million of BCF should have been amortized as interest expense during 2011. As a result, the Company’s interest expense and net loss were understated by $5 million. The error had no effect on cash, cash flows or total shareholders’ equity during 2011 and had no effect on cash, cash flows, net income or total shareholders’ equity for any subsequent periods. After considering the quantitative and qualitative effects of the errors to the 2011 annual financial statements, as well as the quarterly period financial statements within 2011, in the opinion of management the error is not material to assessing the financial condition or operations of the Company. The Company has adjusted additional paid-in capital and a corresponding offset to retained earnings on the September 30, 2013 and December 31, 2012 balance sheets to reflect this adjustment.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develop our product candidates through clinical development, manufacturing, and commercialization or to pursue licensing or strategic transactions. We may seek additional capital through further public or private equity offerings, debt financing, additional strategic alliance and licensing arrangements, collaborative arrangements or some combination of these alternatives. If we raise additional funds through the issuance of equity securities, stockholders will likely experience dilution and the equity securities may have rights, preferences, or privileges senior to those of the holders of our common stock. If we raise funds through the issuance of debt securities, those securities would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which we would otherwise seek to develop or commercialize on our own, or to license the rights to our technologies, product candidates, or products on terms that are not favorable to us.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status of the economic climate could also result in the terms of any equity offering, debt financing, or alliance, license, or other arrangement being even less favorable to us and our stockholders than if the overall economic climate were stronger. In addition, we may continue to seek government sponsored research collaborations and grants.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off-balance sheet financing arrangements. There were no material changes during the nine months ended September 30, 2013 to our operating leases, which are disclosed in the contractual commitments table in our Annual Report on Form 10-K for the fiscal year ended December 31, 2012 filed on March 18, 2013 and our Amendment No. 1 to the Annual Report on Form 10-K/A filed on April 30, 2013 with the Securities and Exchange Commission.</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2013,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identified in connection with the evaluation required by paragraph (d) of Rule 13a-15 of the Securities Exchange Act of 1934, as amended, that occurred during the nine months ended September 30, 2013 that have materially affected, or are reasonably likely to materially affect, our internal controls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you should understand that it is not possible to predict or identify all such factors. Consequently, you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2012 filed on March 18, 2013 and our Amendment No. 1 to the Annual Report on Form 10-K/A filed on April 30, 2013 with the Securities and Exchange Commission. In assessing these risks, investors should also refer to the other information contained or incorporated by reference in this Quarterly Report on Form 10-Q and our Annual Report on Annual Report on Form 10-K for the fiscal year ended December 31, 2012 filed on March 18, 2013 and our Amendment No. 1 to the Annual Report on Form 10-K/A filed on April 30, 2013 with the Securities and Exchange Commission including our consolidated financial statements and related notes, and our other filings made from time to time with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significant losses from continuing operations and expect to continue such losses for the foreseeable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revenues, resulting in continuing losses and an accumulated deficit of $165 million at September 30, 2013. Because we presently have no product revenues and we are committed to continuing our product research, development and commercialization programs, we will continue to experience significant operating losses unless and until we complete the development of ThermoDox® and other new products and these products have been clinically tested, approved by the U.S. Food and Drug Administration (FDA) and successfully marketed.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number of drug candidates in research and development ranging from the early discovery research phase through preclinical testing and clinical trials. Preclinical testing and clinical trials are long, expensive and highly uncertain processes and failure can unexpectedly occur at any stage of clinical development. Drug development is very risky. It will take us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2013, we announced that our lead product ThermoDox® in combination with radiofrequency ablation failed to meet the primary endpoint of the Phase III clinical trial for primary liver cancer (the HEAT study). We have not completed our final analysis of the data and do not know the extent to which, if any, the failure of ThermoDox® to meet its primary endpoint in the Phase III trial could impact our other ongoing studies of ThermoDox®. ThermoDox® is also being evaluated in a Phase II clinical trial for recurrent chest wall breast cancer and other preclinical studies. Even with success in preclinical testing and previously completed clinical trials, the risk of clinical failure for any drug candidate remains high prior to regulatory approval. Even if ThermoDox® has positive results in its Phase II clinical trials, there is a substantial risk that it will fail to have sufficiently positive results in Phase III clinical trials with regard to efficacy, safety or other clinical outcomes. One or more of our clinical studies could fail at any time, as evidenced by the failure of ThermoDox® to meet its primary endpoint in the HEAT study. The failure of one or more of our drug candidates or development programs could have a material adverse effect on our business, financial condition and results of operations.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expect to generate significant revenue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devoted our resources to developing a new generation of products and will not be able to market these products until we have completed clinical trials and obtain all necessary governmental approvals. Our lead product candidate, ThermoDox®, is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will continue to follow the patients enrolled in the Heat study to the secondary endpoint, overall survival. ThermoDox® is currently also being evaluated in Phase II clinical trials and other preclinical studies. We do not expect to realize any revenues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2013, we had approximately $45.5 million in cash, cash equivalents and short-term investments. We have substantial future capital requirements to continue our research and development activities and advance our drug candidates through various development stages. For example, ThermoDox® is being evaluated in a Phase II clinical trial for colorectal liver metastasis, a Phase II clinical trial for recurrent chest wall breast cancer and other preclinical studies. We will conduct additional analyses of the data from the HEAT study to assess the future strategic value of ThermoDox® and are performing sub-group analysis of the Chinese cohort of patients in the HEAT study and other activities for further development of ThermoDox® for mainland China , Hong Kong and Macau . To complete the development and commercialization of our product candidates, we will need to raise substantial amounts of additional capital to fund our operations.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We have entered into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and expect to continue to rely, on third-party clinical research organizations to conduct our clinical trials. Because we do not conduct our own clinical trials, we must rely on the efforts of others and cannot always control or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expensive, we may not receive development milestone payments when expected or at all, and we may not be able to obtain regulatory approval for or successfully commercialize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revenues or royalties.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or retain key officers or employees that we need to implement our business strategy and develop our products and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significantly on the continued contributions of our executive officers, scientific and technical personnel and consultants, and on our ability to attract additional personnel as we seek to implement our business strategy and develop our products and businesses.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engage in acquisitions, reorganizations or business combinations, we will incur a variety of risks that could adversely affect our business operations or our stockholders.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consider strategic alternatives intended to further the development of our business, which may include acquiring businesses, technologies or products or entering into a business combination with another company. If we do pursue such a strategy, we could, among other things:</w:t>
      </w:r>
    </w:p>
    <w:p>
      <w:pPr>
        <w:spacing w:after="0" w:line="162" w:lineRule="exact"/>
        <w:rPr>
          <w:sz w:val="20"/>
          <w:szCs w:val="20"/>
          <w:color w:val="auto"/>
        </w:rPr>
      </w:pPr>
    </w:p>
    <w:p>
      <w:pPr>
        <w:ind w:left="1260" w:hanging="44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225" w:lineRule="exact"/>
        <w:rPr>
          <w:rFonts w:ascii="Times New Roman" w:cs="Times New Roman" w:eastAsia="Times New Roman" w:hAnsi="Times New Roman"/>
          <w:sz w:val="18"/>
          <w:szCs w:val="18"/>
          <w:color w:val="auto"/>
        </w:rPr>
      </w:pPr>
    </w:p>
    <w:p>
      <w:pPr>
        <w:ind w:left="1260" w:hanging="44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225" w:lineRule="exact"/>
        <w:rPr>
          <w:rFonts w:ascii="Times New Roman" w:cs="Times New Roman" w:eastAsia="Times New Roman" w:hAnsi="Times New Roman"/>
          <w:sz w:val="18"/>
          <w:szCs w:val="18"/>
          <w:color w:val="auto"/>
        </w:rPr>
      </w:pPr>
    </w:p>
    <w:p>
      <w:pPr>
        <w:ind w:left="1260" w:right="240" w:hanging="442"/>
        <w:spacing w:after="0" w:line="282"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in integrating new businesses, personnel intellectual property, technologies and products;</w:t>
      </w:r>
    </w:p>
    <w:p>
      <w:pPr>
        <w:spacing w:after="0" w:line="161" w:lineRule="exact"/>
        <w:rPr>
          <w:rFonts w:ascii="Times New Roman" w:cs="Times New Roman" w:eastAsia="Times New Roman" w:hAnsi="Times New Roman"/>
          <w:sz w:val="18"/>
          <w:szCs w:val="18"/>
          <w:color w:val="auto"/>
        </w:rPr>
      </w:pPr>
    </w:p>
    <w:p>
      <w:pPr>
        <w:ind w:left="1260" w:hanging="44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225" w:lineRule="exact"/>
        <w:rPr>
          <w:rFonts w:ascii="Times New Roman" w:cs="Times New Roman" w:eastAsia="Times New Roman" w:hAnsi="Times New Roman"/>
          <w:sz w:val="18"/>
          <w:szCs w:val="18"/>
          <w:color w:val="auto"/>
        </w:rPr>
      </w:pPr>
    </w:p>
    <w:p>
      <w:pPr>
        <w:ind w:left="1260" w:hanging="44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drug candidates;</w:t>
      </w:r>
    </w:p>
    <w:p>
      <w:pPr>
        <w:spacing w:after="0" w:line="225" w:lineRule="exact"/>
        <w:rPr>
          <w:rFonts w:ascii="Times New Roman" w:cs="Times New Roman" w:eastAsia="Times New Roman" w:hAnsi="Times New Roman"/>
          <w:sz w:val="18"/>
          <w:szCs w:val="18"/>
          <w:color w:val="auto"/>
        </w:rPr>
      </w:pPr>
    </w:p>
    <w:p>
      <w:pPr>
        <w:ind w:left="1260" w:hanging="442"/>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the loss of key personnel, or</w:t>
      </w:r>
    </w:p>
    <w:p>
      <w:pPr>
        <w:spacing w:after="0" w:line="225" w:lineRule="exact"/>
        <w:rPr>
          <w:rFonts w:ascii="Times New Roman" w:cs="Times New Roman" w:eastAsia="Times New Roman" w:hAnsi="Times New Roman"/>
          <w:sz w:val="18"/>
          <w:szCs w:val="18"/>
          <w:color w:val="auto"/>
        </w:rPr>
      </w:pPr>
    </w:p>
    <w:p>
      <w:pPr>
        <w:ind w:left="1260" w:right="240" w:hanging="442"/>
        <w:spacing w:after="0" w:line="282"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or a combination of both on terms that certain of our stockholders may not deem desirable.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different strategic alternatives, we have no agreements or understandings with respect to any acquisition, reorganization or business combination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Prior to the reverse stock Split on October 28, 2013, the closing price of our common stock had a high price of $4.23 and a low price of $1.69 in the 52-week period ended December 31, 2011, a high price of $8.83 and a low price of $1.64 in the 52-week period ended December 31, 2012 and a high price of $9.35 and a low price of $0.76 from January 1, 2013 through October 28, 2013. The closing price of our common stock had a high price of $5.14 and a low price of $3.99 for the period October 29, 2013 to November 8, 2013 after the 1-4.5 reverse stock split went effective on October 28, 2013. Among the factors that may cause the market price of our common stock to fluctuate are the risks described in this “Risk Factors” section and other factors, including:</w:t>
      </w:r>
    </w:p>
    <w:p>
      <w:pPr>
        <w:spacing w:after="0" w:line="189" w:lineRule="exact"/>
        <w:rPr>
          <w:sz w:val="20"/>
          <w:szCs w:val="20"/>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or the operating results of our competitors;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investors;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or maintain market acceptance or commercial success;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serve;</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the pricing policies of our competitors;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new products, contracts, acquisitions or strategic alliances by us or our competitors;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regulatory policies, practices or actions;</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279"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our stockholders; and</w:t>
      </w:r>
    </w:p>
    <w:p>
      <w:pPr>
        <w:spacing w:after="0" w:line="225" w:lineRule="exact"/>
        <w:rPr>
          <w:rFonts w:ascii="Times New Roman" w:cs="Times New Roman" w:eastAsia="Times New Roman" w:hAnsi="Times New Roman"/>
          <w:sz w:val="18"/>
          <w:szCs w:val="18"/>
          <w:color w:val="auto"/>
        </w:rPr>
      </w:pPr>
    </w:p>
    <w:p>
      <w:pPr>
        <w:ind w:left="1860" w:hanging="766"/>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November 8, 2013, the closing bid price of our common stock was $3.99 the total market value of our publicly held shares of our common stock (excluding shares held by our executive officers, directors and 10% or more stockholders) was approximately $53 million and the total market value of our listed securities was approximately $54 million. As of September 30, 2013, we had stockholders’ equity of $29 million. However, there is no assurance that we will continue to meet the minimum closing price requirement and other listing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2013, the Company effected a 1-for-4.5 reverse stock split of its common stock. The reverse split may improve the Company’s ability to meet NASDAQ’s closing bid price requirement. Other companies have found that the increased stock prices resulting from reverse splits tend to diminish over time unless supported by positive developments in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8, 2013, we had 13,604,975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40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Our stockholders may experience significant dilution as a result of future equity offerings or issuance. Investors purchasing shares or other securities in the future could have rights superior to existing stockholders. As of November 8, 2013, we have a significant number of securities convertible into, or allowing the purchase of, our common stock, 3,073,027 shares of common stock issuable upon exercise of warrants outstanding, 868,646 options to purchase shares of our common stock and restricted stock awards outstanding, and 326,966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In connection with the Series A 0% convertible preferred stock offering, the Company agreed to not sell any ATM Shares for a period of one year from February 26, 2013. In connection with the Common Stock Offering, the Company agreed to not sell any ATM Shares for an extended period of one year from June 3, 2013.</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reassessed its accounting of its preferred stock offering in 2011 based on a review by the Public Company Accounting Oversight Board of its 2011 financial statement audit.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reassessed the application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 it relates to the 8% Series A Redeemable Convertible Preferred Stock Offering completed in January 2011 (the January 2011 Preferred Offering). The Company received gross proceeds from the January 2011 Preferred Offering of approximately $5.1 million in which it sold 5,000 shares of 8% redeemable convertible preferred stock with a stated value of $1,000 per share, each share convertible into 92.5926 shares of common stock, and warrants to purchase up to approximately 463,000 shares of common stock. All 5,000 shares of preferred stock sold in the January 2011 Preferred Offering were converted into the stated number of common stock shares as of August 2011. ASC 470-20 requires the Company to value the preferred stock and common stock warrants, any resulting beneficial conversion feature(s) resulting from the valuation of these securities and to determine and record the value of each of these securities or conversion feature as debt or equity based on the interpretation and application of ASC 470-20.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allocated the proceeds of the Offering between the redeemable preferred stock and the warrants based on fair value and correctly recorded the redeemable preferred stock as a liability (debt), but did not consider the embedded beneficial conversion feature (BCF) associated with the redeemable preferred stock. ASC 470-20 required the Company to record a BCF of approximately $5 million at the time of issuance of the $5 million convertible Preferred Stock offering and to amortize the BCF as non-cash interest expense over the conversion period. Since all 462,960 shares were converted by August 8, 2011, the entire $5 million of BCF should have been amortized as interest expense during 2011. As a result, the Company’s interest expense and net loss were understated by $5 million. The error had no effect on cash, cash flows or total shareholders’ equity during 2011 and had no effect on cash, cash flows, net income or total shareholders’ equity for any subsequent periods. After considering the quantitative and qualitative effects of the errors to the 2011 annual financial statements, as well as the quarterly period financial statements within 2011, in the opinion of management the error is not material to assessing the financial condition or operations of the Company. If the SEC were to disagree with our conclusion, we could be asked to restate the Company’s 2011 financial statements. The Company has adjusted additional paid-in capital and a corresponding offset to retained earnings on the September 30, 2013 and December 31, 2012 balance sheets to reflect this adjustment.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2012 and 2011, the Company performed analyses to determine if there were changes in ownership, as defined by Section 382 of the Internal Revenue Code that would limit its ability to utilize certain net operating loss and tax credit carryforwards. The Company determined that it experienced an ownership change, as defined by Section 382, in connection with its registered direct and private placement offerings on July 25, 2011. As a result, the utilization of the Company’s federal tax net operating loss carryforwards generated prior to the ownership change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Purchase Agreement, dated February 22, 2013, by and among Celsion Corporation and the purchasers named therein,</w:t>
            </w:r>
          </w:p>
        </w:tc>
      </w:tr>
      <w:tr>
        <w:trPr>
          <w:trHeight w:val="216"/>
        </w:trPr>
        <w:tc>
          <w:tcPr>
            <w:tcW w:w="76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herein by reference to Exhibit 10.1 to the Current Report on Form 8-K of the Company, filed with the SEC on February 26,</w:t>
            </w:r>
          </w:p>
        </w:tc>
      </w:tr>
      <w:tr>
        <w:trPr>
          <w:trHeight w:val="234"/>
        </w:trPr>
        <w:tc>
          <w:tcPr>
            <w:tcW w:w="76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2013.</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Securities Purchase Agreement dated as of May 30, 2013, by and among Celsion Corporation and the purchasers named therein, incorporated</w:t>
            </w:r>
          </w:p>
        </w:tc>
      </w:tr>
      <w:tr>
        <w:trPr>
          <w:trHeight w:val="234"/>
        </w:trPr>
        <w:tc>
          <w:tcPr>
            <w:tcW w:w="76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herein by reference to Exhibit 10.1 to the Current Report on Form 8-K of the Company, filed with the SEC on June 3, 2013.</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 of Celsion Corporation incorporated herein by reference to Exhibit 3.1 to the</w:t>
            </w:r>
          </w:p>
        </w:tc>
      </w:tr>
      <w:tr>
        <w:trPr>
          <w:trHeight w:val="234"/>
        </w:trPr>
        <w:tc>
          <w:tcPr>
            <w:tcW w:w="76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Report on Form 8-K of the Company, filed with the SEC on October 28, 2013.</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as adopted pursuant to Section 302 of the Sarbanes-Oxley</w:t>
            </w:r>
          </w:p>
        </w:tc>
      </w:tr>
      <w:tr>
        <w:trPr>
          <w:trHeight w:val="234"/>
        </w:trPr>
        <w:tc>
          <w:tcPr>
            <w:tcW w:w="76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w:t>
            </w:r>
          </w:p>
        </w:tc>
      </w:tr>
      <w:tr>
        <w:trPr>
          <w:trHeight w:val="4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 Section 302 of the Sarbanes-Oxley</w:t>
            </w:r>
          </w:p>
        </w:tc>
      </w:tr>
      <w:tr>
        <w:trPr>
          <w:trHeight w:val="234"/>
        </w:trPr>
        <w:tc>
          <w:tcPr>
            <w:tcW w:w="76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 of 2002.</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bl>
    <w:p>
      <w:pPr>
        <w:spacing w:after="0" w:line="198" w:lineRule="exact"/>
        <w:rPr>
          <w:sz w:val="20"/>
          <w:szCs w:val="20"/>
          <w:color w:val="auto"/>
        </w:rPr>
      </w:pPr>
    </w:p>
    <w:p>
      <w:pPr>
        <w:ind w:left="1020" w:hanging="96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980" w:right="80" w:hanging="979"/>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September 30, 2013,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0" w:lineRule="exact"/>
        <w:rPr>
          <w:sz w:val="20"/>
          <w:szCs w:val="20"/>
          <w:color w:val="auto"/>
        </w:rPr>
      </w:pPr>
    </w:p>
    <w:p>
      <w:pPr>
        <w:jc w:val="both"/>
        <w:ind w:left="980" w:right="20" w:hanging="280"/>
        <w:spacing w:after="0" w:line="261"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rFonts w:ascii="Times New Roman" w:cs="Times New Roman" w:eastAsia="Times New Roman" w:hAnsi="Times New Roman"/>
          <w:sz w:val="18"/>
          <w:szCs w:val="18"/>
          <w:color w:val="auto"/>
        </w:rPr>
      </w:pPr>
    </w:p>
    <w:p>
      <w:pPr>
        <w:jc w:val="both"/>
        <w:ind w:left="960" w:right="20" w:hanging="364"/>
        <w:spacing w:after="0" w:line="261"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180" w:lineRule="exact"/>
        <w:rPr>
          <w:rFonts w:ascii="Times New Roman" w:cs="Times New Roman" w:eastAsia="Times New Roman" w:hAnsi="Times New Roman"/>
          <w:sz w:val="18"/>
          <w:szCs w:val="18"/>
          <w:color w:val="auto"/>
        </w:rPr>
      </w:pPr>
    </w:p>
    <w:p>
      <w:pPr>
        <w:ind w:left="960" w:right="20" w:hanging="45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036" w:right="4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2013</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17145</wp:posOffset>
            </wp:positionV>
            <wp:extent cx="3610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4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H. Tardugno</w:t>
      </w:r>
    </w:p>
    <w:p>
      <w:pPr>
        <w:spacing w:after="0" w:line="2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164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left="54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Jeffrey W. Church</w:t>
      </w:r>
    </w:p>
    <w:p>
      <w:pPr>
        <w:spacing w:after="0" w:line="2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1642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0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800" w:hanging="454"/>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800" w:right="240" w:hanging="454"/>
        <w:spacing w:after="0" w:line="266"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00" w:right="260" w:hanging="454"/>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00" w:right="260" w:hanging="454"/>
        <w:spacing w:after="0" w:line="261"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 (f)), for the registrant and have:</w:t>
      </w:r>
    </w:p>
    <w:p>
      <w:pPr>
        <w:spacing w:after="0" w:line="206" w:lineRule="exact"/>
        <w:rPr>
          <w:rFonts w:ascii="Times New Roman" w:cs="Times New Roman" w:eastAsia="Times New Roman" w:hAnsi="Times New Roman"/>
          <w:sz w:val="18"/>
          <w:szCs w:val="18"/>
          <w:color w:val="auto"/>
        </w:rPr>
      </w:pPr>
    </w:p>
    <w:p>
      <w:pPr>
        <w:jc w:val="both"/>
        <w:ind w:left="800" w:right="260" w:hanging="238"/>
        <w:spacing w:after="0" w:line="266"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800" w:right="240" w:hanging="248"/>
        <w:spacing w:after="0" w:line="266"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00" w:right="240" w:hanging="238"/>
        <w:spacing w:after="0" w:line="282"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00" w:right="240" w:hanging="248"/>
        <w:spacing w:after="0" w:line="282"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800" w:right="260" w:hanging="454"/>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00" w:right="240" w:hanging="238"/>
        <w:spacing w:after="0" w:line="282"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00" w:right="240" w:hanging="248"/>
        <w:spacing w:after="0" w:line="282" w:lineRule="auto"/>
        <w:tabs>
          <w:tab w:leader="none" w:pos="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4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Celsion Corporation</w:t>
            </w:r>
          </w:p>
        </w:tc>
      </w:tr>
      <w:tr>
        <w:trPr>
          <w:trHeight w:val="42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2013</w:t>
            </w:r>
          </w:p>
        </w:tc>
        <w:tc>
          <w:tcPr>
            <w:tcW w:w="1760" w:type="dxa"/>
            <w:vAlign w:val="bottom"/>
          </w:tcPr>
          <w:p>
            <w:pPr>
              <w:spacing w:after="0"/>
              <w:rPr>
                <w:sz w:val="24"/>
                <w:szCs w:val="24"/>
                <w:color w:val="auto"/>
              </w:rPr>
            </w:pPr>
          </w:p>
        </w:tc>
        <w:tc>
          <w:tcPr>
            <w:tcW w:w="46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Michael H. Tardugno</w:t>
            </w:r>
          </w:p>
        </w:tc>
      </w:tr>
      <w:tr>
        <w:trPr>
          <w:trHeight w:val="191"/>
        </w:trPr>
        <w:tc>
          <w:tcPr>
            <w:tcW w:w="3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6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800" w:hanging="45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Celsion Corporation;</w:t>
      </w:r>
    </w:p>
    <w:p>
      <w:pPr>
        <w:spacing w:after="0" w:line="225" w:lineRule="exact"/>
        <w:rPr>
          <w:rFonts w:ascii="Times New Roman" w:cs="Times New Roman" w:eastAsia="Times New Roman" w:hAnsi="Times New Roman"/>
          <w:sz w:val="18"/>
          <w:szCs w:val="18"/>
          <w:color w:val="auto"/>
        </w:rPr>
      </w:pPr>
    </w:p>
    <w:p>
      <w:pPr>
        <w:jc w:val="both"/>
        <w:ind w:left="800" w:right="240" w:hanging="454"/>
        <w:spacing w:after="0" w:line="266"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00" w:right="260" w:hanging="454"/>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00" w:right="260" w:hanging="454"/>
        <w:spacing w:after="0" w:line="261"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 (f)), for the registrant and have:</w:t>
      </w:r>
    </w:p>
    <w:p>
      <w:pPr>
        <w:spacing w:after="0" w:line="206" w:lineRule="exact"/>
        <w:rPr>
          <w:rFonts w:ascii="Times New Roman" w:cs="Times New Roman" w:eastAsia="Times New Roman" w:hAnsi="Times New Roman"/>
          <w:sz w:val="18"/>
          <w:szCs w:val="18"/>
          <w:color w:val="auto"/>
        </w:rPr>
      </w:pPr>
    </w:p>
    <w:p>
      <w:pPr>
        <w:jc w:val="both"/>
        <w:ind w:left="800" w:right="260" w:hanging="238"/>
        <w:spacing w:after="0" w:line="266"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800" w:right="240" w:hanging="248"/>
        <w:spacing w:after="0" w:line="266"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00" w:right="240" w:hanging="23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00" w:right="240" w:hanging="24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800" w:right="260" w:hanging="454"/>
        <w:spacing w:after="0" w:line="282"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00" w:right="240" w:hanging="23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00" w:right="240" w:hanging="248"/>
        <w:spacing w:after="0" w:line="282" w:lineRule="auto"/>
        <w:tabs>
          <w:tab w:leader="none" w:pos="8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218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Celsion Corporation</w:t>
            </w:r>
          </w:p>
        </w:tc>
      </w:tr>
      <w:tr>
        <w:trPr>
          <w:trHeight w:val="4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2013</w:t>
            </w: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Jeffrey W. Church</w:t>
            </w:r>
          </w:p>
        </w:tc>
      </w:tr>
      <w:tr>
        <w:trPr>
          <w:trHeight w:val="191"/>
        </w:trPr>
        <w:tc>
          <w:tcPr>
            <w:tcW w:w="4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2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16"/>
        </w:trPr>
        <w:tc>
          <w:tcPr>
            <w:tcW w:w="4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4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CELSION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2013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2" w:lineRule="exact"/>
        <w:rPr>
          <w:sz w:val="20"/>
          <w:szCs w:val="20"/>
          <w:color w:val="auto"/>
        </w:rPr>
      </w:pPr>
    </w:p>
    <w:tbl>
      <w:tblPr>
        <w:tblLayout w:type="fixed"/>
        <w:tblInd w:w="2180" w:type="dxa"/>
        <w:tblCellMar>
          <w:top w:w="0" w:type="dxa"/>
          <w:left w:w="0" w:type="dxa"/>
          <w:bottom w:w="0" w:type="dxa"/>
          <w:right w:w="0" w:type="dxa"/>
        </w:tblCellMar>
      </w:tblP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2013</w:t>
            </w: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r>
      <w:tr>
        <w:trPr>
          <w:trHeight w:val="191"/>
        </w:trPr>
        <w:tc>
          <w:tcPr>
            <w:tcW w:w="3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7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2013</w:t>
            </w:r>
          </w:p>
        </w:tc>
        <w:tc>
          <w:tcPr>
            <w:tcW w:w="23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r>
      <w:tr>
        <w:trPr>
          <w:trHeight w:val="191"/>
        </w:trPr>
        <w:tc>
          <w:tcPr>
            <w:tcW w:w="31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7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Jeffrey W. Church</w:t>
            </w:r>
          </w:p>
        </w:tc>
      </w:tr>
      <w:tr>
        <w:trPr>
          <w:trHeight w:val="216"/>
        </w:trPr>
        <w:tc>
          <w:tcPr>
            <w:tcW w:w="3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3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jc w:val="both"/>
        <w:ind w:firstLine="8"/>
        <w:spacing w:after="0" w:line="266" w:lineRule="auto"/>
        <w:tabs>
          <w:tab w:leader="none" w:pos="1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2019-12-05T21:25:37Z</dcterms:created>
  <dcterms:modified xsi:type="dcterms:W3CDTF">2019-12-05T21:25:37Z</dcterms:modified>
</cp:coreProperties>
</file>