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3940" w:right="2240" w:hanging="3932"/>
        <w:spacing w:after="0" w:line="500"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2022</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340" w:right="2220" w:hanging="3332"/>
        <w:spacing w:after="0" w:line="500" w:lineRule="auto"/>
        <w:tabs>
          <w:tab w:leader="none" w:pos="3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001-15911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CELSION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52-1256615</w:t>
            </w:r>
          </w:p>
        </w:tc>
      </w:tr>
      <w:tr>
        <w:trPr>
          <w:trHeight w:val="198"/>
        </w:trPr>
        <w:tc>
          <w:tcPr>
            <w:tcW w:w="4020" w:type="dxa"/>
            <w:vAlign w:val="bottom"/>
            <w:tcBorders>
              <w:top w:val="single" w:sz="8" w:color="auto"/>
            </w:tcBorders>
          </w:tcPr>
          <w:p>
            <w:pPr>
              <w:jc w:val="center"/>
              <w:ind w:left="14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Lawrenceville</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NJ 08648</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CLSN</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1014" w:gutter="0" w:footer="0" w:header="0"/>
        </w:sectPr>
      </w:pPr>
    </w:p>
    <w:p>
      <w:pPr>
        <w:spacing w:after="0" w:line="147"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4900" w:space="720"/>
            <w:col w:w="5620"/>
          </w:cols>
          <w:pgMar w:left="320" w:top="740" w:right="339" w:bottom="1014" w:gutter="0" w:footer="0" w:header="0"/>
          <w:type w:val="continuous"/>
        </w:sectPr>
      </w:pPr>
    </w:p>
    <w:p>
      <w:pPr>
        <w:spacing w:after="0" w:line="1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13, 2022, the Registrant had 7,098,741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014"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40" w:type="dxa"/>
            <w:vAlign w:val="bottom"/>
            <w:gridSpan w:val="10"/>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39"/>
        </w:trPr>
        <w:tc>
          <w:tcPr>
            <w:tcW w:w="9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96"/>
        </w:trPr>
        <w:tc>
          <w:tcPr>
            <w:tcW w:w="10600" w:type="dxa"/>
            <w:vAlign w:val="bottom"/>
            <w:gridSpan w:val="21"/>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640" w:type="dxa"/>
            <w:vAlign w:val="bottom"/>
            <w:shd w:val="clear" w:color="auto" w:fill="CCEEFF"/>
          </w:tcPr>
          <w:p>
            <w:pPr>
              <w:spacing w:after="0"/>
              <w:rPr>
                <w:sz w:val="17"/>
                <w:szCs w:val="17"/>
                <w:color w:val="auto"/>
              </w:rPr>
            </w:pPr>
          </w:p>
        </w:tc>
      </w:tr>
      <w:tr>
        <w:trPr>
          <w:trHeight w:val="216"/>
        </w:trPr>
        <w:tc>
          <w:tcPr>
            <w:tcW w:w="9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Notes (Unaudited)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rPr>
                <w:sz w:val="15"/>
                <w:szCs w:val="15"/>
                <w:color w:val="auto"/>
              </w:rPr>
            </w:pP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2022 and 2021</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rPr>
                <w:sz w:val="15"/>
                <w:szCs w:val="15"/>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2022 and 2021</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rPr>
                <w:sz w:val="15"/>
                <w:szCs w:val="15"/>
                <w:color w:val="auto"/>
              </w:rPr>
            </w:pP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for the Three Months Ended March 31, 2022 and 2021</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770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2022 and 2021</w:t>
            </w:r>
          </w:p>
        </w:tc>
        <w:tc>
          <w:tcPr>
            <w:tcW w:w="192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980" w:type="dxa"/>
            <w:vAlign w:val="bottom"/>
          </w:tcPr>
          <w:p>
            <w:pPr>
              <w:spacing w:after="0"/>
              <w:rPr>
                <w:sz w:val="15"/>
                <w:szCs w:val="15"/>
                <w:color w:val="auto"/>
              </w:rPr>
            </w:pP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for the Three Months Ended March 31, 2022 and 2021</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40" w:type="dxa"/>
            <w:vAlign w:val="bottom"/>
            <w:shd w:val="clear" w:color="auto" w:fill="CCEEFF"/>
          </w:tcPr>
          <w:p>
            <w:pPr>
              <w:spacing w:after="0"/>
              <w:rPr>
                <w:sz w:val="17"/>
                <w:szCs w:val="17"/>
                <w:color w:val="auto"/>
              </w:rPr>
            </w:pPr>
          </w:p>
        </w:tc>
      </w:tr>
      <w:tr>
        <w:trPr>
          <w:trHeight w:val="216"/>
        </w:trPr>
        <w:tc>
          <w:tcPr>
            <w:tcW w:w="9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902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1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439"/>
        </w:trPr>
        <w:tc>
          <w:tcPr>
            <w:tcW w:w="9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280" w:type="dxa"/>
            <w:vAlign w:val="bottom"/>
            <w:tcBorders>
              <w:top w:val="single" w:sz="8" w:color="CCEEFF"/>
              <w:bottom w:val="single" w:sz="8" w:color="auto"/>
            </w:tcBorders>
            <w:gridSpan w:val="7"/>
          </w:tcPr>
          <w:p>
            <w:pPr>
              <w:jc w:val="center"/>
              <w:ind w:right="4680"/>
              <w:spacing w:after="0"/>
              <w:rPr>
                <w:sz w:val="20"/>
                <w:szCs w:val="20"/>
                <w:color w:val="auto"/>
              </w:rPr>
            </w:pPr>
            <w:r>
              <w:rPr>
                <w:rFonts w:ascii="Times New Roman" w:cs="Times New Roman" w:eastAsia="Times New Roman" w:hAnsi="Times New Roman"/>
                <w:sz w:val="18"/>
                <w:szCs w:val="18"/>
                <w:color w:val="auto"/>
                <w:w w:val="78"/>
              </w:rPr>
              <w:t>i</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the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FDA and foreign regulatory approvals for our drug candidates, potential impact of the outbreak, duration and severity of the COVID-19 pandemic on our business,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assumptions are described in Item 1A. Risk Factors in our Annual Report on Form 10-K for the fiscal year ended December 31, 2021 and in other documents that we file or furnish with the SEC.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any forward-looking statements,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the “Company,” “Celsion,” “we,” “us,” and “our” refer to Celsion Corporation, a Delaware corporation and its wholly owned subsidiaries, CLSN Laboratories, Inc., a Delaware corporation and Celsion GmbH, A Swiss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Celsion brand and product names, including but not limited to Celsion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60" w:type="dxa"/>
            <w:vAlign w:val="bottom"/>
            <w:gridSpan w:val="3"/>
          </w:tcPr>
          <w:p>
            <w:pPr>
              <w:jc w:val="center"/>
              <w:ind w:left="38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28,362,139</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19,586,272</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debt securities - available for sale, at fair value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12,943,814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29,803,095</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 on investment securities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108,844</w:t>
            </w:r>
          </w:p>
        </w:tc>
      </w:tr>
      <w:tr>
        <w:trPr>
          <w:trHeight w:val="237"/>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2,544,885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2,447,413</w:t>
            </w:r>
          </w:p>
        </w:tc>
      </w:tr>
      <w:tr>
        <w:trPr>
          <w:trHeight w:val="223"/>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43,866,484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51,945,624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(at cost, less accumulated depreciation and amortization)</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487,530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477,011</w:t>
            </w:r>
          </w:p>
        </w:tc>
      </w:tr>
      <w:tr>
        <w:trPr>
          <w:trHeight w:val="216"/>
        </w:trPr>
        <w:tc>
          <w:tcPr>
            <w:tcW w:w="6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investments, restricted cash</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1,383,446</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 net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13,366,234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562,377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690,995</w:t>
            </w:r>
          </w:p>
        </w:tc>
      </w:tr>
      <w:tr>
        <w:trPr>
          <w:trHeight w:val="23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58,761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183,489</w:t>
            </w:r>
          </w:p>
        </w:tc>
      </w:tr>
      <w:tr>
        <w:trPr>
          <w:trHeight w:val="223"/>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19,987,372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21,624,164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64,341,386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74,046,799</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060" w:type="dxa"/>
            <w:vAlign w:val="bottom"/>
            <w:gridSpan w:val="5"/>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(Continued)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3,473,524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2,547,251</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2,283,513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3,173,537</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516,545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548,870</w:t>
            </w:r>
          </w:p>
        </w:tc>
      </w:tr>
      <w:tr>
        <w:trPr>
          <w:trHeight w:val="23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6,648,582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6,769,658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milestone liability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5,396,000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5,396,000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 non-current portion, net of deferred financing costs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5,899,776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5,854,461</w:t>
            </w:r>
          </w:p>
        </w:tc>
      </w:tr>
      <w:tr>
        <w:trPr>
          <w:trHeight w:val="25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131,819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230,749</w:t>
            </w: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18,076,177</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18,250,868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2022 and December 31, 2021)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(112,500,000 shares authorized; 5,770,489 and 5,770,538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at March 31, 2022 and December 31, 2021, respectively; and 5,770,467 and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5,770,516 shares outstanding at March 31, 2022 and December 31, 2021, respectively)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57,705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57,705</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389,595,593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388,600,979</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(58,978)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(7,974)</w:t>
            </w:r>
          </w:p>
        </w:tc>
      </w:tr>
      <w:tr>
        <w:trPr>
          <w:trHeight w:val="25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(343,243,923)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(332,769,591)</w:t>
            </w:r>
          </w:p>
        </w:tc>
      </w:tr>
      <w:tr>
        <w:trPr>
          <w:trHeight w:val="203"/>
        </w:trPr>
        <w:tc>
          <w:tcPr>
            <w:tcW w:w="69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46,350,397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55,881,119</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(22 shares at March 31, 2022 and December 31, 2021)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23"/>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46,265,209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55,795,931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64,341,386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74,046,799</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98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980" w:type="dxa"/>
            <w:vAlign w:val="bottom"/>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w w:val="98"/>
              </w:rPr>
              <w:t>STATEMENTS OF OPERATIONS</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980" w:type="dxa"/>
            <w:vAlign w:val="bottom"/>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69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69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Technology development and licensing revenue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125,000</w:t>
            </w:r>
          </w:p>
        </w:tc>
        <w:tc>
          <w:tcPr>
            <w:tcW w:w="8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125,000</w:t>
            </w:r>
          </w:p>
        </w:tc>
        <w:tc>
          <w:tcPr>
            <w:tcW w:w="80" w:type="dxa"/>
            <w:vAlign w:val="bottom"/>
            <w:shd w:val="clear" w:color="auto" w:fill="CCEEFF"/>
          </w:tcPr>
          <w:p>
            <w:pPr>
              <w:spacing w:after="0"/>
              <w:rPr>
                <w:sz w:val="20"/>
                <w:szCs w:val="20"/>
                <w:color w:val="auto"/>
              </w:rPr>
            </w:pPr>
          </w:p>
        </w:tc>
      </w:tr>
      <w:tr>
        <w:trPr>
          <w:trHeight w:val="216"/>
        </w:trPr>
        <w:tc>
          <w:tcPr>
            <w:tcW w:w="69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3,095,420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2,571,573</w:t>
            </w:r>
          </w:p>
        </w:tc>
        <w:tc>
          <w:tcPr>
            <w:tcW w:w="80" w:type="dxa"/>
            <w:vAlign w:val="bottom"/>
          </w:tcPr>
          <w:p>
            <w:pPr>
              <w:spacing w:after="0"/>
              <w:rPr>
                <w:sz w:val="18"/>
                <w:szCs w:val="18"/>
                <w:color w:val="auto"/>
              </w:rPr>
            </w:pPr>
          </w:p>
        </w:tc>
      </w:tr>
      <w:tr>
        <w:trPr>
          <w:trHeight w:val="24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2,871,557</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2,936,771</w:t>
            </w:r>
          </w:p>
        </w:tc>
        <w:tc>
          <w:tcPr>
            <w:tcW w:w="80" w:type="dxa"/>
            <w:vAlign w:val="bottom"/>
            <w:shd w:val="clear" w:color="auto" w:fill="CCEEFF"/>
          </w:tcPr>
          <w:p>
            <w:pPr>
              <w:spacing w:after="0"/>
              <w:rPr>
                <w:sz w:val="21"/>
                <w:szCs w:val="21"/>
                <w:color w:val="auto"/>
              </w:rPr>
            </w:pPr>
          </w:p>
        </w:tc>
      </w:tr>
      <w:tr>
        <w:trPr>
          <w:trHeight w:val="210"/>
        </w:trPr>
        <w:tc>
          <w:tcPr>
            <w:tcW w:w="69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5,966,977</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5,508,344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(5,841,977)</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(5,383,344)</w:t>
            </w:r>
          </w:p>
        </w:tc>
      </w:tr>
      <w:tr>
        <w:trPr>
          <w:trHeight w:val="216"/>
        </w:trPr>
        <w:tc>
          <w:tcPr>
            <w:tcW w:w="69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change in valuation of earn-out milestone liability</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(151,000)</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12,104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2,411</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on preferred stock</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(4,551,567)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on loan facility</w:t>
            </w: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(94,690)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(157,614)</w:t>
            </w:r>
          </w:p>
        </w:tc>
      </w:tr>
      <w:tr>
        <w:trPr>
          <w:trHeight w:val="25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r>
      <w:tr>
        <w:trPr>
          <w:trHeight w:val="210"/>
        </w:trPr>
        <w:tc>
          <w:tcPr>
            <w:tcW w:w="69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(4,632,355</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(305,659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6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(10,474,332)</w:t>
            </w:r>
          </w:p>
        </w:tc>
        <w:tc>
          <w:tcPr>
            <w:tcW w:w="8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(5,689,003)</w:t>
            </w:r>
          </w:p>
        </w:tc>
      </w:tr>
      <w:tr>
        <w:trPr>
          <w:trHeight w:val="196"/>
        </w:trPr>
        <w:tc>
          <w:tcPr>
            <w:tcW w:w="69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(1.82)</w:t>
            </w:r>
          </w:p>
        </w:tc>
        <w:tc>
          <w:tcPr>
            <w:tcW w:w="8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440" w:type="dxa"/>
            <w:vAlign w:val="bottom"/>
          </w:tcPr>
          <w:p>
            <w:pPr>
              <w:spacing w:after="0"/>
              <w:rPr>
                <w:sz w:val="21"/>
                <w:szCs w:val="21"/>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5,770,467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1,720,290</w:t>
            </w:r>
          </w:p>
        </w:tc>
        <w:tc>
          <w:tcPr>
            <w:tcW w:w="80" w:type="dxa"/>
            <w:vAlign w:val="bottom"/>
          </w:tcPr>
          <w:p>
            <w:pPr>
              <w:spacing w:after="0"/>
              <w:rPr>
                <w:sz w:val="21"/>
                <w:szCs w:val="21"/>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496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640" w:type="dxa"/>
            <w:vAlign w:val="bottom"/>
          </w:tcPr>
          <w:p>
            <w:pPr>
              <w:spacing w:after="0"/>
              <w:rPr>
                <w:sz w:val="24"/>
                <w:szCs w:val="24"/>
                <w:color w:val="auto"/>
              </w:rPr>
            </w:pPr>
          </w:p>
        </w:tc>
        <w:tc>
          <w:tcPr>
            <w:tcW w:w="49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640" w:type="dxa"/>
            <w:vAlign w:val="bottom"/>
          </w:tcPr>
          <w:p>
            <w:pPr>
              <w:spacing w:after="0"/>
              <w:rPr>
                <w:sz w:val="18"/>
                <w:szCs w:val="18"/>
                <w:color w:val="auto"/>
              </w:rPr>
            </w:pPr>
          </w:p>
        </w:tc>
        <w:tc>
          <w:tcPr>
            <w:tcW w:w="49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640" w:type="dxa"/>
            <w:vAlign w:val="bottom"/>
          </w:tcPr>
          <w:p>
            <w:pPr>
              <w:spacing w:after="0"/>
              <w:rPr>
                <w:sz w:val="20"/>
                <w:szCs w:val="20"/>
                <w:color w:val="auto"/>
              </w:rPr>
            </w:pPr>
          </w:p>
        </w:tc>
        <w:tc>
          <w:tcPr>
            <w:tcW w:w="496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6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26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26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26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9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(10,474,332)</w:t>
            </w:r>
          </w:p>
        </w:tc>
        <w:tc>
          <w:tcPr>
            <w:tcW w:w="8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(5,689,003)</w:t>
            </w:r>
          </w:p>
        </w:tc>
      </w:tr>
      <w:tr>
        <w:trPr>
          <w:trHeight w:val="216"/>
        </w:trPr>
        <w:tc>
          <w:tcPr>
            <w:tcW w:w="264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4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Reclassification of realized loss on debt securities recognized in investment income, net</w:t>
            </w: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gain on investment securities</w:t>
            </w: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(53,342)</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1,785</w:t>
            </w:r>
          </w:p>
        </w:tc>
      </w:tr>
      <w:tr>
        <w:trPr>
          <w:trHeight w:val="210"/>
        </w:trPr>
        <w:tc>
          <w:tcPr>
            <w:tcW w:w="26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434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(51,004</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434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(10,525,336)</w:t>
            </w:r>
          </w:p>
        </w:tc>
        <w:tc>
          <w:tcPr>
            <w:tcW w:w="8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(5,687,218)</w:t>
            </w:r>
          </w:p>
        </w:tc>
      </w:tr>
      <w:tr>
        <w:trPr>
          <w:trHeight w:val="27"/>
        </w:trPr>
        <w:tc>
          <w:tcPr>
            <w:tcW w:w="26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92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2640" w:type="dxa"/>
            <w:vAlign w:val="bottom"/>
          </w:tcPr>
          <w:p>
            <w:pPr>
              <w:spacing w:after="0"/>
              <w:rPr>
                <w:sz w:val="24"/>
                <w:szCs w:val="24"/>
                <w:color w:val="auto"/>
              </w:rPr>
            </w:pPr>
          </w:p>
        </w:tc>
        <w:tc>
          <w:tcPr>
            <w:tcW w:w="6460" w:type="dxa"/>
            <w:vAlign w:val="bottom"/>
            <w:gridSpan w:val="4"/>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6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jc w:val="center"/>
              <w:ind w:left="1530"/>
              <w:spacing w:after="0"/>
              <w:rPr>
                <w:sz w:val="20"/>
                <w:szCs w:val="20"/>
                <w:color w:val="auto"/>
              </w:rPr>
            </w:pPr>
            <w:r>
              <w:rPr>
                <w:rFonts w:ascii="Times New Roman" w:cs="Times New Roman" w:eastAsia="Times New Roman" w:hAnsi="Times New Roman"/>
                <w:sz w:val="18"/>
                <w:szCs w:val="18"/>
                <w:color w:val="auto"/>
                <w:w w:val="88"/>
              </w:rPr>
              <w:t>4</w:t>
            </w: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20" w:type="dxa"/>
            <w:vAlign w:val="bottom"/>
            <w:gridSpan w:val="3"/>
          </w:tcPr>
          <w:p>
            <w:pPr>
              <w:jc w:val="center"/>
              <w:ind w:left="3750"/>
              <w:spacing w:after="0"/>
              <w:rPr>
                <w:sz w:val="20"/>
                <w:szCs w:val="20"/>
                <w:color w:val="auto"/>
              </w:rPr>
            </w:pPr>
            <w:r>
              <w:rPr>
                <w:rFonts w:ascii="Times New Roman" w:cs="Times New Roman" w:eastAsia="Times New Roman" w:hAnsi="Times New Roman"/>
                <w:sz w:val="18"/>
                <w:szCs w:val="18"/>
                <w:b w:val="1"/>
                <w:bCs w:val="1"/>
                <w:color w:val="auto"/>
                <w:w w:val="99"/>
              </w:rPr>
              <w:t>STATEMENTS OF CASH FLOWS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6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(10,474,332)</w:t>
            </w:r>
          </w:p>
        </w:tc>
        <w:tc>
          <w:tcPr>
            <w:tcW w:w="84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(5,689,003)</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173,989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190,595</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 milestone liability</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151,000</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994,614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1,579,326</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1,383,446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1,845,823</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finance charges and debt discount associated with notes payable</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45,315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37,301</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changes in:</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 on investment securities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93,198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on sale of net operating losses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(1,845,823)</w:t>
            </w: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27,256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17,500</w:t>
            </w:r>
          </w:p>
        </w:tc>
      </w:tr>
      <w:tr>
        <w:trPr>
          <w:trHeight w:val="237"/>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(95,006)</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(898,581)</w:t>
            </w:r>
          </w:p>
        </w:tc>
      </w:tr>
      <w:tr>
        <w:trPr>
          <w:trHeight w:val="223"/>
        </w:trPr>
        <w:tc>
          <w:tcPr>
            <w:tcW w:w="69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(7,976,520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(4,736,862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(2,966,723)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(14,998,260)</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19,775,000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(55,890)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(126,597)</w:t>
            </w:r>
          </w:p>
        </w:tc>
      </w:tr>
      <w:tr>
        <w:trPr>
          <w:trHeight w:val="223"/>
        </w:trPr>
        <w:tc>
          <w:tcPr>
            <w:tcW w:w="69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16,752,387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(15,124,857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redeemable convertible preferred stock offering</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28,500,000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upon redemption of redeemable convertible preferred stock</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(28,500,000)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equity, net of issuance costs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38,943,478</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common stock warrants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1,508,666</w:t>
            </w:r>
          </w:p>
        </w:tc>
      </w:tr>
      <w:tr>
        <w:trPr>
          <w:trHeight w:val="237"/>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 to purchase common stock</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4,725</w:t>
            </w:r>
          </w:p>
        </w:tc>
      </w:tr>
      <w:tr>
        <w:trPr>
          <w:trHeight w:val="223"/>
        </w:trPr>
        <w:tc>
          <w:tcPr>
            <w:tcW w:w="69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40,456,869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8,775,867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20,595,150</w:t>
            </w:r>
          </w:p>
        </w:tc>
      </w:tr>
      <w:tr>
        <w:trPr>
          <w:trHeight w:val="23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25,586,272</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17,164,177</w:t>
            </w:r>
          </w:p>
        </w:tc>
      </w:tr>
      <w:tr>
        <w:trPr>
          <w:trHeight w:val="230"/>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34,362,139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37,759,327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20" w:type="dxa"/>
            <w:vAlign w:val="bottom"/>
            <w:gridSpan w:val="3"/>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STATEMENTS OF CASH FLOWS (continued)</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 on note payable and redemption of convertible redeemable preferred stock</w:t>
            </w:r>
          </w:p>
        </w:tc>
        <w:tc>
          <w:tcPr>
            <w:tcW w:w="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4,211,856</w:t>
            </w:r>
          </w:p>
        </w:tc>
        <w:tc>
          <w:tcPr>
            <w:tcW w:w="8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120,313</w:t>
            </w:r>
          </w:p>
        </w:tc>
      </w:tr>
      <w:tr>
        <w:trPr>
          <w:trHeight w:val="197"/>
        </w:trPr>
        <w:tc>
          <w:tcPr>
            <w:tcW w:w="6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measurement of lease liabilities: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lease payments</w:t>
            </w:r>
          </w:p>
        </w:tc>
        <w:tc>
          <w:tcPr>
            <w:tcW w:w="6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149,573</w:t>
            </w:r>
          </w:p>
        </w:tc>
        <w:tc>
          <w:tcPr>
            <w:tcW w:w="8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130,595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Realized and unrealized (losses) gains, net, on investment securities</w:t>
            </w:r>
          </w:p>
        </w:tc>
        <w:tc>
          <w:tcPr>
            <w:tcW w:w="6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(51,004)</w:t>
            </w:r>
          </w:p>
        </w:tc>
        <w:tc>
          <w:tcPr>
            <w:tcW w:w="8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1,785</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9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2300" w:type="dxa"/>
            <w:vAlign w:val="bottom"/>
          </w:tcPr>
          <w:p>
            <w:pPr>
              <w:spacing w:after="0"/>
              <w:rPr>
                <w:sz w:val="22"/>
                <w:szCs w:val="22"/>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7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4"/>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3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6"/>
        </w:trPr>
        <w:tc>
          <w:tcPr>
            <w:tcW w:w="230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3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2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5,770,516</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$ 57,705</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4"/>
              </w:rPr>
              <w:t>$ 388,600,979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 (85,188)</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(7,974)</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6"/>
              </w:rPr>
              <w:t>$ (332,769,591)</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55,795,931</w:t>
            </w:r>
          </w:p>
        </w:tc>
        <w:tc>
          <w:tcPr>
            <w:tcW w:w="8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(10,474,332)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(10,474,332)</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effect of reverse stock</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split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gains and losses, net, on</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securities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(51,004)</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(51,004)</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994,614</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994,614</w:t>
            </w:r>
          </w:p>
        </w:tc>
        <w:tc>
          <w:tcPr>
            <w:tcW w:w="80" w:type="dxa"/>
            <w:vAlign w:val="bottom"/>
            <w:shd w:val="clear" w:color="auto" w:fill="CCEEFF"/>
          </w:tcPr>
          <w:p>
            <w:pPr>
              <w:spacing w:after="0"/>
              <w:rPr>
                <w:sz w:val="23"/>
                <w:szCs w:val="23"/>
                <w:color w:val="auto"/>
              </w:rPr>
            </w:pPr>
          </w:p>
        </w:tc>
      </w:tr>
      <w:tr>
        <w:trPr>
          <w:trHeight w:val="217"/>
        </w:trPr>
        <w:tc>
          <w:tcPr>
            <w:tcW w:w="2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5,770,467</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$ 57,505</w:t>
            </w:r>
          </w:p>
        </w:tc>
        <w:tc>
          <w:tcPr>
            <w:tcW w:w="24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389,595,593</w:t>
            </w: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2"/>
              </w:rPr>
              <w:t>$ (85,188</w:t>
            </w:r>
          </w:p>
        </w:tc>
        <w:tc>
          <w:tcPr>
            <w:tcW w:w="160" w:type="dxa"/>
            <w:vAlign w:val="bottom"/>
            <w:tcBorders>
              <w:top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(58,978</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(343,243,923</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46,265,209</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0"/>
        </w:trPr>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9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2300" w:type="dxa"/>
            <w:vAlign w:val="bottom"/>
          </w:tcPr>
          <w:p>
            <w:pPr>
              <w:spacing w:after="0"/>
              <w:rPr>
                <w:sz w:val="22"/>
                <w:szCs w:val="22"/>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7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4"/>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3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7"/>
        </w:trPr>
        <w:tc>
          <w:tcPr>
            <w:tcW w:w="230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3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2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2,713,402</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$ 27,134</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4"/>
              </w:rPr>
              <w:t>$ 330,669,476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 (85,188)</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6"/>
              </w:rPr>
              <w:t>$ (312,000,341)</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18,611,081</w:t>
            </w:r>
          </w:p>
        </w:tc>
        <w:tc>
          <w:tcPr>
            <w:tcW w:w="8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(5,689,003)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(5,689,003)</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facilities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2,206,272</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22,063</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38,921,415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38,943,478</w:t>
            </w:r>
          </w:p>
        </w:tc>
        <w:tc>
          <w:tcPr>
            <w:tcW w:w="80" w:type="dxa"/>
            <w:vAlign w:val="bottom"/>
            <w:shd w:val="clear" w:color="auto" w:fill="CCEEFF"/>
          </w:tcPr>
          <w:p>
            <w:pPr>
              <w:spacing w:after="0"/>
              <w:rPr>
                <w:sz w:val="20"/>
                <w:szCs w:val="20"/>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exercise</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of common stock warrants,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net of fees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81,111</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811</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1,507,855</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1,508,666</w:t>
            </w:r>
          </w:p>
        </w:tc>
        <w:tc>
          <w:tcPr>
            <w:tcW w:w="80" w:type="dxa"/>
            <w:vAlign w:val="bottom"/>
          </w:tcPr>
          <w:p>
            <w:pPr>
              <w:spacing w:after="0"/>
              <w:rPr>
                <w:sz w:val="20"/>
                <w:szCs w:val="20"/>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exercise</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options to purchase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4,720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4,725</w:t>
            </w:r>
          </w:p>
        </w:tc>
        <w:tc>
          <w:tcPr>
            <w:tcW w:w="80" w:type="dxa"/>
            <w:vAlign w:val="bottom"/>
            <w:shd w:val="clear" w:color="auto" w:fill="CCEEFF"/>
          </w:tcPr>
          <w:p>
            <w:pPr>
              <w:spacing w:after="0"/>
              <w:rPr>
                <w:sz w:val="20"/>
                <w:szCs w:val="20"/>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gains and losses, net, on</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securities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1,785</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Pr>
          <w:p>
            <w:pPr>
              <w:spacing w:after="0"/>
              <w:rPr>
                <w:sz w:val="20"/>
                <w:szCs w:val="20"/>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1,579,326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1,579,326</w:t>
            </w:r>
          </w:p>
        </w:tc>
        <w:tc>
          <w:tcPr>
            <w:tcW w:w="80" w:type="dxa"/>
            <w:vAlign w:val="bottom"/>
            <w:shd w:val="clear" w:color="auto" w:fill="CCEEFF"/>
          </w:tcPr>
          <w:p>
            <w:pPr>
              <w:spacing w:after="0"/>
              <w:rPr>
                <w:sz w:val="23"/>
                <w:szCs w:val="23"/>
                <w:color w:val="auto"/>
              </w:rPr>
            </w:pPr>
          </w:p>
        </w:tc>
      </w:tr>
      <w:tr>
        <w:trPr>
          <w:trHeight w:val="216"/>
        </w:trPr>
        <w:tc>
          <w:tcPr>
            <w:tcW w:w="2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5,001,285</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$ 50,013</w:t>
            </w:r>
          </w:p>
        </w:tc>
        <w:tc>
          <w:tcPr>
            <w:tcW w:w="24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372,682,792</w:t>
            </w: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2"/>
              </w:rPr>
              <w:t>$ (85,188</w:t>
            </w:r>
          </w:p>
        </w:tc>
        <w:tc>
          <w:tcPr>
            <w:tcW w:w="160" w:type="dxa"/>
            <w:vAlign w:val="bottom"/>
            <w:tcBorders>
              <w:top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(317,689,344</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54,960,058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Celsion Corporation (“Celsion” and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 and</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 proprietary heat-activated liposomal encapsulation of doxorubicin, currently under investigator-sponsored development for several cancer indications.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accounts of the Company and its wholly owned subsidiaries, CLSN Laboratories, Inc. and Celsion, GmbH, have been prepared in accordance with generally accepted accounting principles in the United States (GAAP) for interim financial information and with the instructions to Form 10-Q and Article 10 of Regulation S-X. All significant intercompany balances and transactions have been eliminated in consolidation. During the quarter, there have been no changes to the Company’s accounting policies. Certain information and disclosures normally included in financial statements prepared in accordance with GAAP have been condensed or omitted pursuant to such rules and regulations.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three-month periods ended March 31, 2022 and 2021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2021 filed with the Securities and Exchange Commission (SEC) on March 31, 2022.</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The Company continues to monitor the impact of the COVID-19 pandemic on its financial condition and results of operations, along with the valuation of its long-term assets, intangible assets, and goodwill. The effect of this matter could potentially have an impact on the valuation of such assets in the future. The COVID-19 pandemic is discussed in more detail in Note 3 to the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Financial Condition and Business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March 31, 2022, the Company has incurred approximately $343 million of cumulative net losses. As of March 31, 2022, the Company had $47.3 million in cash and cash equivalents, short-term investments, interest receivable and restricted cash. The Company has substantial future capital requirements to continue its research and development activities and advance its product candidates through various development stages. The Company believes these expenditures are essential for the commercialization of its technologies.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2020, the World Health Organization declared an outbreak of coronavirus, COVID-19, to be a “Public Health Emergency of International Concern,” and the U.S. Department of Health and Human Services declared a public health emergency to aid the U.S. healthcare community in responding to COVID-19. This virus has spread to over 200 countries, including the U.S.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during 2021 or thus far in 2022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 The disruptions caused by COVID-19 may also disrupt the clinical trials process and enrollment of patients. This may delay commercialization efforts. The Company continues to monitor its operating activities in light of these events, and it is reasonably possible that the virus could have a negative effect on the Company’s financial condition and results of operations. The specific impact, if any, is not readily determinable as of the date of the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following:</w:t>
      </w:r>
    </w:p>
    <w:p>
      <w:pPr>
        <w:spacing w:after="0" w:line="162"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research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research programs;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and clinical development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the Company has entered into research and development agreements;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additional clinical trials of product candidates;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current research and development licensing arrangements and to establish new research and development and licensing arrangements;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milestones under licensing arrangements;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claims and other intellectual property rights;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July 13, 2020, the Company announced that it has received a recommendation from the independent DMC to consider stopping the global Phase III OPTIMA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that the Company was notifying all clinical sites to discontinue following patients in the OPTIMA Study.</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New Jersey NOLs and unused research and development credits are allowed to sell these benefits to other New Jersey-based companies. In 2018 and 2019, the Company sold cumulative New Jersey NOLs from 2011 to 2018 totalling $13 million and received net proceeds of $12.2 million. As part of the Technology Business Tax Certificate Program, the Company sold $1.5 million and $2.0 million of its New Jersey NOLs in 2021 and 2020, respectively. The sale of these net operating losses resulted in net proceeds to the Company of approximately $1.4 million in 2021 and $1.9 million in 2020. During 2021, the New Jersey State Legislature increased the maximum lifetime benefit per company from $15 million to $20 million, which will allow the Company to participate in this funding program in future years for up to an additional $3.5 million in net operating losses under this maximum lifetime benefit.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53" w:lineRule="auto"/>
        <w:rPr>
          <w:sz w:val="20"/>
          <w:szCs w:val="20"/>
          <w:color w:val="auto"/>
        </w:rPr>
      </w:pPr>
      <w:r>
        <w:rPr>
          <w:rFonts w:ascii="Times New Roman" w:cs="Times New Roman" w:eastAsia="Times New Roman" w:hAnsi="Times New Roman"/>
          <w:sz w:val="18"/>
          <w:szCs w:val="18"/>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Celsion repaid $5 million of the $10 million loan and $0.2 million in related end of term charges, and the remaining $5 million in obligations were restructured. As more fully discussed in Note 11 to the Financial Statements, in June 2021, the Company entered into a $10 million loan facility with Silicon Valley Bank (“SVB”). The Company immediately used $6 million from this facility to retire all outstanding indebtedness with Horizon and deposited $6 million with SVB as restricted cash as discussed in more detail in Note 5. The remaining $4 million under the SVB loan facility (“SVB Loan Facility”) will be available to be drawn down up to 12 months after closing. The funding is in the form of money market secured indebtedness bearing interest at a calculated WSJ Prime-based variable rate (currently 3.25%). Payments under the loan agreement are interest only for the first 24 months after loan closing, followed by a 24-month amortization period of principal and interest through the scheduled maturity date.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$47.3 million in cash and cash equivalents, short-term investments, interest receivable and restricted cash, coupled with $7.0 million of gross proceeds received in a registered direct offering in April 2022 and approximately $3.5 million of future planned sales of the Company’s State of New Jersey net operating losses, the Company believes it has sufficient capital resources to fund its operations into the second quarter of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New Jersey NOLs and other sources. If the Company raises funds by selling additional shares of common stock or other securities convertible into common stock, the ownership interest of existing stockholders may be diluted. See Note 12 for a discussion of the Company’s issuance and redemption of Series A Preferred Stock and Series B Preferred Stock as well as receiving gross proceeds of $7.0 million dollars through selling approximately 1.3 million shares of common stock in a registered direct offering during April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New Accounting Pronouncements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condensed consolidated financial position, results of operations, and cash flows, or do not apply to our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upcoming elimination of the London Inter-bank Offered Rate, (“LIBOR”) and other reference interest rates, the FASB issued ASU 2020-04, </w:t>
      </w:r>
      <w:r>
        <w:rPr>
          <w:rFonts w:ascii="Times New Roman" w:cs="Times New Roman" w:eastAsia="Times New Roman" w:hAnsi="Times New Roman"/>
          <w:sz w:val="18"/>
          <w:szCs w:val="18"/>
          <w:i w:val="1"/>
          <w:iCs w:val="1"/>
          <w:color w:val="auto"/>
        </w:rPr>
        <w:t>Reference Rate Reform (Topic 848) Facilitation of the Effects of Reference Reform on Financial Reporting</w:t>
      </w:r>
      <w:r>
        <w:rPr>
          <w:rFonts w:ascii="Times New Roman" w:cs="Times New Roman" w:eastAsia="Times New Roman" w:hAnsi="Times New Roman"/>
          <w:sz w:val="18"/>
          <w:szCs w:val="18"/>
          <w:color w:val="auto"/>
        </w:rPr>
        <w:t>. ASU 2020-04, which is available for contract modifications and hedging relationship modifications entered into or evaluated before December 31, 2022, provides certain practical expedients related to simplifying the accounting for contract modifications resulting from the change in terms from LIBOR to a new required interest rate benchmark. The Company does not believe this pronouncement will have a material impact on its consolidated financial statements.</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May 2021, the FASB issued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 consensus of the FASB Emerging Issues Task Force)”. This ASU is intended to clarify and reduce diversity in an issuer’s accounting for modifications or exchanges of freestanding equity-classified written call options that remain equity classified after modification or exchange. The guidance clarifies whether an issuer should account for a modification or an exchange of a freestanding equity-classified written call option that remains equity classified after modification or exchange as: (1) an adjustment to equity and, if so, the related earnings per share effects, if any, or (2) an expense and, if so, the manner and pattern of recognition. The amendments in this ASU affect all entities that issue freestanding written call options that are classified in equity. The amendments do not apply to modifications or exchanges of financial instruments that are within the scope of another Topic and do not affect a holder’s accounting for freestanding call options. The amendments in this ASU are effective for all entities for fiscal years beginning after December 15, 2021, including interim periods within those fiscal years. An entity should apply the amendments prospectively to modifications or exchanges occurring on or after the effective date of the amendments. Early adoption is permitted for all entities, including adoption in an interim period. The Company adopted this standard during the first quarter of 2022. The adoption of ASU 2021-04 did not have an impact on the Company’s consolidated financial statements since the Company has not modified its freestanding call options.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Restricted Cash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condition of the $10 million SVB Loan Facility entered into on June 18, 2021 as further discussed in Note 11, the Company is required at all times to maintain on deposit with SVB as cash collateral in a segregated money market bank account in the name of the Company, unrestricted and unencumbered cash (other than a lien in favor of SVB) in an amount of at least 100% of the aggregate outstanding amount of the SVB loan facility. SVB may restrict withdrawals or transfers by or on behalf of the Company that would violate this requirement. The required reserve totalled $6.0 million as of March 31, 2022 and December 31, 2021. This amount is presented in part as restricted cash in other non-current assets on the accompanying condensed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cash and cash equivalents and restricted cash per the balance sheet to the condensed 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28,362,139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19,586,272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investments, restricted</w:t>
            </w:r>
          </w:p>
        </w:tc>
        <w:tc>
          <w:tcPr>
            <w:tcW w:w="24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6,000,000</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r>
      <w:tr>
        <w:trPr>
          <w:trHeight w:val="229"/>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34,362,139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25,586,272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Net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number of shares of common stock issuable upon exercise of warrants, stock option grants and equity awards were 836,097 and 611,181 shares for the three-month periods ended March 31, 2022 and 2021, respectively. For the three-month periods ended March 31, 2022 and 2021,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first three months of 2022 or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Debt Securities-Available for Sale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debt securities available for sale with a fair value of $12,943,814 and $29,803,095 as of March 31, 2022 and December 31, 2021, respectively, which consisted of U.S. Treasury securities and corporate debt securities. These investments are valued at estimated fair value, with unrealized gains and losses reported as a separate component of stockholders’ equity in accumulated other comprehensive loss.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0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80" w:type="dxa"/>
            <w:vAlign w:val="bottom"/>
          </w:tcPr>
          <w:p>
            <w:pPr>
              <w:spacing w:after="0"/>
              <w:rPr>
                <w:sz w:val="21"/>
                <w:szCs w:val="21"/>
                <w:color w:val="auto"/>
              </w:rPr>
            </w:pPr>
          </w:p>
        </w:tc>
        <w:tc>
          <w:tcPr>
            <w:tcW w:w="282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37"/>
        </w:trPr>
        <w:tc>
          <w:tcPr>
            <w:tcW w:w="4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20"/>
                <w:szCs w:val="20"/>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10,005,175</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9,946,424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14,786,982</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14,778,705</w:t>
            </w:r>
          </w:p>
        </w:tc>
        <w:tc>
          <w:tcPr>
            <w:tcW w:w="80" w:type="dxa"/>
            <w:vAlign w:val="bottom"/>
          </w:tcPr>
          <w:p>
            <w:pPr>
              <w:spacing w:after="0"/>
              <w:rPr>
                <w:sz w:val="18"/>
                <w:szCs w:val="18"/>
                <w:color w:val="auto"/>
              </w:rPr>
            </w:pPr>
          </w:p>
        </w:tc>
      </w:tr>
      <w:tr>
        <w:trPr>
          <w:trHeight w:val="24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2,997,617</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2,997,390</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15,024,087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15,024,390</w:t>
            </w:r>
          </w:p>
        </w:tc>
        <w:tc>
          <w:tcPr>
            <w:tcW w:w="80" w:type="dxa"/>
            <w:vAlign w:val="bottom"/>
            <w:shd w:val="clear" w:color="auto" w:fill="CCEEFF"/>
          </w:tcPr>
          <w:p>
            <w:pPr>
              <w:spacing w:after="0"/>
              <w:rPr>
                <w:sz w:val="21"/>
                <w:szCs w:val="21"/>
                <w:color w:val="auto"/>
              </w:rPr>
            </w:pPr>
          </w:p>
        </w:tc>
      </w:tr>
      <w:tr>
        <w:trPr>
          <w:trHeight w:val="217"/>
        </w:trPr>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13,002,792</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12,943,814</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29,811,069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29,803,095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0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80" w:type="dxa"/>
            <w:vAlign w:val="bottom"/>
          </w:tcPr>
          <w:p>
            <w:pPr>
              <w:spacing w:after="0"/>
              <w:rPr>
                <w:sz w:val="21"/>
                <w:szCs w:val="21"/>
                <w:color w:val="auto"/>
              </w:rPr>
            </w:pPr>
          </w:p>
        </w:tc>
        <w:tc>
          <w:tcPr>
            <w:tcW w:w="282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37"/>
        </w:trPr>
        <w:tc>
          <w:tcPr>
            <w:tcW w:w="4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20"/>
                <w:szCs w:val="20"/>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 maturities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Within 3 months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2,997,617</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2,997,390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19,798,177</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19,799,835</w:t>
            </w:r>
          </w:p>
        </w:tc>
        <w:tc>
          <w:tcPr>
            <w:tcW w:w="80" w:type="dxa"/>
            <w:vAlign w:val="bottom"/>
          </w:tcPr>
          <w:p>
            <w:pPr>
              <w:spacing w:after="0"/>
              <w:rPr>
                <w:sz w:val="18"/>
                <w:szCs w:val="18"/>
                <w:color w:val="auto"/>
              </w:rPr>
            </w:pPr>
          </w:p>
        </w:tc>
      </w:tr>
      <w:tr>
        <w:trPr>
          <w:trHeight w:val="24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3-12 months</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10,005,175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9,946,424</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10,012,892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10,003,260</w:t>
            </w:r>
          </w:p>
        </w:tc>
        <w:tc>
          <w:tcPr>
            <w:tcW w:w="80" w:type="dxa"/>
            <w:vAlign w:val="bottom"/>
            <w:shd w:val="clear" w:color="auto" w:fill="CCEEFF"/>
          </w:tcPr>
          <w:p>
            <w:pPr>
              <w:spacing w:after="0"/>
              <w:rPr>
                <w:sz w:val="21"/>
                <w:szCs w:val="21"/>
                <w:color w:val="auto"/>
              </w:rPr>
            </w:pPr>
          </w:p>
        </w:tc>
      </w:tr>
      <w:tr>
        <w:trPr>
          <w:trHeight w:val="217"/>
        </w:trPr>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13,002,792</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12,943,814</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29,811,069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29,803,095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March 31, 2022 and December 31, 2021. The Company has reviewed individual securities to determine whether a decline in fair value below the amortizable cost basis is other than temporary.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6"/>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21"/>
                <w:szCs w:val="21"/>
                <w:color w:val="auto"/>
              </w:rPr>
            </w:pPr>
          </w:p>
        </w:tc>
        <w:tc>
          <w:tcPr>
            <w:tcW w:w="2920" w:type="dxa"/>
            <w:vAlign w:val="bottom"/>
            <w:gridSpan w:val="6"/>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94"/>
        </w:trPr>
        <w:tc>
          <w:tcPr>
            <w:tcW w:w="47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Available for sale securities (all unrealized holding gains</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 losses are less than 12 months at date of</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Holding</w:t>
            </w:r>
          </w:p>
        </w:tc>
      </w:tr>
      <w:tr>
        <w:trPr>
          <w:trHeight w:val="24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8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8"/>
              </w:rPr>
              <w:t>Gains (Losses)</w:t>
            </w:r>
          </w:p>
        </w:tc>
        <w:tc>
          <w:tcPr>
            <w:tcW w:w="18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Gains (Losses)</w:t>
            </w:r>
          </w:p>
        </w:tc>
      </w:tr>
      <w:tr>
        <w:trPr>
          <w:trHeight w:val="216"/>
        </w:trPr>
        <w:tc>
          <w:tcPr>
            <w:tcW w:w="4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debt securities with unrealized gains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8,999,580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3,499</w:t>
            </w:r>
          </w:p>
        </w:tc>
      </w:tr>
      <w:tr>
        <w:trPr>
          <w:trHeight w:val="23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debt securities with unrealized losses</w:t>
            </w:r>
          </w:p>
        </w:tc>
        <w:tc>
          <w:tcPr>
            <w:tcW w:w="1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12,943,814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(58,978)</w:t>
            </w: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20,803,515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(11,473)</w:t>
            </w:r>
          </w:p>
        </w:tc>
      </w:tr>
      <w:tr>
        <w:trPr>
          <w:trHeight w:val="230"/>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12,943,814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29,803,095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 (loss) income, which includes net realized losses on sales of available for sale securities and investment income interest and dividends, is summarized as follows:</w:t>
      </w:r>
    </w:p>
    <w:p>
      <w:pPr>
        <w:spacing w:after="0" w:line="158"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shd w:val="clear" w:color="auto" w:fill="CCEEFF"/>
          </w:tcPr>
          <w:p>
            <w:pPr>
              <w:spacing w:after="0"/>
              <w:rPr>
                <w:sz w:val="18"/>
                <w:szCs w:val="18"/>
                <w:color w:val="auto"/>
              </w:rPr>
            </w:pPr>
          </w:p>
        </w:tc>
      </w:tr>
      <w:tr>
        <w:trPr>
          <w:trHeight w:val="23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(2,338)</w:t>
            </w: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FASB ASC Section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or identical assets or liabilities in active markets that the entity has the ability to access as of the measurement date;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Significant unobservable inputs that reflect a reporting entity’s own assumptions that market participants would use in pricing an asset or liability.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and cash equivalents, other current assets, accounts payable and other accrued liabilities are reflected in the condensed consolidated balance sheet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2022 and 2021. There were no transfers of assets or liabilities between Level 1 and Level 2 and no transfers in or out of Level 3 during the three-months ended March 31, 2021 or during the year ended December 31, 2021. The changes in Level 3 liabilities were the result of changes in the fair value of the earn-out milestone liability included in earnings and in-process R&amp;D. The earnout milestone liability is valued using a risk-adjusted assessment of the probability of payment of each milestone, discounted to present value using an estimated time to achieve the milestone (see Note 14).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Assets and liabilities measured at fair value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16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Assets/Liabilities</w:t>
            </w:r>
          </w:p>
        </w:tc>
        <w:tc>
          <w:tcPr>
            <w:tcW w:w="16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4740" w:type="dxa"/>
            <w:vAlign w:val="bottom"/>
          </w:tcPr>
          <w:p>
            <w:pPr>
              <w:spacing w:after="0"/>
              <w:rPr>
                <w:sz w:val="21"/>
                <w:szCs w:val="21"/>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March 31, 2022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available for sale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12,943,814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12,943,814</w:t>
            </w:r>
          </w:p>
        </w:tc>
      </w:tr>
      <w:tr>
        <w:trPr>
          <w:trHeight w:val="216"/>
        </w:trPr>
        <w:tc>
          <w:tcPr>
            <w:tcW w:w="4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items as of March 31, 2022</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R&amp;D (Note 9)</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13,366,234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December 31, 2021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available for sale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29,803,095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29,803,095</w:t>
            </w:r>
          </w:p>
        </w:tc>
      </w:tr>
      <w:tr>
        <w:trPr>
          <w:trHeight w:val="216"/>
        </w:trPr>
        <w:tc>
          <w:tcPr>
            <w:tcW w:w="4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items as of December 31, 2021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R&amp;D (Note 9)</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13,366,234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March 31, 2022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Earn-out milestone liability (Note 14)</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5,396,000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5,396,000</w:t>
            </w:r>
          </w:p>
        </w:tc>
      </w:tr>
      <w:tr>
        <w:trPr>
          <w:trHeight w:val="216"/>
        </w:trPr>
        <w:tc>
          <w:tcPr>
            <w:tcW w:w="4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December 31, 2021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milestone liability (Note 14)</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5,396,000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2014, the Company completed the acquisition of substantially all of the assets of EGEN, Inc., an Alabama corporation (“EGEN”), which changed its company name to EGWU, Inc. after the closing of the acquisition (the “EGEN Acquisition”).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The Company’s IPR&amp;D consisted of three core elements, its RNA delivery system, its glioblastoma multiforme cancer (“GBM”) product candidate and its ovarian cancer indication.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ovarian cancer indication, with original value of $13.3 million, has not been impaired since its acquisition. At March 31, 2022, the Company evaluated the IPR&amp;D for the ovarian cancer indication. As part of the valuation analysis, the fair value of the intangible assets was estimated by discounting forecasted risk adjusted cash flows at a rate that approximated the cost of capital of a market participant. Management’s forecast of future cash flows was based on the income approach. Significant estimates, all of which are considered Level 3 inputs, were used in the fair value methodology, including the Company’s forecast regarding its future operations and likeliness of obtaining approval to sell its products, as well as other market conditions. Changes in these estimates could change the forecasted cash flows attributed to the IPR&amp;D which could have a significant impact on the fair value of these assets. Based on this valuation analysis, the Company concluded that it is not more than likely that the asset is impaired as of March 31, 2022. As such, no impairment charges for IPR&amp;D related to the ovarian cancer indication were recorded during the first quarter of 2022.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Covenants Not to Compete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would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$56,829 during the three-month period ended March 31, 2021. The carrying value of the Covenant Not to Compete was fully amortized in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the Company’s third quarter ended September 30 or sooner if the Company believes indicators of impairment exist. Due to the continuing slowdown in investment in 2021 by public capital markets in the biotech industry and its impact on market capitalization rates in this sector, Goodwill was reviewed for impairment as of December 31, 2021. Based on this assessment, Company concluded that Goodwill was impaired. As of December 31, 2021, the Company wrote off the $2.0 million carrying value of this asset, thereby recognizing a non-cash charge of $2.0 million in the fourth quarter of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net fair value of the assets acquired in the EGEN asset acquisition for the three-month period ended March 31,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IPR&amp;D</w:t>
            </w: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three-months ended March 31, 2022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2022, net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c>
          <w:tcPr>
            <w:tcW w:w="0" w:type="dxa"/>
            <w:vAlign w:val="bottom"/>
          </w:tcPr>
          <w:p>
            <w:pPr>
              <w:spacing w:after="0"/>
              <w:rPr>
                <w:sz w:val="1"/>
                <w:szCs w:val="1"/>
                <w:color w:val="auto"/>
              </w:rPr>
            </w:pPr>
          </w:p>
        </w:tc>
      </w:tr>
      <w:tr>
        <w:trPr>
          <w:trHeight w:val="24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March 31, 2002, net</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13,366,234</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Accrued Liabilities</w:t>
            </w: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at March 31, 2022 and December 31, 2021 include the following:</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1,289,356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849,178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1,636,727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16,792</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96,150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87,250</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31,412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31,412</w:t>
            </w:r>
          </w:p>
        </w:tc>
        <w:tc>
          <w:tcPr>
            <w:tcW w:w="0" w:type="dxa"/>
            <w:vAlign w:val="bottom"/>
          </w:tcPr>
          <w:p>
            <w:pPr>
              <w:spacing w:after="0"/>
              <w:rPr>
                <w:sz w:val="1"/>
                <w:szCs w:val="1"/>
                <w:color w:val="auto"/>
              </w:rPr>
            </w:pPr>
          </w:p>
        </w:tc>
      </w:tr>
      <w:tr>
        <w:trPr>
          <w:trHeight w:val="217"/>
        </w:trPr>
        <w:tc>
          <w:tcPr>
            <w:tcW w:w="6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2,283,513</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3,173,537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SVB Loan Facility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18, 2021, the Company entered into a $10 million loan facility (the “SVB Loan Facility”) with Silicon Valley Bank (“SVB”). Celsion immediately used $6 million from the SVB Loan Facility to retire all outstanding indebtedness with Horizon Technology Finance Corporation as further discussed below. Concurrently with this transaction, the Company used $6.0 million of other available funds to establish a restricted cash account which serves as security for the SVB Loan Facility. The remaining $4 million will be available to be drawn down up to 12 months after closing and will be used for working capital and to fund the advancement of the Company’s product pipeline, including GEN-1 for the treatment of newly diagnosed advanced ovarian cancer, as well as other strategic initiatives intended to broaden its product pipeline.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The SVB Loan Facility is in the form of money market secured indebtedness bearing interest at a calculated WSJ Prime-based variable rate (currently 3.25%). A final payment equal to 3% of the total $10 million commitment amount is due upon maturity or prepayment of the SVB Loan Facility. There was no facility commitment fee and no stock or warrants were issued to SVB. Payments under the loan agreement are interest only for the first 24 months after loan closing, followed by a 24-month amortization period of principal and interest through the scheduled maturity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SVB Loan Facility, the Company incurred financing fees and expenses totalling $243,370 which is recorded and classified as debt discount and are being amortized as interest expense using the effective interest method over the life of the loan. Also, in connection with the SVB Loan Facility, the Company is required to pay an end-of-term fee equal to 3.0% of the original loan amount at time of maturity. Therefore, these amounts totalling $300,000 are being amortized as interest expense using the effective interest method over the life of the loan. During the three-month period ended March 31, 2022, the Company incurred interest expense of $49,375 and amortized $45,315 as interest expense for debt discounts and end-of-term fee in connection with the SVB Financing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schedule of future principal payments, net of unamortized debt discounts and amortized end-of-term fee, due on the SVB Loan Facility: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year ending</w:t>
            </w:r>
          </w:p>
        </w:tc>
      </w:tr>
      <w:tr>
        <w:trPr>
          <w:trHeight w:val="245"/>
        </w:trPr>
        <w:tc>
          <w:tcPr>
            <w:tcW w:w="59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16"/>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2,250,000</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3,000,000</w:t>
            </w:r>
          </w:p>
        </w:tc>
      </w:tr>
      <w:tr>
        <w:trPr>
          <w:trHeight w:val="23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750,000</w:t>
            </w:r>
          </w:p>
        </w:tc>
      </w:tr>
      <w:tr>
        <w:trPr>
          <w:trHeight w:val="216"/>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of future principal payments</w:t>
            </w:r>
          </w:p>
        </w:tc>
        <w:tc>
          <w:tcPr>
            <w:tcW w:w="3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premium, net</w:t>
            </w: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(100,224)</w:t>
            </w:r>
          </w:p>
        </w:tc>
      </w:tr>
      <w:tr>
        <w:trPr>
          <w:trHeight w:val="230"/>
        </w:trPr>
        <w:tc>
          <w:tcPr>
            <w:tcW w:w="5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5,899,776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Horizon Credit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On August 28, 2020, Horizon and the Company amended the Horizon Credit Agreement (the “Horizon Amendment”) whereby Celsion repaid $5 million of the loan’s principal with $5 million of the loan remaining outstanding.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2021, as a condition of entering into the SVB Loan Facility, the Company paid the remaining outstanding principal balance, an early termination fee and the end of term charges in full satisfaction of the Horizon Credit Agreement, as amended. Following is a schedule of the amounts paid to Horizon on June 18,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balance at June 18, 2021</w:t>
            </w:r>
          </w:p>
        </w:tc>
        <w:tc>
          <w:tcPr>
            <w:tcW w:w="640" w:type="dxa"/>
            <w:vAlign w:val="bottom"/>
            <w:gridSpan w:val="2"/>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Early termination fees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r>
      <w:tr>
        <w:trPr>
          <w:trHeight w:val="25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term charges</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shd w:val="clear" w:color="auto" w:fill="CCEEFF"/>
          </w:tcPr>
          <w:p>
            <w:pPr>
              <w:spacing w:after="0"/>
              <w:rPr>
                <w:sz w:val="21"/>
                <w:szCs w:val="21"/>
                <w:color w:val="auto"/>
              </w:rPr>
            </w:pPr>
          </w:p>
        </w:tc>
      </w:tr>
      <w:tr>
        <w:trPr>
          <w:trHeight w:val="216"/>
        </w:trPr>
        <w:tc>
          <w:tcPr>
            <w:tcW w:w="9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initial fee in connection with the Horizon Credit Agreement, Celsion issued Horizon warrants exercisable for a total of 12,674 shares of Celsion’s common stock (the “Existing Warrants”) at a per share exercise price of $39.45. The Existing Warrants were immediately exercisable for cash or by net exercise from the date of grant and will expire after ten years from the date of grant. Pursuant to the Horizon Amendment, one-half of the aggregate Existing Warrants, exercisable for a total of 6,337 shares of Celsion’s common stock, were canceled, and Celsion issued Horizon new warrants exercisable at a per share exercise price equal to $15.15 for a total of 16,501 shares of Celsion’s common stock (the “New Warrants”). The New Warrants were immediately exercisable for cash or by net exercise from the date of grant and will expire after ten years from the date of grant. The remaining 6,337 Existing Warrants issued in connection with the Horizon Credit Agreement remain outstanding at a per share exercise price of $39.45.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valued the warrants issued to Horizon using the Black-Scholes option pricing model and recorded as of the respective issuance dates a total of $507,116 for the Existing Warrants and $247,548 for the New Warrants as a direct deduction from the debt liability, consistent with the presentation of debt discounts, which was amortized as interest expense using the effective interest method over the life of the loan until the loan was terminated on June 18, 2021.</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2021, the Company incurred $120,313 in interest expense and amortized $37,301 as interest expense for debt discounts and end of term charges in connection with the Horizon Credit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2018, the Company filed with the SEC a $75 million shelf registration statement on Form S-3 (the 2018 Shelf Registration Statement) that allows the Company to issue any combination of common stock, preferred stock or warrants to purchase common stock or preferred stock. This shelf registration was declared effective on October 12, 2018 and during January 2021, was fully utilized.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19, 2021, the Company filed with the SEC a new $100 million shelf registration statement on Form S-3 (the “2021 Registration Statement”) that allows the Company to issue any combination of common stock, preferred stock or warrants to purchase common stock or preferred stock. This shelf registration was declared effective on March 30,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Reverse 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2022, the Company effected a 15-for-1 reverse stock split of its common stock which was made effective for trading purposes as of the commencement of trading on March 1, 2022. As of that date, each 15 shares of issued and outstanding common stock and equivalents was consolidated into one share of common stock. All shares have been restated to reflect the effects of the 15-for-1 reverse stock split. In addition, at the market open on March 1, 2022, the Company’s common stock started trading under a new CUSIP number 15117N602 although the Company’s ticker symbol, CLSN, remained unchanged.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was previously approved by the Company’s stockholders at the 2022 Special Meeting held on February 24, 2022, and the Company subsequently filed a Certificate of Amendment to its Certificate of Incorporation to effect the stock consolidation. The primary reasons for the reverse stock split and the amendment were:</w:t>
      </w:r>
    </w:p>
    <w:p>
      <w:pPr>
        <w:spacing w:after="0" w:line="176" w:lineRule="exact"/>
        <w:rPr>
          <w:sz w:val="20"/>
          <w:szCs w:val="20"/>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Company with the ability to support its future anticipated growth and would provide greater flexibility to consider and respond to future business opportunities and needs as they arise, including equity financings and stock-based acquisitions of new technology and product development candidates. The availability of additional shares of Common Stock would permit the Company to undertake certain of the foregoing actions without delay and expense associated with holding a Special Meeting of Stockholders to obtain stockholder approval each time such an opportunity arises that would require the issuance of shares of our Common Stock;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listing on The NASDAQ Capital Market, which requires that the Company comply with the applicable listing requirements under NASDAQ Marketplace Rules, which requirements include, among others, a minimum bid price of at least $1.00 per share. On December 2, 2021, the Company received a letter from NASDAQ indicating that the closing bid price of the Company’s Common Stock fell below $1.00 per share for the previous 30 consecutive business days, and that the Company was therefore not in compliance with the minimum bid price requirement for continued inclusion on The NASDAQ Capital Market. The Company had 180 calendar days, until May 31, 2022, to regain compliance with this requirement, which occurs when the closing bid price of the Company’s Common Stock is at least $1.00 per share for a minimum of ten consecutive business days during the 180-day compliance period.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prior to the reverse stock split, the Company had 86,557,736 shares of common stock outstanding which consolidated into 5,770,467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amount of the Company’s outstanding convertible preferred stock were not affected by the reverse stock split. The number of outstanding options, stock awards and warrants were adjusted accordingly, with outstanding options and stock awards being reduced from approximately 6.6 million to approximately 0.4 million and outstanding warrants being reduced from approximately 2.5 million to approximately 0.2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on Demand</w:t>
      </w:r>
      <w:r>
        <w:rPr>
          <w:rFonts w:ascii="Times New Roman" w:cs="Times New Roman" w:eastAsia="Times New Roman" w:hAnsi="Times New Roman"/>
          <w:sz w:val="29"/>
          <w:szCs w:val="29"/>
          <w:i w:val="1"/>
          <w:iCs w:val="1"/>
          <w:u w:val="single" w:color="auto"/>
          <w:color w:val="auto"/>
          <w:vertAlign w:val="superscript"/>
        </w:rPr>
        <w:t>TM</w:t>
      </w:r>
      <w:r>
        <w:rPr>
          <w:rFonts w:ascii="Times New Roman" w:cs="Times New Roman" w:eastAsia="Times New Roman" w:hAnsi="Times New Roman"/>
          <w:sz w:val="18"/>
          <w:szCs w:val="18"/>
          <w:i w:val="1"/>
          <w:iCs w:val="1"/>
          <w:u w:val="single" w:color="auto"/>
          <w:color w:val="auto"/>
        </w:rPr>
        <w:t xml:space="preserve"> Sales Agreement</w:t>
      </w:r>
    </w:p>
    <w:p>
      <w:pPr>
        <w:spacing w:after="0" w:line="1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During 2020, the Company sold and issued an aggregate of 0.3 million shares under the Capital on Demand Agreement, receiving approximately $6.2 million in gross proceeds. During 2021, the Company has sold 0.5 million shares under the Capital on Demand Agreement, receiving approximately $6.9 million in gross proceeds under the Capital on Demand Agreement. The Company has not sold any shares under the Capital on Demand Agreement in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January 2021 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22, 2021, the Company entered into a Securities Purchase Agreement (the “January 2021 Purchase Agreement”) with several institutional investors, pursuant to which the Company issued and sold, in a registered direct offering (the “January 2021 Offering”), an aggregate of 1,728,395 shares of the Company’s common stock at an offering price of $20.25 per share for gross proceeds of approximately $35 million before the deduction of the January 2021 Placement Agents (as defined below) fee and offering expenses. The closing of the January 2021 Offering occurred on January 26,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January 2021 Offering, the Company entered into a placement agent agreement with A.G.P./Alliance Global Partners (“AGP,” and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March 2021 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2021, the Company entered into a Securities Purchase Agreement (the “March 2021 Purchase Agreement”) with several institutional investors, pursuant to which the Company issued and sold, in a registered direct offering (the “March 2021 Offering”), an aggregate of 769,230 shares of the Company’s common stock, at an offering price of $19.50 per share for gross proceeds of approximately $15 million before the deduction of the placement agents fee and offering expenses. The closing of the offering occurred on April 5, 2021 and was accounted for in the second quarter of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March 2021 Offering, the Company entered into a placement agent agreement (the “March 2021 Placement Agent Agreement”) with AGP, as lead placement agent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March 2021 Purchase Agreement and March 2021 Placement Agent Agreement, the Company and its subsidiaries were prohibited, for a period of 90 days after the closing, from entering into any agreement to issue or announcing any issuance or proposed issuance of common stock or any other securities that are at any time convertible into, or exercisable or exchangeable for, or otherwise entitle the holder thereof to receive common stock without the prior written consent of AGP or the investors participating in the offering. For purposes of this offering, AGP and the investors from the Company’s January 2021 Offering waived a similar 90-day restriction in the placement agent agreement and purchase agreement for that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A and Series B Convertible Redeemable Preferred Stock Offering</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10, 2022, the Company entered into a Securities Purchase Agreement (the “Preferred Stock Purchase Agreement”) with several institutional investors, pursuant to which the Company agreed to issue and sell, in concurrent registered direct offerings (the “Preferred Offerings”), (i) 50,000 shares of the Company’s Series A Convertible Redeemable Preferred Stock, par value $0.01 per share (the “Series A Preferred Stock”), and (ii) 50,000 shares of the Company’s Series B Convertible Redeemable Preferred Stock, par value $0.01 per share (the “Series B Preferred Stock” and together with the Series A Preferred Stock, the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have a stated value of $300 per share and are convertible, at a conversion price of $13.65 per share, into 1,098,901 shares of common stock (subject in certain circumstances to adjustments). The shares of Series B Preferred Stock have a stated value of $300 per share and are convertible, at a conversion price of $15.00 per share, into 1,000,000 shares of common stock (subject in certain circumstances to adjustments). The closing of the Preferred Offerings occurred on January 13, 2022.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held a special meeting of stockholders to consider an amendment (the “Amendment”) to the Company’s Certificate of Incorporation, as amended (the “Charter”), to effect a reverse stock split of the outstanding shares of common stock (“Common Stock”) by a ratio to be determined by the Board of Directors of the Company (the “Reverse Stock Split”), ranging from 7-to-1 to, 10-to-1, 12-to-1 or 15-to-1. The investors of the Preferred Stock Purchase Agreement had agreed to not transfer, offer, sell, contract to sell, hypothecate, pledge or otherwise dispose of the shares of the Preferred Stock until the Reverse Stock Split, to vote the shares of the Series A Preferred Stock purchased in the Preferred Offerings in favor of such Amendment and to vote the shares of the Series B Preferred Stock purchased in the Preferred Offerings in a manner that “mirrors” the proportions on which the shares of Common Stock (excluding any shares of Common Stock that are not voted) and Series A Preferred Stock are voted on the Reverse Stock Split and the Amendment.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Preferred Stock Purchase Agreement, the Company filed two certificates of designation (the “Certificates of Designation”) with the Secretary of the State of Delaware designating the rights, preferences and limitations of the shares of Preferred Stock. The Certificates of Designation provided, in particular, that the Preferred Stock had no voting rights, other than the right to vote as a class on certain specified matters, except that (i) each share of Series A Preferred Stock had the right to vote, on an as converted basis, on the Reverse Stock Split (together with the Company’s Common Stock and the Series B Preferred Stock as a single class), and (ii) each share of Series B Preferred Stock had the right to cast 3,000 votes per share of Series B Preferred Stock on the Reverse Stock Split.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holders of Preferred Stock were entitled to dividends, on an as-if converted basis, equal to dividends actually paid, if any, on shares of Common Stock. The Preferred Stock was convertible into shares of Common Stock at a rate of $13.65 per share for the Series A Preferred Stock and $15.00 per share for the Series B Preferred Stock, subject to adjustment. The Preferred Stock was convertible at the option of the holder at any time after the Company had received stockholder approval for the Reverse Stock Split and filed the requisite Amendment with the Delaware Secretary of State’s office to effectuate the Reverse Stock Split (the “Reverse Stock Split Date”), subject to beneficial ownership limitations set forth in the applicable Certificate of Designation. In addition, on or after the Reverse Stock Split Date, and subject to the satisfaction of certain conditions, the Company had the right to cause the holders of the Preferred Stock to convert their shares of Preferred Stock, subject to such beneficial ownership limitations.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holder of the Preferred Stock had the right to cause the Company to redeem all or part of their shares of the Preferred Stock from the earlier of receipt of stockholder approval of the Reverse Stock Split or of 90 days following the original issue date until 120 days following the original issue date, the “Redemption Date,” in cash at a redemption price equal to 105% of the stated value plus an amount equal to accumulated but unpaid dividends, if any, on such shares (whether or not earned or declared, but excluding interest on such dividends) up to, but excluding, the Redemption Date. In connection with the Preferred Offerings, the Company entered into a placement agent agreement (the “Placement Agent Agreement”) with AGP in which the Company paid $1,000,000 as a placement agent fee and $110,000 to reimburse AGP for certain expenses related to the Preferred Stock offering.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2022, the Company redeemed for cash at a price equal to 105% of the $300 stated value per share all of its 50,000 outstanding shares of Series A Preferred Stock and its 50,000 Series B Preferred Stock. As a result, all shares of the Preferred Stock have been retired and are no longer outstanding and the Company’s only class of outstanding stock is its common. Each share of common stock entitles the holder to one vote.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Preferred Stock and Series B Preferred Stock were recorded as a liability on the condensed consolidated balance sheet during the first quarter of 2022 until the preferred shares were redeemed during the same quarter. The Company recognized $4,551,567 as interest expense for the preferred shares during the first quarter of 2022, which was composed of: (a) $3,000,000 as the difference between the redemption price for the preferred shares and the net proceeds received from the issuance of the preferred shares, (b) $1,110,000 paid to AGP as a placement agent fee and reimbursement for certain expenses, and (c) $441,567 in legal fees recognized in the first quarter that were attributed to the preferred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Placement Agent Agreement contains customary representations, warranties and agreements by the Company, customary conditions to closing, indemnification obligations of the Company and AGP, including for liabilities under the Securities Act, other obligations of the parties and termination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At the 2018 Annual Stockholders Meeting of the Company held on May 15, 2018, stockholders approved the Celsion Corporation 2018 Stock Incentive Plan (the “2018 Plan”). The 2018 Plan, as adopted, permits the granting of 180,000 shares of Celsion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80,000 to a total of 260,000 under the 2018 Plan, as amended. Prior to the adoption of the 2018 Plan, the Company had maintained the Celsion Corporation 2007 Stock Incentive Plan (the “2007 Plan”). At the 2020 Annual Stockholders Meeting of the Company held on June 15, 2020, stockholders approved an amendment to the 2018 Plan, as previously amended, whereby the Company increased the number of shares of common stock available by 166,667 to a total of 426,667 under the 2018 Plan, as amended. At the 2021 Annual Stockholders Meeting of the Company held on June 10, 2021, stockholders approved an amendment to the 2018 Plan, as previously amended, whereby the Company increased the number of shares of common stock available by 513,333 to a total of 940,000 under the 2018 Plan, as amended.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28, 2018, and again on February 19, 2019, the Compensation Committee of the Board of Directors approved the grant of (i) inducement stock options (the “Inducement Option Grants”) to purchase a total of 10,933 and 9,332 shares of Celsion common stock, respectively and (ii) inducement restricted stock awards (the “Inducement Stock Grants”) totaling 1,266 and 8,666 shares of Celsion common stock to five new employees collectively. Each award has a grant date of the date of grant. Each Inducement Option Grant has an exercise price per share equal to $41.55 and $32.70 which represents the closing price of Celsion’s common stock as reported by Nasdaq on September 28, 2018 and February 19, 2019, respectively. Each Inducement Option Grant vests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2022, there were a total of 946,454 shares of Celsion common stock reserved for issuance under the 2018 Plan, which were comprised of 658,246 shares of Celsion common stock subject to equity awards previously granted under the 2018 Plan and 2007 Plan and 288,208 shares of Celsion common stock available for future issuance under the 2018 Plan. As of March 31, 2022, there were a total of 9,336 shares of Celsion common stock subject to outstanding inducement awards.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A summary of stock option awards and restricted stock grants for the three-months ended March 31, 2022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45"/>
        </w:trPr>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194"/>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Terms of</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r>
      <w:tr>
        <w:trPr>
          <w:trHeight w:val="245"/>
        </w:trPr>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 w:type="dxa"/>
            <w:vAlign w:val="bottom"/>
          </w:tcPr>
          <w:p>
            <w:pPr>
              <w:spacing w:after="0"/>
              <w:rPr>
                <w:sz w:val="21"/>
                <w:szCs w:val="21"/>
                <w:color w:val="auto"/>
              </w:rPr>
            </w:pP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1"/>
                <w:szCs w:val="21"/>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January 1, 2022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441,425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granted</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224,276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4.60</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March 31, 2022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665,701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27.07</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outstanding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at March 31, 2022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103,167</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20,145</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exercisable at March 31, 2022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419,559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equity awards exercisable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31, 2022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34,304</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amounted to approximately $1.0 million and $1.6 million for the three-month periods ended March 31, 2022 and 2021, respectively. Of these amounts, $0.4 million and $0.6 million was charged to research and development during the three-month periods ended March 31, 2022 and 2021, respectively, and $0.6 million and $1.0 million was charged to general and administrative expenses during the three-month periods ended March 31, 2022 and 2021,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there was $1.7 million of total unrecognized compensation cost related to non-vested stock-based compensation arrangements. That cost is expected to be recognized over a weighted-average period of 1.2 years. The weighted average grant date fair values of the stock options granted was $4.16 and $2.03 during the three-month periods ended March 31, 2022 and 2021,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0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CCEEFF"/>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 to 1.74%</w:t>
            </w:r>
          </w:p>
        </w:tc>
      </w:tr>
      <w:tr>
        <w:trPr>
          <w:trHeight w:val="21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108.5%</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106.8 to 112.5%</w:t>
            </w:r>
          </w:p>
        </w:tc>
      </w:tr>
      <w:tr>
        <w:trPr>
          <w:trHeight w:val="216"/>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 to 9.0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 to 10.0</w:t>
            </w:r>
          </w:p>
        </w:tc>
      </w:tr>
      <w:tr>
        <w:trPr>
          <w:trHeight w:val="23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Earn-Out Milestone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7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 cash within 10 business days of achieving the milestone; or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in cash, common stock of the Company, or a combination of either, within one year of achieving the milestone.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Company fair valued the earn-out milestone liability at $5.4 million. In assessing the fair value of the earnout milestone liability at March 31, 2022, the Company considered each of the settlement provisions per the Amended Asset Purchase Agreement and equally weighted the probability of a cash or cash and common stock payment.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Warrants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three-months ended March 31, 2022: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6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175,792</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20.96</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expired during the three months ended March 31, 2022</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(7,273)</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48.30</w:t>
            </w:r>
          </w:p>
        </w:tc>
      </w:tr>
      <w:tr>
        <w:trPr>
          <w:trHeight w:val="216"/>
        </w:trPr>
        <w:tc>
          <w:tcPr>
            <w:tcW w:w="6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March 31, 2022</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168,519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March 31, 2022</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at March 31, 2022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 years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Leases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2011, the Company executed a lease (the “Lease”) with Brandywine Operating Partnership, L.P. (Brandywine), a Delaware limited partnership, for a 10,870 square foot premises located in Lawrenceville, New Jersey and relocated its offices to Lawrenceville, New Jersey from Columbia, Maryland. The Lease had an initial term of 66 months. In late 2015, Lenox Drive Office Park LLC purchased the real estate and office building and assumed the Lease.</w:t>
      </w:r>
    </w:p>
    <w:p>
      <w:pPr>
        <w:spacing w:after="0" w:line="1"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This Lease was set to expire on April 30, 2017. In April 2017, the Company and the landlord amended the Lease effective May 1, 2017.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extended the term of the agreement for an additional 64 months, reduced the premises to 7,565 square feet, reduced the monthly rent and provided four months free rent. The monthly rent ranged from approximately $18,900 in the first year to approximately $20,500 in the final year of the 1</w:t>
      </w:r>
      <w:r>
        <w:rPr>
          <w:rFonts w:ascii="Times New Roman" w:cs="Times New Roman" w:eastAsia="Times New Roman" w:hAnsi="Times New Roman"/>
          <w:sz w:val="29"/>
          <w:szCs w:val="29"/>
          <w:color w:val="auto"/>
          <w:vertAlign w:val="superscript"/>
        </w:rPr>
        <w:t>st</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Lease Amendment. Effective January 9, 2019, the Company amended the current terms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to increase the size of the premises by 2,285 square feet to 9,850 square feet and also extended the lease term by one year to September 1, 2023. The monthly rent ranges from approximately $25,035 in the first year to approximately $27,088 in the final year of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Lease Amendment.</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EGEN Asset Purchase Agreement in June 2014, the Company assumed the existing lease with another landlord for an 11,500 square foot premises located in Huntsville Alabama. In January 2018, the Company and the Huntsville landlord entered into a new 60-month lease which reduced the premises to 9,049 square feet with rent payments of approximately $18,100 per month. On June 9, 2021 and, as amended on July 7, 2021, the Company and the Huntsville landlord entered into a 22-month lease for an additional 2,197 square foot premises with rent payments of approximately $5,500 per month.</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adopted ASC Topic 842 on January 1, 2019 using the modified retrospective transition method for all lease arrangements at the beginning of the period of adoption.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table of the lease payments and maturity of our operating lease liabilities as of March 31, 2022:</w:t>
            </w: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8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28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451,922</w:t>
            </w:r>
          </w:p>
        </w:tc>
        <w:tc>
          <w:tcPr>
            <w:tcW w:w="14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238,609</w:t>
            </w:r>
          </w:p>
        </w:tc>
        <w:tc>
          <w:tcPr>
            <w:tcW w:w="140" w:type="dxa"/>
            <w:vAlign w:val="bottom"/>
          </w:tcPr>
          <w:p>
            <w:pPr>
              <w:spacing w:after="0"/>
              <w:rPr>
                <w:sz w:val="18"/>
                <w:szCs w:val="18"/>
                <w:color w:val="auto"/>
              </w:rPr>
            </w:pPr>
          </w:p>
        </w:tc>
      </w:tr>
      <w:tr>
        <w:trPr>
          <w:trHeight w:val="249"/>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6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r>
      <w:tr>
        <w:trPr>
          <w:trHeight w:val="203"/>
        </w:trPr>
        <w:tc>
          <w:tcPr>
            <w:tcW w:w="85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 future lease payments</w:t>
            </w:r>
          </w:p>
        </w:tc>
        <w:tc>
          <w:tcPr>
            <w:tcW w:w="6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690,531</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49"/>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(42,167)</w:t>
            </w:r>
          </w:p>
        </w:tc>
      </w:tr>
      <w:tr>
        <w:trPr>
          <w:trHeight w:val="210"/>
        </w:trPr>
        <w:tc>
          <w:tcPr>
            <w:tcW w:w="85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liabilities</w:t>
            </w:r>
          </w:p>
        </w:tc>
        <w:tc>
          <w:tcPr>
            <w:tcW w:w="62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648,364</w:t>
            </w: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r>
      <w:tr>
        <w:trPr>
          <w:trHeight w:val="216"/>
        </w:trPr>
        <w:tc>
          <w:tcPr>
            <w:tcW w:w="8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7"/>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 years</w:t>
            </w: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r>
        <w:trPr>
          <w:trHeight w:val="20"/>
        </w:trPr>
        <w:tc>
          <w:tcPr>
            <w:tcW w:w="8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three-month period ended March 31, 2022, operating lease expense was $146,936 and cash paid for operating leases included in operating cash flows was $149,573. For the three-month period ended March 31, 2021, operating lease expense was $130,595 and cash paid for operating leases included in operating cash flows was $131,863.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Technology Development and Licensing Agreements</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May 7, 2012, the Company entered into a long-term commercial supply agreement with Zhejiang Hisun Pharmaceutical Co. Ltd. (Hisun) for the production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w:t>
      </w:r>
    </w:p>
    <w:p>
      <w:pPr>
        <w:jc w:val="both"/>
        <w:spacing w:after="0" w:line="185" w:lineRule="auto"/>
        <w:rPr>
          <w:sz w:val="20"/>
          <w:szCs w:val="20"/>
          <w:color w:val="auto"/>
        </w:rPr>
      </w:pPr>
      <w:r>
        <w:rPr>
          <w:rFonts w:ascii="Times New Roman" w:cs="Times New Roman" w:eastAsia="Times New Roman" w:hAnsi="Times New Roman"/>
          <w:sz w:val="18"/>
          <w:szCs w:val="18"/>
          <w:color w:val="auto"/>
        </w:rPr>
        <w:t>the manufacture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Celsion will repay Hisun for the aggregate amount of these development costs and fees commencing on the successful completion of three registration batches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Hisun is also obligated to certain performance requirements under the agreement. The agreement</w:t>
      </w:r>
    </w:p>
    <w:p>
      <w:pPr>
        <w:jc w:val="both"/>
        <w:spacing w:after="0" w:line="209" w:lineRule="auto"/>
        <w:rPr>
          <w:sz w:val="20"/>
          <w:szCs w:val="20"/>
          <w:color w:val="auto"/>
        </w:rPr>
      </w:pPr>
      <w:r>
        <w:rPr>
          <w:rFonts w:ascii="Times New Roman" w:cs="Times New Roman" w:eastAsia="Times New Roman" w:hAnsi="Times New Roman"/>
          <w:sz w:val="18"/>
          <w:szCs w:val="18"/>
          <w:color w:val="auto"/>
        </w:rPr>
        <w:t>will initially be limited to a percentage of the production requirements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with Hisun retaining an option for additional global supply after local regulatory approval in the China territory. In addition, Hisun will collaborate with Celsion around the regulatory approval</w:t>
      </w:r>
    </w:p>
    <w:p>
      <w:pPr>
        <w:jc w:val="both"/>
        <w:spacing w:after="0" w:line="228" w:lineRule="auto"/>
        <w:rPr>
          <w:sz w:val="20"/>
          <w:szCs w:val="20"/>
          <w:color w:val="auto"/>
        </w:rPr>
      </w:pPr>
      <w:r>
        <w:rPr>
          <w:rFonts w:ascii="Times New Roman" w:cs="Times New Roman" w:eastAsia="Times New Roman" w:hAnsi="Times New Roman"/>
          <w:sz w:val="18"/>
          <w:szCs w:val="18"/>
          <w:color w:val="auto"/>
        </w:rPr>
        <w:t>activities for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with the China State Food and Drug Administration (CHINA FDA). During the first quarter of 2015, Hisun completed the successful manufacture of three registration batches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On January 18, 2013, we entered into a technology development contract with Hisun, pursuant to which Hisun paid us a non-refundable research and development fee of $5 million to support our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include the sub-group analysis of patients in the Phase III HEAT Study for the hepatocellular carcinoma clinical indication</w:t>
      </w:r>
    </w:p>
    <w:p>
      <w:pPr>
        <w:jc w:val="both"/>
        <w:spacing w:after="0" w:line="209" w:lineRule="auto"/>
        <w:rPr>
          <w:sz w:val="20"/>
          <w:szCs w:val="20"/>
          <w:color w:val="auto"/>
        </w:rPr>
      </w:pPr>
      <w:r>
        <w:rPr>
          <w:rFonts w:ascii="Times New Roman" w:cs="Times New Roman" w:eastAsia="Times New Roman" w:hAnsi="Times New Roman"/>
          <w:sz w:val="18"/>
          <w:szCs w:val="18"/>
          <w:color w:val="auto"/>
        </w:rPr>
        <w:t>and other activities to further the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time as the parties find a mutually acceptable path forward on the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findings of the ongoing post-study analysis of the HEAT Study data.</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July 19, 2013, the Company and Hisun entered into a Memorandum of Understanding to pursue ongoing cooperation for the continued clinical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well as the technology transfer relating to the commercial manufacture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the China territory. This expanded level of cooperation includes development of the next generation liposomal formulation with the goal of creating safer, more efficacious versions of marketed cancer chemotherapeutics.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key provisions of the Celsion-Hisun Memorandum of Understanding are:</w:t>
      </w:r>
    </w:p>
    <w:p>
      <w:pPr>
        <w:spacing w:after="0" w:line="225" w:lineRule="exact"/>
        <w:rPr>
          <w:sz w:val="20"/>
          <w:szCs w:val="20"/>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provide the Company with internal resources necessary to complete the technology transfer of the Company’s proprietary manufacturing process and the production of registration batches for the China territory;</w:t>
      </w:r>
    </w:p>
    <w:p>
      <w:pPr>
        <w:spacing w:after="0" w:line="165" w:lineRule="exact"/>
        <w:rPr>
          <w:rFonts w:ascii="Times New Roman" w:cs="Times New Roman" w:eastAsia="Times New Roman" w:hAnsi="Times New Roman"/>
          <w:sz w:val="18"/>
          <w:szCs w:val="18"/>
          <w:b w:val="1"/>
          <w:bCs w:val="1"/>
          <w:color w:val="auto"/>
        </w:rPr>
      </w:pPr>
    </w:p>
    <w:p>
      <w:pPr>
        <w:ind w:left="660" w:hanging="652"/>
        <w:spacing w:after="0" w:line="188" w:lineRule="auto"/>
        <w:tabs>
          <w:tab w:leader="none" w:pos="660" w:val="left"/>
        </w:tabs>
        <w:numPr>
          <w:ilvl w:val="0"/>
          <w:numId w:val="6"/>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Hisun will coordinate with the Company around the clinical and regulatory approval activities for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well as other liposomal formations with the CHINA FDA; and</w:t>
      </w:r>
    </w:p>
    <w:p>
      <w:pPr>
        <w:spacing w:after="0" w:line="202" w:lineRule="exact"/>
        <w:rPr>
          <w:rFonts w:ascii="Times New Roman" w:cs="Times New Roman" w:eastAsia="Times New Roman" w:hAnsi="Times New Roman"/>
          <w:sz w:val="36"/>
          <w:szCs w:val="36"/>
          <w:b w:val="1"/>
          <w:bCs w:val="1"/>
          <w:color w:val="auto"/>
          <w:vertAlign w:val="superscript"/>
        </w:rPr>
      </w:pPr>
    </w:p>
    <w:p>
      <w:pPr>
        <w:ind w:left="660" w:hanging="652"/>
        <w:spacing w:after="0" w:line="188" w:lineRule="auto"/>
        <w:tabs>
          <w:tab w:leader="none" w:pos="660" w:val="left"/>
        </w:tabs>
        <w:numPr>
          <w:ilvl w:val="0"/>
          <w:numId w:val="6"/>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 xml:space="preserve">Hisun will be granted a right of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offer for a commercial license to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the sale and distribution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8, 2016, the Company signed a Technology Transfer, Manufacturing and Commercial Supply Agreement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U.S., and for potential future studies of GEN-1 in China. GEN-1 is currently being evaluated by Celsion in first line ovarian cancer patients.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Key provisions of the GEN-1 Agreement are as follows:</w:t>
      </w:r>
    </w:p>
    <w:p>
      <w:pPr>
        <w:spacing w:after="0" w:line="225" w:lineRule="exact"/>
        <w:rPr>
          <w:sz w:val="20"/>
          <w:szCs w:val="20"/>
          <w:color w:val="auto"/>
        </w:rPr>
      </w:pPr>
    </w:p>
    <w:p>
      <w:pPr>
        <w:ind w:left="660" w:right="20" w:hanging="652"/>
        <w:spacing w:after="0" w:line="282"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GEN-1 Agreement has targeted unit costs for clinical supplies of GEN-1 that are substantially competitive with the Company’s current suppliers;</w:t>
      </w:r>
    </w:p>
    <w:p>
      <w:pPr>
        <w:spacing w:after="0" w:line="16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once approved, the cost structure for GEN-1 will support rapid market adoption and significant gross margins across global markets;</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Celsion will provide Hisun a certain percentage of China’s commercial unit demand, and separately of global commercial unit demand, subject to regulatory approval;</w:t>
      </w:r>
    </w:p>
    <w:p>
      <w:pPr>
        <w:spacing w:after="0" w:line="161" w:lineRule="exact"/>
        <w:rPr>
          <w:rFonts w:ascii="Times New Roman" w:cs="Times New Roman" w:eastAsia="Times New Roman" w:hAnsi="Times New Roman"/>
          <w:sz w:val="18"/>
          <w:szCs w:val="18"/>
          <w:b w:val="1"/>
          <w:bCs w:val="1"/>
          <w:color w:val="auto"/>
        </w:rPr>
      </w:pPr>
    </w:p>
    <w:p>
      <w:pPr>
        <w:ind w:left="660" w:right="20" w:hanging="652"/>
        <w:spacing w:after="0" w:line="282"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and Celsion will commence technology transfer activities relating to the manufacture of GEN-1, including all studies required by CHINA FDA for site approval; and</w:t>
      </w:r>
    </w:p>
    <w:p>
      <w:pPr>
        <w:spacing w:after="0" w:line="161"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collaborate with Celsion around the regulatory approval activities for GEN-1 with the CHINA FDA. A local China partner affords Celsion access to accelerated CHINA FDA review and potential regulatory exclusivity for the approved indication.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the Hisun arrangement in accordance with ASC 606 and determined that its performance obligations under the agreement include the non-exclusive, royalty-free license, research and development services to be provided by the Company, and its obligation to serve on a joint committee. The Company concluded that the license was not distinct since its value is closely tied to the ongoing research and development activities. As such, the license and the research and development services are bundled as a single performance obligation. Since the provision of the license and research and development services are considered a single performance obligation, the $5,000,000 upfront payment is being recognized as revenue ratably through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29, 2020, a putative securities class action was filed against the Company and certain of its officers and directors (the “Spar Individual Defendants”) in the U.S. District Court for the District of New Jersey, captioned Spar v. Celsion Corporation, et al., Case No. 1:20-cv-15228. The plaintiff alleges that the Company and Individual Defendants made false and misleading statements regarding one of the Company’s product candidates, ThermoDox®, and brings claims for damages under Section 10(b) of the Exchange Act and Rule 10b-5 promulgated thereunder against all Defendants, and under Section 20(a) of the Exchange Act of 1934 against the Spar Individual Defendants. The Company believes that the case is without merit and intends to defend it vigorously. Due to the early stage of the case neither the likelihood that a loss, if any, will be realized, nor an estimate of possible loss or range of loss, if any, can be determined.</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Times New Roman" w:cs="Times New Roman" w:eastAsia="Times New Roman" w:hAnsi="Times New Roman"/>
          <w:sz w:val="18"/>
          <w:szCs w:val="18"/>
          <w:i w:val="1"/>
          <w:iCs w:val="1"/>
          <w:color w:val="auto"/>
        </w:rPr>
        <w:t>Fidler v. Michael H. Tardugno et al.</w:t>
      </w:r>
      <w:r>
        <w:rPr>
          <w:rFonts w:ascii="Times New Roman" w:cs="Times New Roman" w:eastAsia="Times New Roman" w:hAnsi="Times New Roman"/>
          <w:sz w:val="18"/>
          <w:szCs w:val="18"/>
          <w:color w:val="auto"/>
        </w:rPr>
        <w:t>, Case No. 3:21-cv-02662. The plaintiff alleges breach of fiduciary duty and other claims arising out of alleged statements made by certain of the Company’s directors and/or officers regarding</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Company believes it has meritorious defenses to these claims and intends to vigorously contest this suit. Due to the early stage of the case neither the likelihood that a loss, if any, will be realized, nor an estimate of possible loss or range of loss, if any, can be determined.</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2021, a complaint regarding a corporate books and records demand was filed against the Company in the Court of Chancery of the State of Delaware, captioned </w:t>
      </w:r>
      <w:r>
        <w:rPr>
          <w:rFonts w:ascii="Times New Roman" w:cs="Times New Roman" w:eastAsia="Times New Roman" w:hAnsi="Times New Roman"/>
          <w:sz w:val="18"/>
          <w:szCs w:val="18"/>
          <w:i w:val="1"/>
          <w:iCs w:val="1"/>
          <w:color w:val="auto"/>
        </w:rPr>
        <w:t>Pacheco v. Celsion Corporation</w:t>
      </w:r>
      <w:r>
        <w:rPr>
          <w:rFonts w:ascii="Times New Roman" w:cs="Times New Roman" w:eastAsia="Times New Roman" w:hAnsi="Times New Roman"/>
          <w:sz w:val="18"/>
          <w:szCs w:val="18"/>
          <w:color w:val="auto"/>
        </w:rPr>
        <w:t>, Case No. 2021-0705. The plaintiff alleges he is entitled to inspect the Company’s books and records concerning the OPTIMA Study and other materials. The Company believes that the scope of the demand is without merit and intends to defend it vigorously. Due to the early stage of the case neither the likelihood that a loss, if any, will be realized, nor an estimate of possible loss or range of loss, if any, can be determined.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events subsequent to the date of the balance sheet through May 15, 2022.</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April 2022 Purchase Agreement contains customary representations, warranties and agreements by the Company and customary conditions to closing. The closing of the April 2022 Offering occurred on April 8, 2022. 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Clinical Overview</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Celsion Corporation (“Celsion” or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Celsion’s proprietary heat-activated liposomal encapsulation of doxorubicin, currently under investigator-sponsored development for several cancer indications, is being managed though Celsion’s wholly owned subsidiary, Celsion GmbH. Additionally,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2014, the Company completed the acquisition of substantially all of the assets of EGEN, a private company located in Huntsville, Alabama. Pursuant to the Asset Purchase Agreement, CLSN Laboratories acquired all of EGEN’s right, title and interest in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The first drug candidate developed from this technology platform is GEN-1.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THERAPLAS Technology Platform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DNA/mRNA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may be a viable alternative to current approaches to gene delivery due to several distinguishing characteristics, including enhanced molecular versatility that allows for complex modifications to potentially improve activity and safety.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escaping into the systemic circulation. PPC is the delivery component of our lead TheraPlas product, GEN-1, which is in clinical development for the treatment of ovarian cancer. The PPC manufacturing process has been scaled up from bench scale (1-2 g) to 0.6Kg, and several current Good Manufacturing Practice (“cGMP”) lots have been produced with reproducible quality.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TheraPlas has emerged as a viable alternative to current approaches due to several distinguishing characteristics such as strong molecular versatility that may allow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a strong position to capitalize on this technology platform.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an overall five-year survival rate of 45%. This poor outcome is due in part to the lack of effective prevention and early detection strategies. There were approximately 20,000 new cases of ovarian cancer in the U.S. in 2021 with an estimated 13,000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The five-year survival rates for Stages III and IV are 39% and 17%, respectively. First-line chemotherapy regimens are typically platinum-based combination therapies. Although this first line of treatment has an approximate 80% response rate, 55% to 75%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with median overall survival (“OS”)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87"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I Study. </w:t>
      </w:r>
      <w:r>
        <w:rPr>
          <w:rFonts w:ascii="Times New Roman" w:cs="Times New Roman" w:eastAsia="Times New Roman" w:hAnsi="Times New Roman"/>
          <w:sz w:val="18"/>
          <w:szCs w:val="18"/>
          <w:color w:val="auto"/>
        </w:rPr>
        <w:t>In February 2015, we announced that the U.S. Food and Drug Administration (“FDA”) accepted, without objection, the Phase I dose-escalation clinical trial of GEN-1 in combination with the standard of care in neoadjuvant ovarian cancer (the “OVATION I Study”). On September 30, 2015, we announced enrollment of the first patient in the OVATION I Study. The OVATION I Study was designed to:</w:t>
      </w:r>
    </w:p>
    <w:p>
      <w:pPr>
        <w:spacing w:after="0" w:line="17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safe, tolerable and therapeutically active dose of GEN-1 by recruiting and maximizing an immune response;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I Study established a unique opportunity to assess how cytokine-based compounds such as GEN-1, directly affect ovarian cancer cells and the tumor microenvironment in newly diagnosed ovarian cancer patients. The study was designed to characterize the nature of the immune response triggered by GEN-1 at various levels of the patients’ immune system, including:</w:t>
      </w:r>
    </w:p>
    <w:p>
      <w:pPr>
        <w:spacing w:after="0" w:line="176"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immunosuppressive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final translational research and clinical data from the OVATION I Study.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Key translational research findings from all evaluable patients are consistent with the earlier reports from partial analysis of the data and are summarized below:</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GEN-1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reported positive clinical data from the first fourteen patients who completed treatment in the OVATION I Study. GEN-1 plus standard chemotherapy produced no dose limiting toxicities and positive dose dependent efficacy signals which correlate well with positive surgical outcomes as summarized below:</w:t>
      </w:r>
    </w:p>
    <w:p>
      <w:pPr>
        <w:spacing w:after="0" w:line="176" w:lineRule="exact"/>
        <w:rPr>
          <w:sz w:val="20"/>
          <w:szCs w:val="20"/>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progression free survival (“PFS”) results from the OVATION I Study published in the Journal of Clinical Cancer Research. Median PFS in patients treated per protocol (n=14) was 21 months and was 18.4 months for the intent-to-treat (“ITT”) population (n=18) for all dose cohorts, including three patients who dropped out of the study after 13 days or less, and two patients who did not receive full NAC and GEN-1 cycles. Under the current standard of care, in women with Stage III/IV ovarian cancer undergoing NAC, their disease progresses within about 12 months on average. The results from the OVATION I Study support continued evaluation of GEN-1 based on promising tumor response, as reported in the PFS data, and the ability for surgeons to completely remove visible tumor at interval debulking surgery. GEN-1 was well tolerated, and no dose-limiting toxicities were detected. Intraperitoneal administration of GEN-1 was feasible with broad patient acceptance.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the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I Study in order to determine the next steps forward for our GEN-1 immunotherapy program.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13, 2017, the Company filed its Phase I/II clinical trial protocol with the FDA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approximately 110 patients randomized Phase II study.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OVATION 2 Study, patients in the GEN-1 treatment arm will receive GEN-1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GEN-1 plus standard NACT produced positive dose-dependent efficacy results, with no dose-limiting toxicities, which correlates well with successful surgical outcomes as summarized below:</w:t>
      </w:r>
    </w:p>
    <w:p>
      <w:pPr>
        <w:spacing w:after="0" w:line="162" w:lineRule="exact"/>
        <w:rPr>
          <w:sz w:val="20"/>
          <w:szCs w:val="20"/>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15 patients treated in the Phase I portion of the OVATION 2 Study, nine patients were treated with GEN-1 at a dose of 100 mg/m² plus NACT and six patients were treated with NACT only. All 15 patients had successful resections of their tumors, with eight out of nine patients (88%) in the GEN-1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75" w:lineRule="exact"/>
        <w:rPr>
          <w:rFonts w:ascii="Times New Roman" w:cs="Times New Roman" w:eastAsia="Times New Roman" w:hAnsi="Times New Roman"/>
          <w:sz w:val="18"/>
          <w:szCs w:val="18"/>
          <w:color w:val="auto"/>
        </w:rPr>
      </w:pPr>
    </w:p>
    <w:p>
      <w:pPr>
        <w:ind w:left="10120" w:hanging="188"/>
        <w:spacing w:after="0"/>
        <w:tabs>
          <w:tab w:leader="none" w:pos="101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w:t>
      </w:r>
    </w:p>
    <w:p>
      <w:pPr>
        <w:spacing w:after="0" w:line="27"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8"/>
          <w:szCs w:val="18"/>
          <w:color w:val="auto"/>
        </w:rPr>
        <w:t>Patients</w:t>
      </w:r>
    </w:p>
    <w:p>
      <w:pPr>
        <w:spacing w:after="0" w:line="9"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with R0</w:t>
      </w:r>
    </w:p>
    <w:p>
      <w:pPr>
        <w:spacing w:after="0" w:line="9"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color w:val="auto"/>
        </w:rPr>
        <w:t>Resections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72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57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 36, 47 mg/m² of GEN-1 plus NACT</w:t>
            </w:r>
          </w:p>
        </w:tc>
        <w:tc>
          <w:tcPr>
            <w:tcW w:w="3460" w:type="dxa"/>
            <w:vAlign w:val="bottom"/>
            <w:shd w:val="clear" w:color="auto" w:fill="CCEEFF"/>
          </w:tcPr>
          <w:p>
            <w:pPr>
              <w:ind w:left="2760"/>
              <w:spacing w:after="0" w:line="203" w:lineRule="exact"/>
              <w:rPr>
                <w:sz w:val="20"/>
                <w:szCs w:val="20"/>
                <w:color w:val="auto"/>
              </w:rPr>
            </w:pPr>
            <w:r>
              <w:rPr>
                <w:rFonts w:ascii="Times New Roman" w:cs="Times New Roman" w:eastAsia="Times New Roman" w:hAnsi="Times New Roman"/>
                <w:sz w:val="18"/>
                <w:szCs w:val="18"/>
                <w:color w:val="auto"/>
              </w:rPr>
              <w:t>n=12</w:t>
            </w:r>
          </w:p>
        </w:tc>
        <w:tc>
          <w:tcPr>
            <w:tcW w:w="206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42%</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61, 79, 100 mg/m² of GEN-1 plus NACT</w:t>
            </w:r>
          </w:p>
        </w:tc>
        <w:tc>
          <w:tcPr>
            <w:tcW w:w="34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n=17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79"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has recommended that GEN-1 be designated as an orphan medicinal product for the treatment of ovarian cancer. GEN-1 is an IL-12 DNA plasmid vector encased in a non-viral nanoparticle delivery system, which enables cell transfection followed by persistent, local secretion of the IL-12 protein. GEN-1 previously received orphan designation from the FDA.</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Celsion believes these data may warrant consideration of strategies to accelerate the clinical development program for GEN-1 in newly diagnosed, advanced ovarian cancer patients by the FDA. In its March 2019 discussion with Celsion, the FDA noted that preliminary findings from the Phase Ib OVATION I Study were exciting but lacked a control group to evaluate GEN-1’s independent impact on impressive tumor response, surgical results and PFS. The FDA encouraged the Company to continue its GEN-1 development program and consult with FDA with new findings that may have a bearing on designations such as Fast Track and Breakthrough Therapy.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27, 2020, the Company announced the randomization of the first two patients in the Phase II portion of the OVATION 2 Study with GEN-1 in advanced ovarian cancer. The Company anticipates completing enrollment of up to 110 patients before the end of the third quarter of 2022. Because this is an open-label study, the Company intends to provide clinical updates throughout the course of treatment including response rates and surgical resection scores.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2021, the Company announced that it has received Fast Track designation from the FDA for GEN-1, its DNA-mediated IL-12 immunotherapy currently in Phase II development for the treatment of advanced ovarian cancer and also provided an update on the OVATION 2 Study. The Company reported that approximately one-third, or 34 patients, of the anticipated 110 patients had been enrolled into the OVATION 2 Study, of which 20 are in the treatment arm and 14 are in the control. Of the 34 patients enrolled in the trial, 27 patients have had their interval debulking surgery with the following results:</w:t>
      </w:r>
    </w:p>
    <w:p>
      <w:pPr>
        <w:spacing w:after="0" w:line="183" w:lineRule="exact"/>
        <w:rPr>
          <w:sz w:val="20"/>
          <w:szCs w:val="20"/>
          <w:color w:val="auto"/>
        </w:rPr>
      </w:pPr>
    </w:p>
    <w:p>
      <w:pPr>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treated with GEN-1 had a R0 resection, which indicates a microscopically margin-negative complete resection in which no gross or microscopic tumor remains in the tumor bed.</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patients in the control arm had an R0 resection.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interim data represents a 38% improvement in R0 resection rates for GEN-1 patients compared with control arm patients and is consistent with the reported improvement in resection scores noted in the encouraging Phase I OVATION I Study, the manuscript of which has been submitted for peer review publication.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2022, the Company announced that following a pre-planned interim safety review of 81 as treated patients randomized in the OVATION 2 Study, the Data Safety Monitoring Board (DSMB) unanimously recommended that the OVATION 2 Study continue treating patients with the dose of 100</w:t>
      </w:r>
    </w:p>
    <w:p>
      <w:pPr>
        <w:jc w:val="both"/>
        <w:spacing w:after="0" w:line="209" w:lineRule="auto"/>
        <w:rPr>
          <w:sz w:val="20"/>
          <w:szCs w:val="20"/>
          <w:color w:val="auto"/>
        </w:rPr>
      </w:pPr>
      <w:r>
        <w:rPr>
          <w:rFonts w:ascii="Times New Roman" w:cs="Times New Roman" w:eastAsia="Times New Roman" w:hAnsi="Times New Roman"/>
          <w:sz w:val="18"/>
          <w:szCs w:val="18"/>
          <w:color w:val="auto"/>
        </w:rPr>
        <w:t>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DSMB also determined that safety is satisfactory with an acceptable risk/benefit, and that patients tolerate GEN-1 during a course of treatment that lasts up to six months. No dose-limiting toxicities were reported.</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announced that over 75% of the projected 110 patients have been enrolled in the OVATION 2 Study. Interim clinical data from the first 39 patients who have undergone interval debulking surgery showed that the GEN-1 treatment arm is showing a 27% improvement in R0 surgical resection rate over the control arm.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May 15, 2022, 85% of the patients have been enrolled in the OVATION 2 study. To date no patient in the treatment arm of the phase 2 portion of the trial has received all 17 doses of the GEN-1 treatment as prescribed in the study protocol. Implications will be assessed in conjunction with the primary end point, PFS,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TECHNOLOGY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Celsion’s PLACCINE DNA vaccine technology platform is characterized by a single multi-cistronic DNA plasmid vector expressing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a Phase II trial for the treatment of late-stage ovarian cancer with GEN-1. Celsion’s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Celsion’s extensive experience with TheraPlas suggests that the PLACCINE-based</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nanoparticles are stable at storage temperatures of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to 25</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making vaccines developed on this platform easily suitable for broad world-wide distribution.</w:t>
      </w:r>
    </w:p>
    <w:p>
      <w:pPr>
        <w:spacing w:after="0" w:line="20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Celsion’s vaccine approach is designed to optimize the quality of the immune response dictating the efficiency of pathogen clearance and patient recovery. Celsion has taken a multivalent approach in an effort to generate an even more robust immune response that not only results in a strong neutralizing antibody response, but also a more robust and durable T-cell response. Delivered with Celsion’s synthetic polymeric system, the proprietary DNA plasmid is protected from degradation and its cellular uptake is facilitated.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The vast majority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Celsion’s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Celsion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660" w:hanging="328"/>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 plasmid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vector.</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 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viral antigens.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 viruses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equipment to deliver its payload.</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2, 2021, the Company announced results from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 the potential immunogenicity of Celsion’s PLACCINE DNA vaccine, which is intended to provide broad-spectrum protection and resistance against variants by incorporating multiple viral antigens, to improve vaccine stability at storage temperatures of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 xml:space="preserve"> C and above, and to facilitate cheaper and easier manufacturing.</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it had engaged BIOQUAL, Inc., a preclinical testing contract research organization, to conduct a non-human primate (NHP) challenge study with Celsion’s DNA-based approach for a SARS-CoV-2 vaccine. The NHP pilot study follows the generation of encouraging mouse data and will evaluate the Company’s lead vaccine formulations for safety, immunogenicity and protection against SARS-CoV-2. In completed preclinical studies, Celsion demonstrated safe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Celsion’s novel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2022, the Company presented its PLACCINE platform technology at the 2022 World Vaccine Congress. In an oral presentation during a Session on Cancer and Immunotherapy, Dr. Khursheed Anwer, Celsion’s Chief Science Officer, highlighted the Company’s technology platform in his presentation entitled: “</w:t>
      </w:r>
      <w:r>
        <w:rPr>
          <w:rFonts w:ascii="Times New Roman" w:cs="Times New Roman" w:eastAsia="Times New Roman" w:hAnsi="Times New Roman"/>
          <w:sz w:val="18"/>
          <w:szCs w:val="18"/>
          <w:i w:val="1"/>
          <w:iCs w:val="1"/>
          <w:color w:val="auto"/>
        </w:rPr>
        <w:t>Novel DNA Approaches for Cancer Immunotherapies and Multivalent Infectious Disease Vaccines</w:t>
      </w:r>
      <w:r>
        <w:rPr>
          <w:rFonts w:ascii="Times New Roman" w:cs="Times New Roman" w:eastAsia="Times New Roman" w:hAnsi="Times New Roman"/>
          <w:sz w:val="18"/>
          <w:szCs w:val="18"/>
          <w:color w:val="auto"/>
        </w:rPr>
        <w:t>.” PLACCINE is demonstrating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6 months.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murine model, our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 The Company continues to evaluate our technology and look forward to the results from our ongoing proof-of-concept non-human primate study evaluating our PLACCINE vaccine against the challenge from live SARS-CoV-2 virus in the second quarter, with durability results available in the second half of this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THERMODOX</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 DIRECTED CHEMOTHERAPY</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This novel, heat-activated liposomal technology is differentiated from other liposomes through its unique low heat-activated release of encapsulated chemotherapeutic agents. We are able to use several available focused-heat technologies, such as radiofrequency ablation (“RFA”), microwave energy and high intensity focused ultrasound (“HIFU”), to activate the release of drugs from our novel heat sensitive liposomes.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Investigator sponsored THERMODOX</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for the Treatment of Various Cancers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Celsion’s Approach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RFA uses extremely high temperatures (greater than 90° Celsius) to ablate the tumor, it may fail to treat micro-metastases in the outer margins of the ablation zone because temperatures in the periphery may not be high enough to destroy cancer cells. Our ThermoDox® treatment approach is designed to utilize the ability of RFA devices to ablate the center of the tumor while simultaneously thermally activating our ThermoDox® liposome to release its encapsulated doxorubicin to kill any remaining viable cancer cells throughout the heated region, including the ablation margins. This novel treatment approach is intended to deliver the drug directly to those cancer cells that survive RFA. This approach is designed to increase the delivery of the doxorubicin at the desired tumor site while potentially reducing drug exposure distant to the tumor site.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OPTIMA Study</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OPTIMA Study represents an evaluation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a first line therapy, RFA, for newly diagnosed, intermediate stage HCC patients. The OPTIMA Study was designed to enroll up to 550 patients globally at approximately 65 clinical sites in the U.S., Canada, European Union</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(EU), China and other countries in the Asia-Pacific region and will evaluate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standardized RFA, which will require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calls for two interim efficacy analyses by an independent Data Monitoring Committee (“DMC”).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24, 2014, we announced that the FDA provided clearance for the OPTIMA Study, which is a pivotal, double-blind, placebo-controlled Phase</w:t>
      </w:r>
    </w:p>
    <w:p>
      <w:pPr>
        <w:spacing w:after="0" w:line="27" w:lineRule="exact"/>
        <w:rPr>
          <w:sz w:val="20"/>
          <w:szCs w:val="20"/>
          <w:color w:val="auto"/>
        </w:rPr>
      </w:pPr>
    </w:p>
    <w:p>
      <w:pPr>
        <w:jc w:val="both"/>
        <w:ind w:right="20" w:firstLine="8"/>
        <w:spacing w:after="0" w:line="221" w:lineRule="auto"/>
        <w:tabs>
          <w:tab w:leader="none" w:pos="2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in combination with standardized RFA, for the treatment of primary liver cancer. The trial design of the OPTIMA Study is based on the comprehensive analysis of data from an earlier Phase III clinical trial called the HEAT Study (the “HEAT Study”). The OPTIMA Study is supported by a hypothesis developed from an OS analysis of a large subgroup of patients from the HEAT Study.</w:t>
      </w:r>
    </w:p>
    <w:p>
      <w:pPr>
        <w:spacing w:after="0" w:line="2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Post-hoc data analysis from our earlier Phase III HEAT Study suggests that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w:t>
      </w:r>
    </w:p>
    <w:p>
      <w:pPr>
        <w:spacing w:after="0" w:line="3"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patients with a single lesion (n=285, 41% of the HEAT Study patients), treatment with a combination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optimized RFA provided an average 54% risk improvement in OS compared to optimized RFA alone. The HR at this analysis is 0.65 (95% CI 0.45 - 0.94) with a p-value of 0.02. Median OS for the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group has been reached which translates into a two-year survival benefit over the optimized RFA group (projected to be</w:t>
      </w:r>
    </w:p>
    <w:p>
      <w:pPr>
        <w:spacing w:after="0" w:line="186" w:lineRule="auto"/>
        <w:rPr>
          <w:sz w:val="20"/>
          <w:szCs w:val="20"/>
          <w:color w:val="auto"/>
        </w:rPr>
      </w:pPr>
      <w:r>
        <w:rPr>
          <w:rFonts w:ascii="Times New Roman" w:cs="Times New Roman" w:eastAsia="Times New Roman" w:hAnsi="Times New Roman"/>
          <w:sz w:val="18"/>
          <w:szCs w:val="18"/>
          <w:color w:val="auto"/>
        </w:rPr>
        <w:t>greater than 80 months for the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plus optimized RFA group compared to less than 60 months projection for the optimized RFA only group).</w:t>
      </w:r>
    </w:p>
    <w:p>
      <w:pPr>
        <w:spacing w:after="0"/>
        <w:rPr>
          <w:sz w:val="20"/>
          <w:szCs w:val="20"/>
          <w:color w:val="auto"/>
        </w:rPr>
      </w:pPr>
      <w:r>
        <w:rPr>
          <w:rFonts w:ascii="Times New Roman" w:cs="Times New Roman" w:eastAsia="Times New Roman" w:hAnsi="Times New Roman"/>
          <w:sz w:val="18"/>
          <w:szCs w:val="18"/>
          <w:color w:val="auto"/>
        </w:rPr>
        <w:t>This information should be viewed with caution since it is based on a retrospective analysis of a subgroup.</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2018, the Company announced that the OPTIMA Study was fully enrolled. 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 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 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provides uncertainty, subsequently, the DMC left the final decision of whether or not to stop the OPTIMA Study to Celsion. There were no safety concerns noted during the interim analysis. The Company followed the advice of the DMC considered its options either to stop the study or continue to follow patients after a thorough review of the data, and an evaluation of our probability of success.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4, 2020, the Company issued a press release announcing it would continue following patients for OS, noting that the unexpected and marginally crossed futility boundary, suggested by the Kaplan-Meier analysis at the second interim analysis on July 9, 2020, may be associated with a data maturity</w:t>
      </w:r>
    </w:p>
    <w:p>
      <w:pPr>
        <w:jc w:val="both"/>
        <w:spacing w:after="0" w:line="228" w:lineRule="auto"/>
        <w:rPr>
          <w:sz w:val="20"/>
          <w:szCs w:val="20"/>
          <w:color w:val="auto"/>
        </w:rPr>
      </w:pPr>
      <w:r>
        <w:rPr>
          <w:rFonts w:ascii="Times New Roman" w:cs="Times New Roman" w:eastAsia="Times New Roman" w:hAnsi="Times New Roman"/>
          <w:sz w:val="18"/>
          <w:szCs w:val="18"/>
          <w:color w:val="auto"/>
        </w:rPr>
        <w:t>issue. On October 12, 2020, the Company provided an update on the ongoing data analysis from its Phase III OPTIMA Study with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well as growing interest among clinical investigators in conducting studies with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a monotherapy or in combination with other therapies.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Celsion engaged a global biometrics contract research organization, with forensic statistical analysis capability that specializes in data management, statistical consulting, statistical analysis and data sciences, with particular expertise in evaluating unusual data from clinical trials and experience with associated regulatory issues. The primary objective of the CRO’s work was to determine the basis and reasoning behind continuing to follow patients for survival, and if there were outside influences that may have impacted the forecast of futility.</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parallel, the Company submitted all OPTIMA Study clinical trial data to the National Institutes of Health (NIH) and with the expectation of receiving a report on the following:</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3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Cox Regression Analysis for single solitary lesions including minimum burn time per tumor volume, evaluating similarities to the hypothesis generated from the NIH paper published in the </w:t>
      </w:r>
      <w:r>
        <w:rPr>
          <w:rFonts w:ascii="Times New Roman" w:cs="Times New Roman" w:eastAsia="Times New Roman" w:hAnsi="Times New Roman"/>
          <w:sz w:val="18"/>
          <w:szCs w:val="18"/>
          <w:i w:val="1"/>
          <w:iCs w:val="1"/>
          <w:color w:val="auto"/>
        </w:rPr>
        <w:t>Journal of Vascular and Interventional Radiology</w:t>
      </w:r>
      <w:r>
        <w:rPr>
          <w:rFonts w:ascii="Times New Roman" w:cs="Times New Roman" w:eastAsia="Times New Roman" w:hAnsi="Times New Roman"/>
          <w:sz w:val="18"/>
          <w:szCs w:val="18"/>
          <w:color w:val="auto"/>
        </w:rPr>
        <w:t>, in which the key finding was that increased RFA heating time per tumor volume significantly improved OS in patients with single lesion HCC who were treated with RFA plus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compared with patients treated with RFA alone.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site-by-site evaluation for RFA heating time-based anomalies that may have contributed to the treatment arm performance.</w:t>
      </w:r>
    </w:p>
    <w:p>
      <w:pPr>
        <w:spacing w:after="0" w:line="7"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image-based evaluation comparing results from the OPTIMA Study to the data from the HEAT Study that led to the RFA heating time hypothesis.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is now be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Investigator-Sponsored Studies with ThermoDox</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Celsion continues working closely and supporting investigations by others throughout the world in breast cancer, pancreatic cancer and in solid tumors in children. Following inquiries from the NIH, we renewed our Cooperative Research and Development Agreement (CRADA) with the Institute at a nominal</w:t>
      </w:r>
    </w:p>
    <w:p>
      <w:pPr>
        <w:jc w:val="both"/>
        <w:spacing w:after="0" w:line="221" w:lineRule="auto"/>
        <w:rPr>
          <w:sz w:val="20"/>
          <w:szCs w:val="20"/>
          <w:color w:val="auto"/>
        </w:rPr>
      </w:pPr>
      <w:r>
        <w:rPr>
          <w:rFonts w:ascii="Times New Roman" w:cs="Times New Roman" w:eastAsia="Times New Roman" w:hAnsi="Times New Roman"/>
          <w:sz w:val="18"/>
          <w:szCs w:val="18"/>
          <w:color w:val="auto"/>
        </w:rPr>
        <w:t>cost, one goal of which is to pursue their interest in 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treat patients with bladder cancer. Importantly, Celsion is developing a business model to support these investigator-sponsored studies in a manner that will not interfere with the Company’s focus on our GEN-1 program and vaccine development initiative.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summaries of several investigator-sponsored studies using ThermoDox®:</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Oxford University commenced enrolling patients in a Phase I pancreatic cancer study with ThermoDox® in combination with High Intensity Focused Ultrasound (HIFU) in July of 2021. The primary objective of this trial, the PanDox Study: Targeted Doxorubicin in Pancreatic Tumors, is to quantify the enhancement in intratumoral doxorubicin concentration when delivered with ThermoDox® and HIFU, versus doxorubicin monotherapy. This study is being undertaken pursuant to promising data in a mouse model of pancreatic cancer, which was published in the International Journal of Hyperthermia in 2018. That preclinical study showed a 23x increase in intratumoral doxorubicin concentration with ThermoDox® + HIFU, compared with a 2x increase in intratumoral doxorubicin concentration with free doxorubicin plus HIFU.</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Utrecht University in the Netherlands continues to enroll patients in a Phase I breast cancer study to determine the safety, tolerability and feasibility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Magnetic Resonance Guided High Intensity Focused Ultrasound (MR-HIFU) hyperthermia and cyclophosphamide therapy for the local treatment of the primary tumor in metastatic breast cancer (mBC). This investigator-sponsored study, which is being funded by the Dutch Cancer Society, the Center for Translational Molecular Medicine (a public-private partnership in the Netherlands), will be conducted at University Medical Center Utrecht and will enroll up to 12 newly diagnosed mBC patients. Celsion will supply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clinical product for the trial.</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December 31, 2021, the Company has incurred approximately $343 million of cumulative net losses. As of March 31, 2022, the Company had $47.3 million in cash and cash equivalents, short-term investments, interest receivable and restricted cash. The Company has substantial future capital requirements to continue its research and development activities and advance its product candidates through various development stages. The Company believes these expenditures are essential for the commercialization of its technologies.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2020, the World Health Organization declared an outbreak of coronavirus, COVID-19, to be a “Public Health Emergency of International Concern,” and the U.S. Department of Health and Human Services declared a public health emergency to aid the U.S. healthcare community in responding to COVID-19. This virus has spread to over 200 countries, including the U.S.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during 2021 or thus far in 2022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 The disruptions caused by COVID-19 may also disrupt the clinical trials process and enrollment of patients. This may delay commercialization efforts. The Company continues to monitor its operating activities in light of these events, and it is reasonably possible that the virus could have a negative effect on the Company’s financial condition and results of operations. The specific impact, if any, is not readily determinable as of the date of the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following:</w:t>
      </w:r>
    </w:p>
    <w:p>
      <w:pPr>
        <w:spacing w:after="0" w:line="162"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research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research programs;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and clinical development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the Company has entered into research and development agreements;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additional clinical trials of product candidates;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current research and development licensing arrangements and to establish new research and development and licensing arrangements;</w:t>
      </w:r>
    </w:p>
    <w:p>
      <w:pPr>
        <w:spacing w:after="0" w:line="161" w:lineRule="exact"/>
        <w:rPr>
          <w:rFonts w:ascii="Times New Roman" w:cs="Times New Roman" w:eastAsia="Times New Roman" w:hAnsi="Times New Roman"/>
          <w:sz w:val="18"/>
          <w:szCs w:val="18"/>
          <w:color w:val="auto"/>
        </w:rPr>
      </w:pPr>
    </w:p>
    <w:p>
      <w:pPr>
        <w:ind w:left="660" w:hanging="607"/>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milestones under licensing arrangements;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claims and other intellectual property rights;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both"/>
        <w:spacing w:after="0" w:line="239" w:lineRule="auto"/>
        <w:rPr>
          <w:sz w:val="20"/>
          <w:szCs w:val="20"/>
          <w:color w:val="auto"/>
        </w:rPr>
      </w:pPr>
      <w:r>
        <w:rPr>
          <w:rFonts w:ascii="Times New Roman" w:cs="Times New Roman" w:eastAsia="Times New Roman" w:hAnsi="Times New Roman"/>
          <w:sz w:val="18"/>
          <w:szCs w:val="18"/>
          <w:color w:val="auto"/>
        </w:rPr>
        <w:t>On July 13, 2020, the Company announced that it has received a recommendation from the independent DMC to consider stopping the global Phase III OPTIMA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that the Company was notifying all clinical sites to discontinue following patients in the OPTIMA Study.</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New Jersey NOLs and unused research and development credits are allowed to sell these benefits to other New Jersey-based companies. In 2018 and 2019, the Company sold cumulative New Jersey NOLs from 2011 to 2018 totalling $13 million and received net proceeds of $12.2 million. As part of the Technology Business Tax Certificate Program, the Company sold $1.5 million and $2.0 million of its New Jersey NOLs in 2021 and 2020, respectively. The sale of these net operating losses resulted in net proceeds to the Company of approximately $1.4 million in 2021 and $1.9 million in 2020. During 2021, the New Jersey State Legislature increased the maximum lifetime benefit per company from $15 million to $20 million, which will allow the Company to participate in this funding program in future years for up to an additional $3.5 million in net operating losses under this maximum lifetime benefit.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Celsion repaid $5 million of the $10 million loan and $0.2 million in related end of term charges, and the remaining $5 million in obligations were restructured. As more fully discussed in Note 11 to the Financial Statements, in June 2021, the Company entered into a $10 million loan facility with SVB. The Company immediately used $6 million from this facility to retire all outstanding indebtedness with Horizon. The remaining $4 million under the Silicon Valley Bank loan facility (“SVB Loan Facility”) will be available to be drawn down up to 12 months after closing. The funding is in the form of money market secured indebtedness bearing interest at a calculated WSJ Prime-based variable rate (currently 3.25%). Payments under the loan agreement are interest only for the first 24 months after loan closing, followed by a 24-month amortization period of principal and interest through the scheduled maturity date.</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New Jersey NOLs and other sources. If the Company raises funds by selling additional shares of common stock or other securities convertible into common stock, the ownership interest of existing stockholders may be diluted. See Note 12 for a discussion of the Company’s issuance and redemption of Series A Preferred Stock and Series B Preferred Stock as well as receiving gross proceeds of $7.0 million dollars through selling approximately 1.3 million shares of common stock in a registered direct offering during April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State of New Jersey net operating losses as part of the NOL Program sponsored by The New Jersey Economic Development Authority. Under the program, emerging biotechnology companies with unused New Jersey NOLs and unused research and development credits are allowed to sell these benefits to other New Jersey-based companies. In 2018 and 2019, the Company sold cumulative New Jersey NOLs from 2011 to 2018 totalling $13 million and received net proceeds of $12.2 million. As part of the NOL Program, the Company sold $1.5 million and $2.0 million of its New Jersey NOLs in 2021 and 2020, respectively. The sale of these net operating losses resulted in net proceeds to the Company of approximately $1.4 million in 2021 and $1.9 million in 2020. During 2021, the New Jersey State Legislature increased the maximum lifetime benefit per company from $15 million to $20 million, which will allow the Company to participate in this funding program in future years for up to an additional $3.5 million in New Jersey NOLs under this maximum lifetime benefit.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discussed, the Company entered into a Credit Agreement with Horizon Technology Finance Corporation (“Horizon”) that provided $10 million in capital (the “Horizon Credit Agreement”) in June 2018. In August, 2020, in connection with an Amendment to the Horizon Credit Agreement, Celsion repaid $5 million of the $10 million loan and $0.2 million in related end of term charges, and the remaining $5 million in obligations were restructured. In June 2021, the Company entered into a $10 million loan facility with Silicon Valley Bank. The Company immediately used $6 million from this facility to retire all outstanding indebtedness with Horizon Technology Finance Corporation. The remaining $4 million will be available to be drawn down up to 12 months after closing. Payments under the loan agreement are interest only for the first 24 months after loan closing, followed by a 24-month amortization period of principal and interest through the scheduled maturity date.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2018, the Company filed with the SEC a $75 million shelf registration statement on Form S-3 (the 2018 Shelf Registration Statement) that allows the Company to issue any combination of common stock, preferred stock or warrants to purchase common stock or preferred stock. This shelf registration was declared effective on October 12, 2018 and was fully utilized by the end of January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19, 2021, the Company filed with the SEC a new $100 million shelf registration statement on Form S-3 (File No. 333-254515) (the “2021 Registration Statement”) that allows the Company to issue any combination of common stock, preferred stock or warrants to purchase common stock or preferred stock. This shelf registration was declared effective on March 30, 2021.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2021 and 2022 through the date of this Quarterly Report filed on Form 10-Q, we issued a total of 4.4 million shares of common stock as discussed below for an aggregate $65.4 million in gross proceeds.</w:t>
      </w:r>
    </w:p>
    <w:p>
      <w:pPr>
        <w:spacing w:after="0" w:line="162" w:lineRule="exact"/>
        <w:rPr>
          <w:sz w:val="20"/>
          <w:szCs w:val="20"/>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 During 2021, the Company sold 0.5 million shares under the Capital on Demand Agreement, receiving approximately $6.9 million in gross proceeds under the Capital on Demand Agreement.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2021, the Company entered into a Securities Purchase Agreement (the “January 2021 Purchase Agreement”) with several institutional investors, pursuant to which the Company agreed to issue and sell, in a registered direct offering (the “January 2021 Offering”), an aggregate of 1,728,395 shares of the Company’s common stock at an offering price of $20.25 per share for gross proceeds of approximately $35 million before the deduction of the January 2021 Placement Agents (as defined below) fee and offering expenses. The January 2021 Purchase Agreement contains customary representations, warranties and agreements by the Company and customary conditions to closing. The closing of the January 2021 Offering occurred on January 26, 2021. In connection with the January 2021 Offering, the Company entered into a placement agent agreement with A.G.P./Alliance Global Partners (“AGP” and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2021, the Company entered into a Securities Purchase Agreement (the “March 2021 Purchase Agreement”) with several institutional investors, pursuant to which the Company agreed to issue and sell, in a registered direct offering (the “March 2021 Offering”), an aggregate of 769,230 shares of the Company’s common stock, at an offering price of $19.50 per share for gross proceeds of approximately $15 million before the deduction of the placement agents fee and offering expenses. The shares were offered by the Company pursuant to the 2021 Registration Statement. The closing of the offering occurred on April 5, 2021.</w:t>
      </w:r>
    </w:p>
    <w:p>
      <w:pPr>
        <w:spacing w:after="0" w:line="183"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March 2021 Offering, the Company entered into a placement agent agreement with AGP, as lead placement agent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10, 2022, the Company entered into the Preferred Stock Purchase Agreement with several institutional investors, pursuant to which the Company agreed to issue and sell, in the Preferred Offerings, (i) 50,000 shares of Series A Preferred Stock, and (ii) 50,000 shares of Series B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have a stated value of $300 per share and are convertible, at a conversion price of $13.65 per share, into 1,098,901 shares of common stock (subject in certain circumstances to adjustments). The shares of Series B Preferred Stock have a stated value of $300 per share and are convertible, at a conversion price of $15.00 per share, into 1,000,000 shares of common stock (subject in certain circumstances to adjustments). The closing of the Preferred Offerings occurred on January 13, 2022.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left="328"/>
        <w:spacing w:after="0" w:line="254" w:lineRule="auto"/>
        <w:rPr>
          <w:sz w:val="20"/>
          <w:szCs w:val="20"/>
          <w:color w:val="auto"/>
        </w:rPr>
      </w:pPr>
      <w:r>
        <w:rPr>
          <w:rFonts w:ascii="Times New Roman" w:cs="Times New Roman" w:eastAsia="Times New Roman" w:hAnsi="Times New Roman"/>
          <w:sz w:val="18"/>
          <w:szCs w:val="18"/>
          <w:color w:val="auto"/>
        </w:rPr>
        <w:t>The Company held a special meeting of stockholders to consider an amendment (the “Amendment”) to the Company’s Certificate of Incorporation, as amended (the “Charter”), to effect a reverse stock split of the outstanding shares of common stock (“Common Stock”) by a ratio to be determined by the Board of Directors of the Company (the “Reverse Stock Split”), ranging from 7-to-1 to, 10-to-1, 12-to-1 or 15-to-1. The investors have agreed in the Purchase Agreement to not transfer, offer, sell, contract to sell, hypothecate, pledge or otherwise dispose of the shares of the Preferred Stock until the Reverse Stock Split, to vote the shares of the Series A Preferred Stock purchased in the Preferred Offerings in favor of such Amendment and to vote the shares of the Series B Preferred Stock purchased in the Preferred Offerings in a manner that “mirrors” the proportions on which the shares of Common Stock (excluding any shares of Common Stock that are not voted) and Series A Preferred Stock are voted on the Reverse Stock Split and the Amendment.</w:t>
      </w:r>
    </w:p>
    <w:p>
      <w:pPr>
        <w:spacing w:after="0" w:line="192" w:lineRule="exact"/>
        <w:rPr>
          <w:sz w:val="20"/>
          <w:szCs w:val="20"/>
          <w:color w:val="auto"/>
        </w:rPr>
      </w:pPr>
    </w:p>
    <w:p>
      <w:pPr>
        <w:jc w:val="both"/>
        <w:ind w:left="328"/>
        <w:spacing w:after="0" w:line="254" w:lineRule="auto"/>
        <w:rPr>
          <w:sz w:val="20"/>
          <w:szCs w:val="20"/>
          <w:color w:val="auto"/>
        </w:rPr>
      </w:pPr>
      <w:r>
        <w:rPr>
          <w:rFonts w:ascii="Times New Roman" w:cs="Times New Roman" w:eastAsia="Times New Roman" w:hAnsi="Times New Roman"/>
          <w:sz w:val="18"/>
          <w:szCs w:val="18"/>
          <w:color w:val="auto"/>
        </w:rPr>
        <w:t>The holders of Preferred Stock will be entitled to dividends, on an as-if converted basis, equal to dividends actually paid, if any, on shares of Common Stock. The Preferred Stock is convertible into shares of Common Stock at a rate of $13.95 per share for the Series A Preferred Stock and $15.00 per share for the Series B Preferred Stock. The conversion price can be adjusted pursuant to the Certificate of Designation. The Preferred Stock can be converted at the option of the holder at any time after the Company has received stockholder approval for the Reverse Stock Split and filed the requisite Amendment with the Delaware Secretary of State’s office to effectuate the Reverse Stock Split (the “Reverse Stock Split Date”), subject to beneficial ownership limitations set forth in the applicable Certificate of Designation. In addition, on or after the Reverse Stock Split Date, and subject to the satisfaction of certain conditions, the Company can cause the holders of the Preferred Stock to convert their shares of Preferred Stock, subject to such beneficial ownership limitations.</w:t>
      </w:r>
    </w:p>
    <w:p>
      <w:pPr>
        <w:spacing w:after="0" w:line="192" w:lineRule="exact"/>
        <w:rPr>
          <w:sz w:val="20"/>
          <w:szCs w:val="20"/>
          <w:color w:val="auto"/>
        </w:rPr>
      </w:pPr>
    </w:p>
    <w:p>
      <w:pPr>
        <w:jc w:val="both"/>
        <w:ind w:left="328"/>
        <w:spacing w:after="0" w:line="255" w:lineRule="auto"/>
        <w:rPr>
          <w:sz w:val="20"/>
          <w:szCs w:val="20"/>
          <w:color w:val="auto"/>
        </w:rPr>
      </w:pPr>
      <w:r>
        <w:rPr>
          <w:rFonts w:ascii="Times New Roman" w:cs="Times New Roman" w:eastAsia="Times New Roman" w:hAnsi="Times New Roman"/>
          <w:sz w:val="18"/>
          <w:szCs w:val="18"/>
          <w:color w:val="auto"/>
        </w:rPr>
        <w:t>Each holder of the Preferred Stock has the right to cause the Company to redeem all or part of their shares of the Preferred Stock from the earlier of receipt of stockholder approval of the reverse stock split or of 90 days following the original issue date until 120 days following the original issue date, the “Redemption Date,” in cash at a redemption price equal to 105% of the stated value plus an amount equal to accumulated but unpaid dividends, if any, on such shares (whether or not earned or declared, but excluding interest on such dividends) up to, but excluding, the Redemption Date. In connection with the Preferred Offerings, the Company entered into a placement agent agreement (the “Placement Agent Agreement”) with AGP in which the Company paid $1,000,000 as a placement agent fee and $110,000 to reimburse AGP for certain expenses related to the Preferred Stock offering.</w:t>
      </w:r>
    </w:p>
    <w:p>
      <w:pPr>
        <w:spacing w:after="0" w:line="189" w:lineRule="exact"/>
        <w:rPr>
          <w:sz w:val="20"/>
          <w:szCs w:val="20"/>
          <w:color w:val="auto"/>
        </w:rPr>
      </w:pPr>
    </w:p>
    <w:p>
      <w:pPr>
        <w:jc w:val="both"/>
        <w:ind w:left="328"/>
        <w:spacing w:after="0" w:line="261" w:lineRule="auto"/>
        <w:rPr>
          <w:sz w:val="20"/>
          <w:szCs w:val="20"/>
          <w:color w:val="auto"/>
        </w:rPr>
      </w:pPr>
      <w:r>
        <w:rPr>
          <w:rFonts w:ascii="Times New Roman" w:cs="Times New Roman" w:eastAsia="Times New Roman" w:hAnsi="Times New Roman"/>
          <w:sz w:val="18"/>
          <w:szCs w:val="18"/>
          <w:color w:val="auto"/>
        </w:rPr>
        <w:t>On March 3, 2022, the Company redeemed for cash at a price equal to 105% of the $300 stated value per share all of its 50,000 outstanding shares of Series A Preferred Stock and its 50,000 outstanding Series B Preferred Stock. As a result, all shares of the Preferred Stock have been retired and are no longer outstanding and Celsion’s only class of outstanding stock is its common stock. Each share of common stock entitles the holder to one vote.</w:t>
      </w:r>
    </w:p>
    <w:p>
      <w:pPr>
        <w:spacing w:after="0" w:line="180" w:lineRule="exact"/>
        <w:rPr>
          <w:sz w:val="20"/>
          <w:szCs w:val="20"/>
          <w:color w:val="auto"/>
        </w:rPr>
      </w:pPr>
    </w:p>
    <w:p>
      <w:pPr>
        <w:jc w:val="both"/>
        <w:ind w:left="328"/>
        <w:spacing w:after="0" w:line="277" w:lineRule="auto"/>
        <w:rPr>
          <w:sz w:val="20"/>
          <w:szCs w:val="20"/>
          <w:color w:val="auto"/>
        </w:rPr>
      </w:pPr>
      <w:r>
        <w:rPr>
          <w:rFonts w:ascii="Times New Roman" w:cs="Times New Roman" w:eastAsia="Times New Roman" w:hAnsi="Times New Roman"/>
          <w:sz w:val="17"/>
          <w:szCs w:val="17"/>
          <w:color w:val="auto"/>
        </w:rPr>
        <w:t>The Series A Preferred Stock and Series B Preferred Stock were recorded as a liability on the condensed consolidated balance sheet during the first quarter of 2022 until the preferred shares were redeemed during the same quarter. The Company recognized $4,551,567 as interest expense for the preferred shares during the first quarter of 2022, which was composed of: (a) $3,000,000 as the difference between the redemption price for the preferred shares and the net proceeds received from the issuance of the preferred shares, (b) $1,110,000 paid to AGP as a placement agent fee and reimbursement for certain expenses, and (c) $441,567 in legal fees recognized in the first quarter that were attributed to the preferred shares.</w:t>
      </w:r>
    </w:p>
    <w:p>
      <w:pPr>
        <w:spacing w:after="0" w:line="168"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The Placement Agent Agreement contains customary representations, warranties and agreements by the Company, customary conditions to closing, indemnification obligations of the Company and AGP, including for liabilities under the Securities Act, other obligations of the parties and termination provisions.</w:t>
      </w:r>
    </w:p>
    <w:p>
      <w:pPr>
        <w:spacing w:after="0" w:line="176" w:lineRule="exact"/>
        <w:rPr>
          <w:sz w:val="20"/>
          <w:szCs w:val="20"/>
          <w:color w:val="auto"/>
        </w:rPr>
      </w:pPr>
    </w:p>
    <w:p>
      <w:pPr>
        <w:jc w:val="both"/>
        <w:ind w:left="328" w:hanging="328"/>
        <w:spacing w:after="0" w:line="254"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April 2022 Purchase Agreement contains customary representations, warranties and agreements by the Company and customary conditions to closing. The closing of the April 2022 Offering occurred on April 8, 2022. 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w:t>
      </w:r>
    </w:p>
    <w:p>
      <w:pPr>
        <w:spacing w:after="0" w:line="18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in our 2021 Annual Report on Form 10-K for the year ended December 31, 2021 filed with the SEC on March 31, 2022. See Note 4 to the Condensed Consolidated Financial Statements contained in this Quarterly Report on Form 10-Q.</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THREE MONTHS ENDED MARCH 31,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2022 our net loss was $10.5 million compared to a net loss of $5.7 million for the same three-month period of 2021.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$47.3 million in cash and cash equivalents, short-term investments, interest receivable and restricted cash, coupled with $7.0 million of gross proceeds received in a registered direct offering in April 2022 and approximately $3.5 million of future planned sales of the Company’s State of New Jersey net operating losses, the Company believes it has sufficient capital resources to fund its operations into the second quarter of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7"/>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4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220" w:type="dxa"/>
            <w:vAlign w:val="bottom"/>
          </w:tcPr>
          <w:p>
            <w:pPr>
              <w:spacing w:after="0"/>
              <w:rPr>
                <w:sz w:val="20"/>
                <w:szCs w:val="20"/>
                <w:color w:val="auto"/>
              </w:rPr>
            </w:pPr>
          </w:p>
        </w:tc>
      </w:tr>
      <w:tr>
        <w:trPr>
          <w:trHeight w:val="237"/>
        </w:trPr>
        <w:tc>
          <w:tcPr>
            <w:tcW w:w="42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2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1,321</w:t>
            </w:r>
          </w:p>
        </w:tc>
        <w:tc>
          <w:tcPr>
            <w:tcW w:w="50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167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Chemistry, Manufacturing and Controls (CMC)</w:t>
            </w: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1,774</w:t>
            </w:r>
          </w:p>
        </w:tc>
        <w:tc>
          <w:tcPr>
            <w:tcW w:w="5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356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r>
      <w:tr>
        <w:trPr>
          <w:trHeight w:val="203"/>
        </w:trPr>
        <w:tc>
          <w:tcPr>
            <w:tcW w:w="42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6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3,095</w:t>
            </w:r>
          </w:p>
        </w:tc>
        <w:tc>
          <w:tcPr>
            <w:tcW w:w="3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2,572</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523</w:t>
            </w:r>
          </w:p>
        </w:tc>
        <w:tc>
          <w:tcPr>
            <w:tcW w:w="5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20.3%</w:t>
            </w: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2,872</w:t>
            </w:r>
          </w:p>
        </w:tc>
        <w:tc>
          <w:tcPr>
            <w:tcW w:w="5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(64)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42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5,967</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5,508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w:t>
            </w:r>
          </w:p>
        </w:tc>
        <w:tc>
          <w:tcPr>
            <w:tcW w:w="54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8.3%</w:t>
            </w:r>
          </w:p>
        </w:tc>
      </w:tr>
      <w:tr>
        <w:trPr>
          <w:trHeight w:val="230"/>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540" w:type="dxa"/>
            <w:vAlign w:val="bottom"/>
            <w:tcBorders>
              <w:bottom w:val="single" w:sz="8" w:color="CCEEFF"/>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4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each of the first quarters of 2022 and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were $3.1 million in the first quarter of 2022 compared $2.6 million in same period of 2021. Costs associated the OVATION 2 Study were $0.4 million in each of the first quarters of 2022 and 2021. Costs associated with the OPTIMA Study were $0.1 million in the each of the first quarters of 2022 and 2021. In July 2020, the Company unblinded the OPTIMA Study at the recommendation of the DMC to halt the study due to futility. Other clinical and regulatory costs were $0.8 million the first quarter of 2022 compared to $0.6 million in the same period of 2021. R&amp;D costs associated with the development of GEN-1 to support the OVATION 2 Study as well as development of the PLACCINE DNA vaccine technology platform increased to $1.5 million in the first quarter of 2022 compared to $1.0 million in the same period of 2021. CMC costs decreased to $0.3 million in the first quarter of 2022 compared to $0.5 million in the same period of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$2.9 million in in each of the first quarters of 2022 and 2021. Lower non-cash stock compensation expense of $0.4 million was offset by higher salaries and benefits, higher professional fees (largely legal fees to defend various lawsuits filed after the announcement in July 2020 of the OPTIMA Phase III clinical results) and higher premiums for directors’ and officers’ insurance during the first quarter of 2022 when compared to the same prior year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IPR&amp;D Liability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IPR&amp;D is reviewed for impairment at least annually as of our third quarter ended September 30 by assessing if any events or changes in circumstances have occurred which indicate that the carrying value of the assets might not be recoverable. Due to the continuing deterioration of public capital markets in the biotech industry and its impact on market capitalization rates in this section, IPR&amp;D related to the ovarian cancer indication was reviewed for impairment during the first quarter of 2022. Based on the Company’s analysis of the IPR&amp;D, the Company has concluded that it is not more than likely that the asset had been impaired as of March 31, 2022. As such, no impairment charges for IPR&amp;D related to the ovarian cancer indication were recorded during the first quarter of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Earn-out Milestone Liability and Warrant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76"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 cash within 10 business days of achieving the milestone; or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in cash, common stock of the Company, or a combination of either, within one year of achieving the milestone.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Company fair valued the earn-out milestone liability at $5.4 million. In assessing the fair value of the earnout milestone liability at December 31, 2021, the Company considered each of the settlement provisions per the Amended Asset Purchase Agreement and equally weighted the probability of a cash or cash and common stock payment.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income and interest expense UPDATE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interest expense of $4.6 million in the first quarter of 2022. As more fully discussed in Notes 11 and 12 of the financial statements, the Company expensed $94,690 in interest due to the Silicon Valley Bank loan facility and $4,551,567 in interest attributed to the Series A Preferred Stock and Series B Preferred Stock during the first quarter of 2022. Interest expense was $0.2 million for the first quarter of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from its short-term investments was insignificant in the first quarter of 2021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w:t>
      </w:r>
    </w:p>
    <w:p>
      <w:pPr>
        <w:jc w:val="both"/>
        <w:spacing w:after="0" w:line="227" w:lineRule="auto"/>
        <w:rPr>
          <w:sz w:val="20"/>
          <w:szCs w:val="20"/>
          <w:color w:val="auto"/>
        </w:rPr>
      </w:pPr>
      <w:r>
        <w:rPr>
          <w:rFonts w:ascii="Times New Roman" w:cs="Times New Roman" w:eastAsia="Times New Roman" w:hAnsi="Times New Roman"/>
          <w:sz w:val="18"/>
          <w:szCs w:val="18"/>
          <w:color w:val="auto"/>
        </w:rPr>
        <w:t>development agreement with Hisun. The process of developing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$343 million at March 31, 2022.</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2022, we had total current assets of $43.9 million and current liabilities of $6.6 million, resulting in net working capital of $37.3 million. At March 31, 2022, we had cash and cash equivalents, short-term investments, interest receivable on short term investments and money market investments ($6.0 million of which is included in other assets) of $47.3 million. At December 31, 2021 we had total current assets of $51.9 million and current liabilities of $6.8 million, resulting in net working capital of $45.1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first three months of 2022 was $8.0 million. Net cash provided by investing activities was $16.8 million during the first three months of 2022. No cash was provided by financing activities during the first three months of 2022. With $47.3 million in cash and cash equivalents, short-term investments, interest receivable and restricted cash, coupled with $7.0 million of gross proceeds received in a registered direct offering in April 2022 and approximately $3.5 million of future planned sales of the Company’s State of New Jersey net operating losses, the Company believes it has sufficient capital resources to fund its operations into the second quarter of 2025.</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March 31, 2022,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29, 2020, a putative securities class action was filed against the Company and certain of its officers and directors (the “Spar Individual Defendants”) in the U.S. District Court for the District of New Jersey, captioned Spar v. Celsion Corporation, et al., Case No. 1:20-cv-15228. The plaintiff alleges that the Company and Individual Defendants made false and misleading statements regarding one of the Company’s product candidates, ThermoDox®, and brings claims for damages under Section 10(b) of the Exchange Act and Rule 10b-5 promulgated thereunder against all Defendants, and under Section 20(a) of the Exchange Act of 1934 against the Spar Individual Defendants. The Company believes that the case is without merit and intends to defend it vigorously. Due to the early stage of the case neither the likelihood that a loss, if any, will be realized, nor an estimate of possible loss or range of loss, if any, can be determined.</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Times New Roman" w:cs="Times New Roman" w:eastAsia="Times New Roman" w:hAnsi="Times New Roman"/>
          <w:sz w:val="18"/>
          <w:szCs w:val="18"/>
          <w:i w:val="1"/>
          <w:iCs w:val="1"/>
          <w:color w:val="auto"/>
        </w:rPr>
        <w:t>Fidler v. Michael H. Tardugno et al.</w:t>
      </w:r>
      <w:r>
        <w:rPr>
          <w:rFonts w:ascii="Times New Roman" w:cs="Times New Roman" w:eastAsia="Times New Roman" w:hAnsi="Times New Roman"/>
          <w:sz w:val="18"/>
          <w:szCs w:val="18"/>
          <w:color w:val="auto"/>
        </w:rPr>
        <w:t>, Case No. 3:21-cv-02662. The plaintiff alleges breach of fiduciary duty and other claims arising out of alleged statements made by certain of the Company’s directors and/or officers regarding</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Company believes it has meritorious defenses to these claims and intends to vigorously contest this suit. Due to the early stage of the case neither the likelihood that a loss, if any, will be realized, nor an estimate of possible loss or range of loss, if any, can be determined.</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2021, a complaint regarding a corporate books and records demand was filed against the Company in the Court of Chancery of the State of Delaware, captioned </w:t>
      </w:r>
      <w:r>
        <w:rPr>
          <w:rFonts w:ascii="Times New Roman" w:cs="Times New Roman" w:eastAsia="Times New Roman" w:hAnsi="Times New Roman"/>
          <w:sz w:val="18"/>
          <w:szCs w:val="18"/>
          <w:i w:val="1"/>
          <w:iCs w:val="1"/>
          <w:color w:val="auto"/>
        </w:rPr>
        <w:t>Pacheco v. Celsion Corporation</w:t>
      </w:r>
      <w:r>
        <w:rPr>
          <w:rFonts w:ascii="Times New Roman" w:cs="Times New Roman" w:eastAsia="Times New Roman" w:hAnsi="Times New Roman"/>
          <w:sz w:val="18"/>
          <w:szCs w:val="18"/>
          <w:color w:val="auto"/>
        </w:rPr>
        <w:t>, Case No. 2021-0705. The plaintiff alleges he is entitled to inspect the Company’s books and records concerning the OPTIMA Study and other materials. The Company believes that the scope of the demand is without merit and intends to defend it vigorously. Due to the early stage of the case neither the likelihood that a loss, if any, will be realized, nor an estimate of possible loss or range of loss, if any, can be determined.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risk factors from those disclosed under “Risk Factors” in Part I, Item 1A of our 2021 Annual Report on Form 10-K. The risks and uncertainties described in our 2021 Annual Report on Form 10-K are not the only ones we face. Additional risks and uncertainties not presently known to us or that we currently deem immaterial may also materially adversely affect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jc w:val="both"/>
        <w:ind w:left="780" w:right="2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50">
        <w:r>
          <w:rPr>
            <w:rFonts w:ascii="Times New Roman" w:cs="Times New Roman" w:eastAsia="Times New Roman" w:hAnsi="Times New Roman"/>
            <w:sz w:val="18"/>
            <w:szCs w:val="18"/>
            <w:u w:val="single" w:color="auto"/>
            <w:color w:val="0000EE"/>
          </w:rPr>
          <w:t>Certificate of Designation of Preferences, Rights and Limitations of Series A Convertible Redeemable Preferred Stock, incorporated by</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reference to Exhibit 3.1 to the Current Report on Form 8-K of the Company, filed on January 11, 2022 (SEC File No. 001-15911).</w:t>
        </w:r>
      </w:hyperlink>
    </w:p>
    <w:p>
      <w:pPr>
        <w:spacing w:after="0" w:line="162" w:lineRule="exact"/>
        <w:rPr>
          <w:sz w:val="20"/>
          <w:szCs w:val="20"/>
          <w:color w:val="auto"/>
        </w:rPr>
      </w:pPr>
    </w:p>
    <w:p>
      <w:pPr>
        <w:jc w:val="both"/>
        <w:ind w:left="78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51">
        <w:r>
          <w:rPr>
            <w:rFonts w:ascii="Times New Roman" w:cs="Times New Roman" w:eastAsia="Times New Roman" w:hAnsi="Times New Roman"/>
            <w:sz w:val="18"/>
            <w:szCs w:val="18"/>
            <w:u w:val="single" w:color="auto"/>
            <w:color w:val="0000EE"/>
          </w:rPr>
          <w:t>Certificate of Designation of Preferences, Rights and Limitations of Series B Convertible Redeemable Preferred Stock, incorporated by</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reference to Exhibit 3.2 to the Current Report on Form 8-K of the Company, filed on January 11, 2022 (SEC File No. 001-15911).</w:t>
        </w:r>
      </w:hyperlink>
    </w:p>
    <w:p>
      <w:pPr>
        <w:spacing w:after="0" w:line="162" w:lineRule="exact"/>
        <w:rPr>
          <w:sz w:val="20"/>
          <w:szCs w:val="20"/>
          <w:color w:val="auto"/>
        </w:rPr>
      </w:pPr>
    </w:p>
    <w:p>
      <w:pPr>
        <w:jc w:val="both"/>
        <w:ind w:left="78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52">
        <w:r>
          <w:rPr>
            <w:rFonts w:ascii="Times New Roman" w:cs="Times New Roman" w:eastAsia="Times New Roman" w:hAnsi="Times New Roman"/>
            <w:sz w:val="18"/>
            <w:szCs w:val="18"/>
            <w:u w:val="single" w:color="auto"/>
            <w:color w:val="0000EE"/>
          </w:rPr>
          <w:t>Certificate of Amendment to Certificate of Incorporation of Celsion Corporation, incorporated by reference to Exhibit 3.1 to the Current Report</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on Form 8-K of the Company, filed on February 28, 2022 (SEC File No. 001-15911)</w:t>
        </w:r>
      </w:hyperlink>
    </w:p>
    <w:p>
      <w:pPr>
        <w:spacing w:after="0" w:line="162"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53">
        <w:r>
          <w:rPr>
            <w:rFonts w:ascii="Times New Roman" w:cs="Times New Roman" w:eastAsia="Times New Roman" w:hAnsi="Times New Roman"/>
            <w:sz w:val="18"/>
            <w:szCs w:val="18"/>
            <w:u w:val="single" w:color="auto"/>
            <w:color w:val="0000EE"/>
          </w:rPr>
          <w:t>Securities Purchase Agreement between Celsion Corporation and the investors therein dated April 6, 2022, incorporated by reference to Exhibit</w:t>
        </w:r>
      </w:hyperlink>
    </w:p>
    <w:p>
      <w:pPr>
        <w:spacing w:after="0" w:line="27"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53">
        <w:r>
          <w:rPr>
            <w:rFonts w:ascii="Times New Roman" w:cs="Times New Roman" w:eastAsia="Times New Roman" w:hAnsi="Times New Roman"/>
            <w:sz w:val="18"/>
            <w:szCs w:val="18"/>
            <w:u w:val="single" w:color="auto"/>
            <w:color w:val="0000EE"/>
          </w:rPr>
          <w:t>10.1 to the Current Report on Form 8-K of the Company, filed on April 7, 2022 (SEC File No. 001-15911).</w:t>
        </w:r>
      </w:hyperlink>
    </w:p>
    <w:p>
      <w:pPr>
        <w:spacing w:after="0" w:line="207" w:lineRule="exact"/>
        <w:rPr>
          <w:sz w:val="20"/>
          <w:szCs w:val="20"/>
          <w:color w:val="auto"/>
        </w:rPr>
      </w:pPr>
    </w:p>
    <w:p>
      <w:pPr>
        <w:jc w:val="both"/>
        <w:ind w:left="78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54">
        <w:r>
          <w:rPr>
            <w:rFonts w:ascii="Times New Roman" w:cs="Times New Roman" w:eastAsia="Times New Roman" w:hAnsi="Times New Roman"/>
            <w:sz w:val="18"/>
            <w:szCs w:val="18"/>
            <w:u w:val="single" w:color="auto"/>
            <w:color w:val="0000EE"/>
          </w:rPr>
          <w:t>Form of Securities Purchase Agreement between Celsion Corporation and the investors therein dated January 10, 2022, incorporated by</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reference to Exhibit 10.1 to the Current Report on Form 8-K of the Company, filed on January 11, 2022 (SEC File No. 001-15911).</w:t>
        </w:r>
      </w:hyperlink>
    </w:p>
    <w:p>
      <w:pPr>
        <w:spacing w:after="0" w:line="16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Rule 13a-14(a)/15d-14(a), as adopted pursuant to Section 302 of the Sarbanes-Oxley Act of</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Rule 13a-14(a)/15d-14(a), as adopted pursuant to Section 302 of the Sarbanes-Oxley Act of</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w:t>
      </w:r>
    </w:p>
    <w:p>
      <w:pPr>
        <w:spacing w:after="0" w:line="225" w:lineRule="exact"/>
        <w:rPr>
          <w:sz w:val="20"/>
          <w:szCs w:val="20"/>
          <w:color w:val="auto"/>
        </w:rPr>
      </w:pPr>
    </w:p>
    <w:p>
      <w:pPr>
        <w:jc w:val="both"/>
        <w:ind w:left="780" w:hanging="779"/>
        <w:spacing w:after="0" w:line="261" w:lineRule="auto"/>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Company’s Quarterly Report on Form 10-Q for the quarter ended March 31, 2022 formatted in Inline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0" w:lineRule="exact"/>
        <w:rPr>
          <w:sz w:val="20"/>
          <w:szCs w:val="20"/>
          <w:color w:val="auto"/>
        </w:rPr>
      </w:pPr>
    </w:p>
    <w:p>
      <w:pPr>
        <w:ind w:left="780" w:hanging="772"/>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780" w:hanging="772"/>
        <w:spacing w:after="0" w:line="261"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0" w:lineRule="exact"/>
        <w:rPr>
          <w:sz w:val="20"/>
          <w:szCs w:val="20"/>
          <w:color w:val="auto"/>
        </w:rPr>
      </w:pPr>
    </w:p>
    <w:p>
      <w:pPr>
        <w:ind w:left="780" w:hanging="772"/>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information is filed herewith.</w:t>
      </w:r>
    </w:p>
    <w:p>
      <w:pPr>
        <w:spacing w:after="0" w:line="225" w:lineRule="exact"/>
        <w:rPr>
          <w:sz w:val="20"/>
          <w:szCs w:val="20"/>
          <w:color w:val="auto"/>
        </w:rPr>
      </w:pPr>
    </w:p>
    <w:p>
      <w:pPr>
        <w:ind w:left="5540" w:right="4680" w:hanging="5532"/>
        <w:spacing w:after="0" w:line="532" w:lineRule="auto"/>
        <w:tabs>
          <w:tab w:leader="none" w:pos="78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16, 2022</w:t>
      </w:r>
      <w:r>
        <w:rPr>
          <w:sz w:val="20"/>
          <w:szCs w:val="20"/>
          <w:color w:val="auto"/>
        </w:rPr>
        <w:tab/>
      </w:r>
      <w:r>
        <w:rPr>
          <w:rFonts w:ascii="Times New Roman" w:cs="Times New Roman" w:eastAsia="Times New Roman" w:hAnsi="Times New Roman"/>
          <w:sz w:val="17"/>
          <w:szCs w:val="17"/>
          <w:color w:val="auto"/>
        </w:rPr>
        <w:t>CELSION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H. Tardugno,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Celsion Corporation;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7"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May 16, 2022</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Celsion Corporation;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7"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May 16, 2022</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March 31, 2022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May 16, 2022</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5"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May 16, 2022</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jc w:val="both"/>
        <w:ind w:firstLine="8"/>
        <w:spacing w:after="0" w:line="266" w:lineRule="auto"/>
        <w:tabs>
          <w:tab w:leader="none" w:pos="1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lowerRoman"/>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lvl w:ilvl="1">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upperLetter"/>
      <w:start w:val="61"/>
    </w:lvl>
  </w:abstractNum>
  <w:abstractNum w:abstractNumId="17">
    <w:nsid w:val="75A2A8D4"/>
    <w:multiLevelType w:val="hybridMultilevel"/>
    <w:lvl w:ilvl="0">
      <w:lvlJc w:val="left"/>
      <w:lvlText w:val="●"/>
      <w:numFmt w:val="bullet"/>
      <w:start w:val="1"/>
    </w:lvl>
    <w:lvl w:ilvl="1">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lvl w:ilvl="1">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04"/>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50" Type="http://schemas.openxmlformats.org/officeDocument/2006/relationships/hyperlink" Target="https://www.sec.gov/Archives/edgar/data/749647/000149315222000935/ex3-1.htm" TargetMode="External"/><Relationship Id="rId51" Type="http://schemas.openxmlformats.org/officeDocument/2006/relationships/hyperlink" Target="https://www.sec.gov/Archives/edgar/data/749647/000149315222000935/ex3-2.htm" TargetMode="External"/><Relationship Id="rId52" Type="http://schemas.openxmlformats.org/officeDocument/2006/relationships/hyperlink" Target="https://www.sec.gov/Archives/edgar/data/749647/000149315222005561/ex3-1.htm" TargetMode="External"/><Relationship Id="rId53" Type="http://schemas.openxmlformats.org/officeDocument/2006/relationships/hyperlink" Target="https://www.sec.gov/Archives/edgar/data/749647/000149315222009363/ex10-1.htm" TargetMode="External"/><Relationship Id="rId54" Type="http://schemas.openxmlformats.org/officeDocument/2006/relationships/hyperlink" Target="https://www.sec.gov/Archives/edgar/data/749647/000149315222000935/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2022-05-16T07:08:11Z</dcterms:created>
  <dcterms:modified xsi:type="dcterms:W3CDTF">2022-05-16T07:08:11Z</dcterms:modified>
</cp:coreProperties>
</file>