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100" w:right="2080" w:hanging="3768"/>
        <w:spacing w:after="0" w:line="501" w:lineRule="auto"/>
        <w:tabs>
          <w:tab w:leader="none" w:pos="662"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2019</w:t>
      </w: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420" w:right="2060" w:hanging="3088"/>
        <w:spacing w:after="0" w:line="501" w:lineRule="auto"/>
        <w:tabs>
          <w:tab w:leader="none" w:pos="475"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 to ____________</w:t>
      </w:r>
    </w:p>
    <w:p>
      <w:pPr>
        <w:ind w:left="4380"/>
        <w:spacing w:after="0"/>
        <w:rPr>
          <w:rFonts w:ascii="Arial" w:cs="Arial" w:eastAsia="Arial" w:hAnsi="Arial"/>
          <w:sz w:val="18"/>
          <w:szCs w:val="18"/>
          <w:color w:val="auto"/>
        </w:rPr>
      </w:pPr>
      <w:r>
        <w:rPr>
          <w:rFonts w:ascii="Arial" w:cs="Arial" w:eastAsia="Arial" w:hAnsi="Arial"/>
          <w:sz w:val="18"/>
          <w:szCs w:val="18"/>
          <w:color w:val="auto"/>
        </w:rPr>
        <w:t>Commission file number: 001-15911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80" w:type="dxa"/>
            <w:vAlign w:val="bottom"/>
          </w:tcPr>
          <w:p>
            <w:pPr>
              <w:jc w:val="center"/>
              <w:ind w:left="1450"/>
              <w:spacing w:after="0"/>
              <w:rPr>
                <w:sz w:val="20"/>
                <w:szCs w:val="20"/>
                <w:color w:val="auto"/>
              </w:rPr>
            </w:pPr>
            <w:r>
              <w:rPr>
                <w:rFonts w:ascii="Arial" w:cs="Arial" w:eastAsia="Arial" w:hAnsi="Arial"/>
                <w:sz w:val="18"/>
                <w:szCs w:val="18"/>
                <w:b w:val="1"/>
                <w:bCs w:val="1"/>
                <w:color w:val="auto"/>
                <w:w w:val="93"/>
              </w:rPr>
              <w:t>Delaware</w:t>
            </w:r>
          </w:p>
        </w:tc>
        <w:tc>
          <w:tcPr>
            <w:tcW w:w="7340" w:type="dxa"/>
            <w:vAlign w:val="bottom"/>
            <w:gridSpan w:val="3"/>
          </w:tcPr>
          <w:p>
            <w:pPr>
              <w:jc w:val="center"/>
              <w:ind w:left="1650"/>
              <w:spacing w:after="0"/>
              <w:rPr>
                <w:sz w:val="20"/>
                <w:szCs w:val="20"/>
                <w:color w:val="auto"/>
              </w:rPr>
            </w:pPr>
            <w:r>
              <w:rPr>
                <w:rFonts w:ascii="Arial" w:cs="Arial" w:eastAsia="Arial" w:hAnsi="Arial"/>
                <w:sz w:val="18"/>
                <w:szCs w:val="18"/>
                <w:b w:val="1"/>
                <w:bCs w:val="1"/>
                <w:color w:val="auto"/>
                <w:w w:val="91"/>
              </w:rPr>
              <w:t>52-1256615</w:t>
            </w:r>
          </w:p>
        </w:tc>
      </w:tr>
      <w:tr>
        <w:trPr>
          <w:trHeight w:val="202"/>
        </w:trPr>
        <w:tc>
          <w:tcPr>
            <w:tcW w:w="4080" w:type="dxa"/>
            <w:vAlign w:val="bottom"/>
            <w:tcBorders>
              <w:top w:val="single" w:sz="8" w:color="auto"/>
            </w:tcBorders>
          </w:tcPr>
          <w:p>
            <w:pPr>
              <w:jc w:val="center"/>
              <w:ind w:left="1450"/>
              <w:spacing w:after="0" w:line="201" w:lineRule="exact"/>
              <w:rPr>
                <w:sz w:val="20"/>
                <w:szCs w:val="20"/>
                <w:color w:val="auto"/>
              </w:rPr>
            </w:pPr>
            <w:r>
              <w:rPr>
                <w:rFonts w:ascii="Arial" w:cs="Arial" w:eastAsia="Arial" w:hAnsi="Arial"/>
                <w:sz w:val="18"/>
                <w:szCs w:val="18"/>
                <w:color w:val="auto"/>
                <w:w w:val="93"/>
              </w:rPr>
              <w:t>(State or other jurisdiction of</w:t>
            </w: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080" w:type="dxa"/>
            <w:vAlign w:val="bottom"/>
          </w:tcPr>
          <w:p>
            <w:pPr>
              <w:jc w:val="center"/>
              <w:ind w:left="145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080" w:type="dxa"/>
            <w:vAlign w:val="bottom"/>
          </w:tcPr>
          <w:p>
            <w:pPr>
              <w:spacing w:after="0"/>
              <w:rPr>
                <w:sz w:val="24"/>
                <w:szCs w:val="24"/>
                <w:color w:val="auto"/>
              </w:rPr>
            </w:pPr>
          </w:p>
        </w:tc>
        <w:tc>
          <w:tcPr>
            <w:tcW w:w="7340" w:type="dxa"/>
            <w:vAlign w:val="bottom"/>
            <w:gridSpan w:val="3"/>
          </w:tcPr>
          <w:p>
            <w:pPr>
              <w:jc w:val="center"/>
              <w:ind w:right="3990"/>
              <w:spacing w:after="0"/>
              <w:rPr>
                <w:sz w:val="20"/>
                <w:szCs w:val="20"/>
                <w:color w:val="auto"/>
              </w:rPr>
            </w:pPr>
            <w:r>
              <w:rPr>
                <w:rFonts w:ascii="Arial" w:cs="Arial" w:eastAsia="Arial" w:hAnsi="Arial"/>
                <w:sz w:val="18"/>
                <w:szCs w:val="18"/>
                <w:b w:val="1"/>
                <w:bCs w:val="1"/>
                <w:color w:val="auto"/>
                <w:w w:val="90"/>
              </w:rPr>
              <w:t>997 Lenox Drive, Suite 100,</w:t>
            </w:r>
          </w:p>
        </w:tc>
      </w:tr>
      <w:tr>
        <w:trPr>
          <w:trHeight w:val="220"/>
        </w:trPr>
        <w:tc>
          <w:tcPr>
            <w:tcW w:w="4080" w:type="dxa"/>
            <w:vAlign w:val="bottom"/>
          </w:tcPr>
          <w:p>
            <w:pPr>
              <w:spacing w:after="0"/>
              <w:rPr>
                <w:sz w:val="19"/>
                <w:szCs w:val="19"/>
                <w:color w:val="auto"/>
              </w:rPr>
            </w:pPr>
          </w:p>
        </w:tc>
        <w:tc>
          <w:tcPr>
            <w:tcW w:w="7340" w:type="dxa"/>
            <w:vAlign w:val="bottom"/>
            <w:gridSpan w:val="3"/>
          </w:tcPr>
          <w:p>
            <w:pPr>
              <w:jc w:val="center"/>
              <w:ind w:right="3970"/>
              <w:spacing w:after="0"/>
              <w:rPr>
                <w:sz w:val="20"/>
                <w:szCs w:val="20"/>
                <w:color w:val="auto"/>
              </w:rPr>
            </w:pPr>
            <w:r>
              <w:rPr>
                <w:rFonts w:ascii="Arial" w:cs="Arial" w:eastAsia="Arial" w:hAnsi="Arial"/>
                <w:sz w:val="18"/>
                <w:szCs w:val="18"/>
                <w:b w:val="1"/>
                <w:bCs w:val="1"/>
                <w:color w:val="auto"/>
                <w:w w:val="91"/>
              </w:rPr>
              <w:t>Lawrenceville</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NJ 08648</w:t>
            </w:r>
          </w:p>
        </w:tc>
      </w:tr>
      <w:tr>
        <w:trPr>
          <w:trHeight w:val="230"/>
        </w:trPr>
        <w:tc>
          <w:tcPr>
            <w:tcW w:w="4080" w:type="dxa"/>
            <w:vAlign w:val="bottom"/>
          </w:tcPr>
          <w:p>
            <w:pPr>
              <w:spacing w:after="0"/>
              <w:rPr>
                <w:sz w:val="20"/>
                <w:szCs w:val="20"/>
                <w:color w:val="auto"/>
              </w:rPr>
            </w:pPr>
          </w:p>
        </w:tc>
        <w:tc>
          <w:tcPr>
            <w:tcW w:w="7340" w:type="dxa"/>
            <w:vAlign w:val="bottom"/>
            <w:gridSpan w:val="3"/>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47" w:right="239" w:bottom="0" w:gutter="0" w:footer="0" w:header="0"/>
        </w:sectPr>
      </w:pPr>
    </w:p>
    <w:p>
      <w:pPr>
        <w:spacing w:after="0" w:line="181" w:lineRule="exact"/>
        <w:rPr>
          <w:sz w:val="24"/>
          <w:szCs w:val="24"/>
          <w:color w:val="auto"/>
        </w:rPr>
      </w:pPr>
    </w:p>
    <w:p>
      <w:pPr>
        <w:ind w:left="180"/>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0" w:lineRule="exact"/>
        <w:rPr>
          <w:sz w:val="24"/>
          <w:szCs w:val="24"/>
          <w:color w:val="auto"/>
        </w:rPr>
      </w:pPr>
    </w:p>
    <w:p>
      <w:pPr>
        <w:sectPr>
          <w:pgSz w:w="11900" w:h="16838" w:orient="portrait"/>
          <w:cols w:equalWidth="0" w:num="2">
            <w:col w:w="7280" w:space="720"/>
            <w:col w:w="3420"/>
          </w:cols>
          <w:pgMar w:left="240" w:top="747" w:right="239" w:bottom="0" w:gutter="0" w:footer="0" w:header="0"/>
          <w:type w:val="continuous"/>
        </w:sectPr>
      </w:pPr>
    </w:p>
    <w:p>
      <w:pPr>
        <w:spacing w:after="0" w:line="37" w:lineRule="exact"/>
        <w:rPr>
          <w:sz w:val="24"/>
          <w:szCs w:val="24"/>
          <w:color w:val="auto"/>
        </w:rPr>
      </w:pPr>
    </w:p>
    <w:p>
      <w:pPr>
        <w:ind w:left="180"/>
        <w:spacing w:after="0"/>
        <w:rPr>
          <w:sz w:val="20"/>
          <w:szCs w:val="20"/>
          <w:color w:val="auto"/>
        </w:rPr>
      </w:pPr>
      <w:r>
        <w:rPr>
          <w:rFonts w:ascii="Arial" w:cs="Arial" w:eastAsia="Arial" w:hAnsi="Arial"/>
          <w:sz w:val="17"/>
          <w:szCs w:val="17"/>
          <w:color w:val="auto"/>
        </w:rPr>
        <w:t>Non-accelerated filer [ ]</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11" w:lineRule="exact"/>
        <w:rPr>
          <w:sz w:val="24"/>
          <w:szCs w:val="24"/>
          <w:color w:val="auto"/>
        </w:rPr>
      </w:pPr>
    </w:p>
    <w:p>
      <w:pPr>
        <w:sectPr>
          <w:pgSz w:w="11900" w:h="16838" w:orient="portrait"/>
          <w:cols w:equalWidth="0" w:num="2">
            <w:col w:w="7280" w:space="720"/>
            <w:col w:w="3420"/>
          </w:cols>
          <w:pgMar w:left="240" w:top="747" w:right="239" w:bottom="0" w:gutter="0" w:footer="0" w:header="0"/>
          <w:type w:val="continuous"/>
        </w:sectPr>
      </w:pPr>
    </w:p>
    <w:p>
      <w:pPr>
        <w:spacing w:after="0" w:line="37" w:lineRule="exact"/>
        <w:rPr>
          <w:sz w:val="24"/>
          <w:szCs w:val="24"/>
          <w:color w:val="auto"/>
        </w:rPr>
      </w:pPr>
    </w:p>
    <w:p>
      <w:pPr>
        <w:ind w:left="180"/>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747" w:right="239" w:bottom="0" w:gutter="0" w:footer="0" w:header="0"/>
          <w:type w:val="continuous"/>
        </w:sectPr>
      </w:pPr>
    </w:p>
    <w:p>
      <w:pPr>
        <w:spacing w:after="0" w:line="23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4640" w:type="dxa"/>
            <w:vAlign w:val="bottom"/>
            <w:gridSpan w:val="4"/>
          </w:tcPr>
          <w:p>
            <w:pPr>
              <w:ind w:left="220"/>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3340" w:type="dxa"/>
            <w:vAlign w:val="bottom"/>
          </w:tcPr>
          <w:p>
            <w:pPr>
              <w:spacing w:after="0"/>
              <w:rPr>
                <w:sz w:val="20"/>
                <w:szCs w:val="20"/>
                <w:color w:val="auto"/>
              </w:rPr>
            </w:pPr>
          </w:p>
        </w:tc>
      </w:tr>
      <w:tr>
        <w:trPr>
          <w:trHeight w:val="418"/>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tcPr>
          <w:p>
            <w:pPr>
              <w:jc w:val="center"/>
              <w:ind w:right="670"/>
              <w:spacing w:after="0"/>
              <w:rPr>
                <w:sz w:val="20"/>
                <w:szCs w:val="20"/>
                <w:color w:val="auto"/>
              </w:rPr>
            </w:pPr>
            <w:r>
              <w:rPr>
                <w:rFonts w:ascii="Arial" w:cs="Arial" w:eastAsia="Arial" w:hAnsi="Arial"/>
                <w:sz w:val="18"/>
                <w:szCs w:val="18"/>
                <w:color w:val="auto"/>
                <w:w w:val="88"/>
              </w:rPr>
              <w:t>Name of each exchange on</w:t>
            </w: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0"/>
                <w:szCs w:val="20"/>
                <w:color w:val="auto"/>
              </w:rPr>
            </w:pPr>
          </w:p>
        </w:tc>
        <w:tc>
          <w:tcPr>
            <w:tcW w:w="4420" w:type="dxa"/>
            <w:vAlign w:val="bottom"/>
            <w:gridSpan w:val="3"/>
          </w:tcPr>
          <w:p>
            <w:pPr>
              <w:jc w:val="center"/>
              <w:ind w:right="980"/>
              <w:spacing w:after="0"/>
              <w:rPr>
                <w:sz w:val="20"/>
                <w:szCs w:val="20"/>
                <w:color w:val="auto"/>
              </w:rPr>
            </w:pPr>
            <w:r>
              <w:rPr>
                <w:rFonts w:ascii="Arial" w:cs="Arial" w:eastAsia="Arial" w:hAnsi="Arial"/>
                <w:sz w:val="18"/>
                <w:szCs w:val="18"/>
                <w:color w:val="auto"/>
                <w:w w:val="91"/>
              </w:rPr>
              <w:t>Trading symbol(s)</w:t>
            </w:r>
          </w:p>
        </w:tc>
        <w:tc>
          <w:tcPr>
            <w:tcW w:w="3340" w:type="dxa"/>
            <w:vAlign w:val="bottom"/>
          </w:tcPr>
          <w:p>
            <w:pPr>
              <w:jc w:val="center"/>
              <w:ind w:right="670"/>
              <w:spacing w:after="0"/>
              <w:rPr>
                <w:sz w:val="20"/>
                <w:szCs w:val="20"/>
                <w:color w:val="auto"/>
              </w:rPr>
            </w:pPr>
            <w:r>
              <w:rPr>
                <w:rFonts w:ascii="Arial" w:cs="Arial" w:eastAsia="Arial" w:hAnsi="Arial"/>
                <w:sz w:val="18"/>
                <w:szCs w:val="18"/>
                <w:color w:val="auto"/>
                <w:w w:val="90"/>
              </w:rPr>
              <w:t>which registered</w:t>
            </w:r>
          </w:p>
        </w:tc>
      </w:tr>
      <w:tr>
        <w:trPr>
          <w:trHeight w:val="202"/>
        </w:trPr>
        <w:tc>
          <w:tcPr>
            <w:tcW w:w="344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Common stock, par value $0.01</w:t>
            </w:r>
          </w:p>
        </w:tc>
        <w:tc>
          <w:tcPr>
            <w:tcW w:w="220" w:type="dxa"/>
            <w:vAlign w:val="bottom"/>
          </w:tcPr>
          <w:p>
            <w:pPr>
              <w:spacing w:after="0"/>
              <w:rPr>
                <w:sz w:val="17"/>
                <w:szCs w:val="17"/>
                <w:color w:val="auto"/>
              </w:rPr>
            </w:pPr>
          </w:p>
        </w:tc>
        <w:tc>
          <w:tcPr>
            <w:tcW w:w="34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CLSN</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0"/>
              </w:rPr>
              <w:t>Nasdaq Capital Market</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86"/>
              </w:rPr>
              <w:t>per share</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As of August 13, 2019, the Registrant had 21,387,418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7305"/>
                    </a:xfrm>
                    <a:prstGeom prst="rect">
                      <a:avLst/>
                    </a:prstGeom>
                    <a:noFill/>
                  </pic:spPr>
                </pic:pic>
              </a:graphicData>
            </a:graphic>
          </wp:anchor>
        </w:drawing>
      </w:r>
    </w:p>
    <w:p>
      <w:pPr>
        <w:sectPr>
          <w:pgSz w:w="11900" w:h="16838" w:orient="portrait"/>
          <w:cols w:equalWidth="0" w:num="1">
            <w:col w:w="11420"/>
          </w:cols>
          <w:pgMar w:left="240" w:top="747" w:right="2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66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Page(s)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760" w:type="dxa"/>
            <w:vAlign w:val="bottom"/>
            <w:gridSpan w:val="22"/>
            <w:shd w:val="clear" w:color="auto" w:fill="CCEEFF"/>
          </w:tcPr>
          <w:p>
            <w:pPr>
              <w:spacing w:after="0" w:line="15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0000EE"/>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2"/>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  </w:t>
            </w:r>
            <w:hyperlink w:anchor="page5">
              <w:r>
                <w:rPr>
                  <w:rFonts w:ascii="Arial" w:cs="Arial" w:eastAsia="Arial" w:hAnsi="Arial"/>
                  <w:sz w:val="18"/>
                  <w:szCs w:val="18"/>
                  <w:color w:val="0000EE"/>
                </w:rPr>
                <w:t>Financial Statements (Periods as of and through June 30, 2019 and 2018 are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0" w:type="dxa"/>
            <w:vAlign w:val="bottom"/>
            <w:gridSpan w:val="21"/>
          </w:tcPr>
          <w:p>
            <w:pPr>
              <w:ind w:left="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0" w:type="dxa"/>
            <w:vAlign w:val="bottom"/>
            <w:gridSpan w:val="21"/>
            <w:shd w:val="clear" w:color="auto" w:fill="CCEEFF"/>
          </w:tcPr>
          <w:p>
            <w:pPr>
              <w:ind w:left="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0" w:type="dxa"/>
            <w:vAlign w:val="bottom"/>
            <w:gridSpan w:val="21"/>
          </w:tcPr>
          <w:p>
            <w:pPr>
              <w:ind w:left="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Comprehensive Loss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0" w:type="dxa"/>
            <w:vAlign w:val="bottom"/>
            <w:gridSpan w:val="21"/>
            <w:shd w:val="clear" w:color="auto" w:fill="CCEEFF"/>
          </w:tcPr>
          <w:p>
            <w:pPr>
              <w:ind w:left="8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0" w:type="dxa"/>
            <w:vAlign w:val="bottom"/>
            <w:gridSpan w:val="21"/>
          </w:tcPr>
          <w:p>
            <w:pPr>
              <w:ind w:left="8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Condensed Consolidated Statements of Changes in Stockholders’ Equity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0" w:type="dxa"/>
            <w:vAlign w:val="bottom"/>
            <w:gridSpan w:val="21"/>
            <w:shd w:val="clear" w:color="auto" w:fill="CCEEFF"/>
          </w:tcPr>
          <w:p>
            <w:pPr>
              <w:ind w:left="8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Notes to the Condensed Consolidated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2"/>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32">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2"/>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45">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2"/>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45">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Item 1.</w:t>
            </w:r>
          </w:p>
        </w:tc>
        <w:tc>
          <w:tcPr>
            <w:tcW w:w="10200" w:type="dxa"/>
            <w:vAlign w:val="bottom"/>
            <w:gridSpan w:val="21"/>
            <w:shd w:val="clear" w:color="auto" w:fill="CCEEFF"/>
          </w:tcPr>
          <w:p>
            <w:pPr>
              <w:ind w:left="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2"/>
          </w:tcPr>
          <w:p>
            <w:pPr>
              <w:spacing w:after="0" w:line="176" w:lineRule="exact"/>
              <w:rPr>
                <w:rFonts w:ascii="Arial" w:cs="Arial" w:eastAsia="Arial" w:hAnsi="Arial"/>
                <w:sz w:val="18"/>
                <w:szCs w:val="18"/>
                <w:color w:val="auto"/>
              </w:rPr>
            </w:pPr>
            <w:r>
              <w:rPr>
                <w:rFonts w:ascii="Arial" w:cs="Arial" w:eastAsia="Arial" w:hAnsi="Arial"/>
                <w:sz w:val="18"/>
                <w:szCs w:val="18"/>
                <w:color w:val="auto"/>
              </w:rPr>
              <w:t>Item 1A.</w:t>
            </w:r>
            <w:hyperlink w:anchor="page46">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2"/>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63">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2"/>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63">
              <w:r>
                <w:rPr>
                  <w:rFonts w:ascii="Arial" w:cs="Arial" w:eastAsia="Arial" w:hAnsi="Arial"/>
                  <w:sz w:val="18"/>
                  <w:szCs w:val="18"/>
                  <w:color w:val="0000EE"/>
                </w:rPr>
                <w:t>Defaults Upon Senior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2"/>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63">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tcPr>
          <w:p>
            <w:pPr>
              <w:spacing w:after="0" w:line="176" w:lineRule="exact"/>
              <w:rPr>
                <w:sz w:val="20"/>
                <w:szCs w:val="20"/>
                <w:color w:val="auto"/>
              </w:rPr>
            </w:pPr>
            <w:r>
              <w:rPr>
                <w:rFonts w:ascii="Arial" w:cs="Arial" w:eastAsia="Arial" w:hAnsi="Arial"/>
                <w:sz w:val="18"/>
                <w:szCs w:val="18"/>
                <w:color w:val="auto"/>
                <w:w w:val="98"/>
              </w:rPr>
              <w:t>Item 5.</w:t>
            </w:r>
          </w:p>
        </w:tc>
        <w:tc>
          <w:tcPr>
            <w:tcW w:w="10200" w:type="dxa"/>
            <w:vAlign w:val="bottom"/>
            <w:gridSpan w:val="21"/>
          </w:tcPr>
          <w:p>
            <w:pPr>
              <w:ind w:left="8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Item 6.</w:t>
            </w:r>
          </w:p>
        </w:tc>
        <w:tc>
          <w:tcPr>
            <w:tcW w:w="10200" w:type="dxa"/>
            <w:vAlign w:val="bottom"/>
            <w:gridSpan w:val="21"/>
            <w:shd w:val="clear" w:color="auto" w:fill="CCEEFF"/>
          </w:tcPr>
          <w:p>
            <w:pPr>
              <w:ind w:left="8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740" w:type="dxa"/>
            <w:vAlign w:val="bottom"/>
            <w:tcBorders>
              <w:top w:val="single" w:sz="8" w:color="CCEEFF"/>
              <w:bottom w:val="single" w:sz="8" w:color="auto"/>
            </w:tcBorders>
            <w:gridSpan w:val="4"/>
          </w:tcPr>
          <w:p>
            <w:pPr>
              <w:ind w:left="640"/>
              <w:spacing w:after="0"/>
              <w:rPr>
                <w:sz w:val="20"/>
                <w:szCs w:val="20"/>
                <w:color w:val="auto"/>
              </w:rPr>
            </w:pPr>
            <w:r>
              <w:rPr>
                <w:rFonts w:ascii="Arial" w:cs="Arial" w:eastAsia="Arial" w:hAnsi="Arial"/>
                <w:sz w:val="18"/>
                <w:szCs w:val="18"/>
                <w:color w:val="auto"/>
              </w:rPr>
              <w:t>i</w:t>
            </w: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Celsion brand and product names, including but not limited to Celsion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440" w:type="dxa"/>
            <w:vAlign w:val="bottom"/>
            <w:gridSpan w:val="3"/>
          </w:tcPr>
          <w:p>
            <w:pPr>
              <w:jc w:val="center"/>
              <w:ind w:left="3910"/>
              <w:spacing w:after="0"/>
              <w:rPr>
                <w:sz w:val="20"/>
                <w:szCs w:val="20"/>
                <w:color w:val="auto"/>
              </w:rPr>
            </w:pPr>
            <w:r>
              <w:rPr>
                <w:rFonts w:ascii="Arial" w:cs="Arial" w:eastAsia="Arial" w:hAnsi="Arial"/>
                <w:sz w:val="18"/>
                <w:szCs w:val="18"/>
                <w:b w:val="1"/>
                <w:bCs w:val="1"/>
                <w:color w:val="auto"/>
              </w:rPr>
              <w:t>PART I: FINANCIAL INFORMATION</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rPr>
              <w:t>CELSION CORPORATION</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w w:val="99"/>
              </w:rPr>
              <w:t>CONDENSED CONSOLIDATED</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w w:val="98"/>
              </w:rPr>
              <w:t>BALANCE SHEETS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0"/>
              </w:rPr>
              <w:t>June 30, 2019</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6,013,318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13,353,543</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Investment securities - available for sale, at fair value</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15,702,388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14,257,998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68,309</w:t>
            </w: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1,271,670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451,293</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23,053,049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28,131,143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6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7"/>
              </w:rPr>
              <w:t>Property and equipment (at cost, less accumulated depreciation of $2,627,919 and</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386,671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184,627</w:t>
            </w:r>
          </w:p>
        </w:tc>
        <w:tc>
          <w:tcPr>
            <w:tcW w:w="0" w:type="dxa"/>
            <w:vAlign w:val="bottom"/>
          </w:tcPr>
          <w:p>
            <w:pPr>
              <w:spacing w:after="0"/>
              <w:rPr>
                <w:sz w:val="1"/>
                <w:szCs w:val="1"/>
                <w:color w:val="auto"/>
              </w:rPr>
            </w:pPr>
          </w:p>
        </w:tc>
      </w:tr>
      <w:tr>
        <w:trPr>
          <w:trHeight w:val="228"/>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$2,968,259, respectively)</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In-process research and development, net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15,736,491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15,736,491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Operating lease right-of-use assets, net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1,609,882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454,634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568,292</w:t>
            </w: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Deposits and other assets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370,210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258,933</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other assets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20,147,318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18,539,817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43,587,038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46,855,587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gridSpan w:val="2"/>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60" w:type="dxa"/>
            <w:vAlign w:val="bottom"/>
            <w:gridSpan w:val="5"/>
          </w:tcPr>
          <w:p>
            <w:pPr>
              <w:jc w:val="center"/>
              <w:ind w:left="21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060" w:type="dxa"/>
            <w:vAlign w:val="bottom"/>
            <w:tcBorders>
              <w:bottom w:val="single" w:sz="8" w:color="auto"/>
            </w:tcBorders>
          </w:tcPr>
          <w:p>
            <w:pPr>
              <w:jc w:val="center"/>
              <w:ind w:left="4270"/>
              <w:spacing w:after="0"/>
              <w:rPr>
                <w:sz w:val="20"/>
                <w:szCs w:val="20"/>
                <w:color w:val="auto"/>
              </w:rPr>
            </w:pPr>
            <w:r>
              <w:rPr>
                <w:rFonts w:ascii="Arial" w:cs="Arial" w:eastAsia="Arial" w:hAnsi="Arial"/>
                <w:sz w:val="18"/>
                <w:szCs w:val="18"/>
                <w:color w:val="auto"/>
                <w:w w:val="99"/>
              </w:rPr>
              <w:t>2</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rPr>
              <w:t>CELSION CORPORATION</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w w:val="99"/>
              </w:rPr>
              <w:t>CONDENSED CONSOLIDATED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w w:val="98"/>
              </w:rPr>
              <w:t>BALANCE SHEETS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w w:val="93"/>
              </w:rPr>
              <w:t>(Continued)</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2018</w:t>
            </w: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3,392,593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3,020,638</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2,389,482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2,585,898</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 current portion</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366,541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Deferred revenue - current portion</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7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6,648,616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6,106,536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Earn-out milestone liability</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5,904,725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8,907,664</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Note Payable, net of deferred financing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9,608,761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9,417,037</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 non-current portion</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1,343,225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Deferred revenue - non-current portion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1,250,000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r>
      <w:tr>
        <w:trPr>
          <w:trHeight w:val="23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 non-current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63,278</w:t>
            </w:r>
          </w:p>
        </w:tc>
      </w:tr>
      <w:tr>
        <w:trPr>
          <w:trHeight w:val="210"/>
        </w:trPr>
        <w:tc>
          <w:tcPr>
            <w:tcW w:w="70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liabilities</w:t>
            </w:r>
          </w:p>
        </w:tc>
        <w:tc>
          <w:tcPr>
            <w:tcW w:w="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24,755,327</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25,994,515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060" w:type="dxa"/>
            <w:vAlign w:val="bottom"/>
          </w:tcPr>
          <w:p>
            <w:pPr>
              <w:ind w:left="360"/>
              <w:spacing w:after="0" w:line="201" w:lineRule="exact"/>
              <w:rPr>
                <w:sz w:val="20"/>
                <w:szCs w:val="20"/>
                <w:color w:val="auto"/>
              </w:rPr>
            </w:pPr>
            <w:r>
              <w:rPr>
                <w:rFonts w:ascii="Arial" w:cs="Arial" w:eastAsia="Arial" w:hAnsi="Arial"/>
                <w:sz w:val="18"/>
                <w:szCs w:val="18"/>
                <w:color w:val="auto"/>
                <w:w w:val="96"/>
              </w:rPr>
              <w:t>Preferred Stock - $0.01 par value (100,000 shares authorized, and no shares issued or</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outstanding at June 30, 2019 and December 31, 2018)</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060" w:type="dxa"/>
            <w:vAlign w:val="bottom"/>
          </w:tcPr>
          <w:p>
            <w:pPr>
              <w:ind w:left="360"/>
              <w:spacing w:after="0" w:line="201" w:lineRule="exact"/>
              <w:rPr>
                <w:sz w:val="20"/>
                <w:szCs w:val="20"/>
                <w:color w:val="auto"/>
              </w:rPr>
            </w:pPr>
            <w:r>
              <w:rPr>
                <w:rFonts w:ascii="Arial" w:cs="Arial" w:eastAsia="Arial" w:hAnsi="Arial"/>
                <w:sz w:val="18"/>
                <w:szCs w:val="18"/>
                <w:color w:val="auto"/>
              </w:rPr>
              <w:t>Common stock - $0.01 par value (112,500,000 shares authorized; 21,002,629 and</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w w:val="97"/>
              </w:rPr>
              <w:t>18,832,168 shares issued at June 30, 2019 and December 31, 2018, respectively, and</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w w:val="92"/>
              </w:rPr>
              <w:t>21,002,295 and 18,831,834 shares outstanding at June 30, 2019 and December 31, 2018,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210,026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188,322</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300,549,511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294,393,313</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Accumulated other comprehensive gain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94,576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29,872</w:t>
            </w:r>
          </w:p>
        </w:tc>
      </w:tr>
      <w:tr>
        <w:trPr>
          <w:trHeight w:val="23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(281,937,214)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(273,665,247)</w:t>
            </w:r>
          </w:p>
        </w:tc>
      </w:tr>
      <w:tr>
        <w:trPr>
          <w:trHeight w:val="203"/>
        </w:trPr>
        <w:tc>
          <w:tcPr>
            <w:tcW w:w="70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stockholders’ equity before treasury stock</w:t>
            </w: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18,916,899</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20,946,260</w:t>
            </w:r>
          </w:p>
        </w:tc>
        <w:tc>
          <w:tcPr>
            <w:tcW w:w="100" w:type="dxa"/>
            <w:vAlign w:val="bottom"/>
            <w:tcBorders>
              <w:top w:val="single" w:sz="8" w:color="CCEEFF"/>
            </w:tcBorders>
          </w:tcPr>
          <w:p>
            <w:pPr>
              <w:spacing w:after="0"/>
              <w:rPr>
                <w:sz w:val="17"/>
                <w:szCs w:val="17"/>
                <w:color w:val="auto"/>
              </w:rPr>
            </w:pP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Treasury stock, at cost (334 shares at June 30, 2019 and December 31, 2018)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(85,188)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r>
      <w:tr>
        <w:trPr>
          <w:trHeight w:val="223"/>
        </w:trPr>
        <w:tc>
          <w:tcPr>
            <w:tcW w:w="7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18,831,711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20,861,072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43,587,038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46,855,587</w:t>
            </w:r>
          </w:p>
        </w:tc>
      </w:tr>
      <w:tr>
        <w:trPr>
          <w:trHeight w:val="20"/>
        </w:trPr>
        <w:tc>
          <w:tcPr>
            <w:tcW w:w="7100" w:type="dxa"/>
            <w:vAlign w:val="bottom"/>
            <w:tcBorders>
              <w:top w:val="single" w:sz="8" w:color="CCEEFF"/>
            </w:tcBorders>
            <w:gridSpan w:val="2"/>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240" w:type="dxa"/>
            <w:vAlign w:val="bottom"/>
            <w:gridSpan w:val="5"/>
          </w:tcPr>
          <w:p>
            <w:pPr>
              <w:jc w:val="center"/>
              <w:ind w:left="209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060" w:type="dxa"/>
            <w:vAlign w:val="bottom"/>
            <w:tcBorders>
              <w:bottom w:val="single" w:sz="8" w:color="auto"/>
            </w:tcBorders>
          </w:tcPr>
          <w:p>
            <w:pPr>
              <w:jc w:val="center"/>
              <w:ind w:left="4270"/>
              <w:spacing w:after="0"/>
              <w:rPr>
                <w:sz w:val="20"/>
                <w:szCs w:val="20"/>
                <w:color w:val="auto"/>
              </w:rPr>
            </w:pPr>
            <w:r>
              <w:rPr>
                <w:rFonts w:ascii="Arial" w:cs="Arial" w:eastAsia="Arial" w:hAnsi="Arial"/>
                <w:sz w:val="18"/>
                <w:szCs w:val="18"/>
                <w:color w:val="auto"/>
                <w:w w:val="99"/>
              </w:rPr>
              <w:t>3</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22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rPr>
              <w:t>CELSION CORPORATION</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2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99"/>
              </w:rPr>
              <w:t>CONDENSED CONSOLIDATED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20" w:type="dxa"/>
            <w:vAlign w:val="bottom"/>
            <w:gridSpan w:val="6"/>
          </w:tcPr>
          <w:p>
            <w:pPr>
              <w:jc w:val="center"/>
              <w:ind w:left="370"/>
              <w:spacing w:after="0"/>
              <w:rPr>
                <w:sz w:val="20"/>
                <w:szCs w:val="20"/>
                <w:color w:val="auto"/>
              </w:rPr>
            </w:pPr>
            <w:r>
              <w:rPr>
                <w:rFonts w:ascii="Arial" w:cs="Arial" w:eastAsia="Arial" w:hAnsi="Arial"/>
                <w:sz w:val="18"/>
                <w:szCs w:val="18"/>
                <w:b w:val="1"/>
                <w:bCs w:val="1"/>
                <w:color w:val="auto"/>
                <w:w w:val="98"/>
              </w:rPr>
              <w:t>STATEMENTS OF OPERATIONS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125,000</w:t>
            </w:r>
          </w:p>
        </w:tc>
        <w:tc>
          <w:tcPr>
            <w:tcW w:w="5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3,558,074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4,593,544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6,325,733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7,334,620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2,136,684</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3,542,809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4,354,548</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5,207,837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5,694,758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8,136,353</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10,680,281</w:t>
            </w:r>
          </w:p>
        </w:tc>
        <w:tc>
          <w:tcPr>
            <w:tcW w:w="3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12,542,457</w:t>
            </w: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(5,569,758)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(8,011,353)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(10,430,281)</w:t>
            </w:r>
          </w:p>
        </w:tc>
        <w:tc>
          <w:tcPr>
            <w:tcW w:w="32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(12,292,457)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(Loss) gain from change in valuation of earn-out milestone</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liability</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(127,061)</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(277,129)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3,002,939</w:t>
            </w:r>
          </w:p>
        </w:tc>
        <w:tc>
          <w:tcPr>
            <w:tcW w:w="3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(547,324)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9"/>
              </w:rPr>
              <w:t>Fair value of warrants issued in connection with amendment to</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modify GEN-1 earn-out milestone payments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(400,000)</w:t>
            </w:r>
          </w:p>
        </w:tc>
        <w:tc>
          <w:tcPr>
            <w:tcW w:w="32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144,602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258,393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(349,448)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(15,031)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(700,195)</w:t>
            </w:r>
          </w:p>
        </w:tc>
        <w:tc>
          <w:tcPr>
            <w:tcW w:w="3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income</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(2,850)</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(2,823)</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b w:val="1"/>
                <w:bCs w:val="1"/>
                <w:color w:val="auto"/>
              </w:rPr>
              <w:t>Total other (expense) income, net</w:t>
            </w:r>
          </w:p>
        </w:tc>
        <w:tc>
          <w:tcPr>
            <w:tcW w:w="1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(334,757</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(219,203</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2,158,314</w:t>
            </w:r>
          </w:p>
        </w:tc>
        <w:tc>
          <w:tcPr>
            <w:tcW w:w="3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(415,094</w:t>
            </w:r>
          </w:p>
        </w:tc>
        <w:tc>
          <w:tcPr>
            <w:tcW w:w="120" w:type="dxa"/>
            <w:vAlign w:val="bottom"/>
            <w:tcBorders>
              <w:top w:val="single" w:sz="8" w:color="CCEEFF"/>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Net loss</w:t>
            </w:r>
          </w:p>
        </w:tc>
        <w:tc>
          <w:tcPr>
            <w:tcW w:w="1140" w:type="dxa"/>
            <w:vAlign w:val="bottom"/>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(5,904,515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1"/>
                <w:szCs w:val="21"/>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(8,230,556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(8,271,967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(12,707,551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loss per common share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and diluted</w:t>
            </w:r>
          </w:p>
        </w:tc>
        <w:tc>
          <w:tcPr>
            <w:tcW w:w="1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5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b w:val="1"/>
                <w:bCs w:val="1"/>
                <w:color w:val="auto"/>
              </w:rPr>
              <w:t>Basic and diluted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20,605,762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17,743,229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19,713,449</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17,503,796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86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rPr>
              <w:t>CELSION CORPORATION</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6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9"/>
              </w:rPr>
              <w:t>CONDENSED CONSOLIDATED</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9"/>
          </w:tcPr>
          <w:p>
            <w:pPr>
              <w:jc w:val="center"/>
              <w:ind w:left="3150"/>
              <w:spacing w:after="0"/>
              <w:rPr>
                <w:sz w:val="20"/>
                <w:szCs w:val="20"/>
                <w:color w:val="auto"/>
              </w:rPr>
            </w:pPr>
            <w:r>
              <w:rPr>
                <w:rFonts w:ascii="Arial" w:cs="Arial" w:eastAsia="Arial" w:hAnsi="Arial"/>
                <w:sz w:val="18"/>
                <w:szCs w:val="18"/>
                <w:b w:val="1"/>
                <w:bCs w:val="1"/>
                <w:color w:val="auto"/>
                <w:w w:val="99"/>
              </w:rPr>
              <w:t>STATEMENTS OF COMPREHENSIVE LOSS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line="201" w:lineRule="exact"/>
              <w:rPr>
                <w:sz w:val="20"/>
                <w:szCs w:val="20"/>
                <w:color w:val="auto"/>
              </w:rPr>
            </w:pPr>
            <w:r>
              <w:rPr>
                <w:rFonts w:ascii="Arial" w:cs="Arial" w:eastAsia="Arial" w:hAnsi="Arial"/>
                <w:sz w:val="18"/>
                <w:szCs w:val="18"/>
                <w:color w:val="auto"/>
              </w:rPr>
              <w:t>Realized (gains) losses on investment securities recognized in</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investment income, net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(969)</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(3,909)</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(10,350)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6"/>
              </w:rPr>
              <w:t>Unrealized gains (losses) on investment securities, net</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31,406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75,054</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Change in unrealized gains (losses) on available for sale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securities, net</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7,752</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27,497</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64,704</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(5,904,515)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(8,230,556)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(8,271,967)</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(12,707,551)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(5,896,763)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(8,203,059)</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(8,207,263)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(12,703,304)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80" w:type="dxa"/>
            <w:vAlign w:val="bottom"/>
            <w:gridSpan w:val="11"/>
          </w:tcPr>
          <w:p>
            <w:pPr>
              <w:jc w:val="center"/>
              <w:ind w:left="26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rPr>
              <w:t>CELSION CORPORATION</w:t>
            </w: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STATEMENTS OF CASH FLOWS</w:t>
            </w: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w w:val="93"/>
              </w:rPr>
              <w:t>(Unaudited)</w:t>
            </w: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Six Months Ended</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(8,271,967)</w:t>
            </w:r>
          </w:p>
        </w:tc>
        <w:tc>
          <w:tcPr>
            <w:tcW w:w="8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(12,707,551)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362,027</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earn-out milestone liability</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(3,002,939)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547,324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60"/>
              <w:spacing w:after="0" w:line="201" w:lineRule="exact"/>
              <w:rPr>
                <w:sz w:val="20"/>
                <w:szCs w:val="20"/>
                <w:color w:val="auto"/>
              </w:rPr>
            </w:pPr>
            <w:r>
              <w:rPr>
                <w:rFonts w:ascii="Arial" w:cs="Arial" w:eastAsia="Arial" w:hAnsi="Arial"/>
                <w:sz w:val="18"/>
                <w:szCs w:val="18"/>
                <w:color w:val="auto"/>
                <w:w w:val="96"/>
              </w:rPr>
              <w:t>Fair value of warrants issued in connection with amendment to modify the GEN-1 earn-out</w:t>
            </w: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milestone payments</w:t>
            </w:r>
          </w:p>
        </w:tc>
        <w:tc>
          <w:tcPr>
            <w:tcW w:w="44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Recognition of deferred revenue</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Stock-based compensation costs</w:t>
            </w:r>
          </w:p>
        </w:tc>
        <w:tc>
          <w:tcPr>
            <w:tcW w:w="4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1,308,492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3,371,301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in exchange for services</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60"/>
              <w:spacing w:after="0" w:line="201" w:lineRule="exact"/>
              <w:rPr>
                <w:sz w:val="20"/>
                <w:szCs w:val="20"/>
                <w:color w:val="auto"/>
              </w:rPr>
            </w:pPr>
            <w:r>
              <w:rPr>
                <w:rFonts w:ascii="Arial" w:cs="Arial" w:eastAsia="Arial" w:hAnsi="Arial"/>
                <w:sz w:val="18"/>
                <w:szCs w:val="18"/>
                <w:color w:val="auto"/>
              </w:rPr>
              <w:t>Amortization of deferred finance charges and debt discount</w:t>
            </w: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associated with notes payable</w:t>
            </w:r>
          </w:p>
        </w:tc>
        <w:tc>
          <w:tcPr>
            <w:tcW w:w="44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191,724</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deferred rent liability</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Net changes in:</w:t>
            </w: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on investment securities</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Advances, deposits and other current assets</w:t>
            </w:r>
          </w:p>
        </w:tc>
        <w:tc>
          <w:tcPr>
            <w:tcW w:w="44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(931,654)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24,460</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bottom w:val="single" w:sz="8" w:color="CCEEFF"/>
            </w:tcBorders>
          </w:tcPr>
          <w:p>
            <w:pPr>
              <w:ind w:left="52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4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(10,161,871</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(8,862,077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 securities</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(13,279,686)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4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11,900,000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4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(262,728)</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bottom w:val="single" w:sz="8" w:color="CCEEFF"/>
            </w:tcBorders>
          </w:tcPr>
          <w:p>
            <w:pPr>
              <w:ind w:left="520"/>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4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(1,642,414</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(789,868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common stock equity, net of issuance costs</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4,464,060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1,236,584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Proceeds received from notes payable</w:t>
            </w:r>
          </w:p>
        </w:tc>
        <w:tc>
          <w:tcPr>
            <w:tcW w:w="44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9,725,000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4,464,060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10,961,584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(7,340,225)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44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13,353,543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11,444,055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6,013,318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12,753,694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Six Months Ended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rPr>
              <w:t>June 30,</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508,471</w:t>
            </w: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10,794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Cash paid for amounts included in measurement of lease liabilities: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cash flows from lease payments</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224,585</w:t>
            </w: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ind w:left="160"/>
              <w:spacing w:after="0" w:line="201" w:lineRule="exact"/>
              <w:rPr>
                <w:sz w:val="20"/>
                <w:szCs w:val="20"/>
                <w:color w:val="auto"/>
              </w:rPr>
            </w:pPr>
            <w:r>
              <w:rPr>
                <w:rFonts w:ascii="Arial" w:cs="Arial" w:eastAsia="Arial" w:hAnsi="Arial"/>
                <w:sz w:val="18"/>
                <w:szCs w:val="18"/>
                <w:color w:val="auto"/>
                <w:w w:val="93"/>
              </w:rPr>
              <w:t>Fair value of warrants issued in connection with amendment to modify the GEN-1 earn-out</w:t>
            </w:r>
          </w:p>
        </w:tc>
        <w:tc>
          <w:tcPr>
            <w:tcW w:w="6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400,000</w:t>
            </w:r>
          </w:p>
        </w:tc>
        <w:tc>
          <w:tcPr>
            <w:tcW w:w="82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milestone payments</w:t>
            </w:r>
          </w:p>
        </w:tc>
        <w:tc>
          <w:tcPr>
            <w:tcW w:w="620" w:type="dxa"/>
            <w:vAlign w:val="bottom"/>
            <w:gridSpan w:val="2"/>
            <w:vMerge w:val="continue"/>
          </w:tcPr>
          <w:p>
            <w:pPr>
              <w:spacing w:after="0"/>
              <w:rPr>
                <w:sz w:val="22"/>
                <w:szCs w:val="22"/>
                <w:color w:val="auto"/>
              </w:rPr>
            </w:pPr>
          </w:p>
        </w:tc>
        <w:tc>
          <w:tcPr>
            <w:tcW w:w="1680" w:type="dxa"/>
            <w:vAlign w:val="bottom"/>
            <w:gridSpan w:val="2"/>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Fair value of warrants issued in connection with the debt facility</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507,116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Right of use assets obtained in exchange for lease liabilities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1,797,561</w:t>
            </w: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gains and losses, net, on investment securities</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64,704</w:t>
            </w: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gridSpan w:val="2"/>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200" w:type="dxa"/>
            <w:vAlign w:val="bottom"/>
            <w:gridSpan w:val="5"/>
          </w:tcPr>
          <w:p>
            <w:pPr>
              <w:ind w:left="2780"/>
              <w:spacing w:after="0"/>
              <w:rPr>
                <w:sz w:val="20"/>
                <w:szCs w:val="20"/>
                <w:color w:val="auto"/>
              </w:rPr>
            </w:pPr>
            <w:r>
              <w:rPr>
                <w:rFonts w:ascii="Arial" w:cs="Arial" w:eastAsia="Arial" w:hAnsi="Arial"/>
                <w:sz w:val="18"/>
                <w:szCs w:val="18"/>
                <w:b w:val="1"/>
                <w:bCs w:val="1"/>
                <w:color w:val="auto"/>
                <w:w w:val="95"/>
              </w:rPr>
              <w:t>See accompanying notes to the condensed consolidated financial statements</w:t>
            </w:r>
            <w:r>
              <w:rPr>
                <w:rFonts w:ascii="Arial" w:cs="Arial" w:eastAsia="Arial" w:hAnsi="Arial"/>
                <w:sz w:val="18"/>
                <w:szCs w:val="18"/>
                <w:color w:val="auto"/>
                <w:w w:val="95"/>
              </w:rPr>
              <w: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90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gridSpan w:val="11"/>
          </w:tcPr>
          <w:p>
            <w:pPr>
              <w:jc w:val="right"/>
              <w:ind w:right="580"/>
              <w:spacing w:after="0"/>
              <w:rPr>
                <w:sz w:val="20"/>
                <w:szCs w:val="20"/>
                <w:color w:val="auto"/>
              </w:rPr>
            </w:pPr>
            <w:r>
              <w:rPr>
                <w:rFonts w:ascii="Arial" w:cs="Arial" w:eastAsia="Arial" w:hAnsi="Arial"/>
                <w:sz w:val="18"/>
                <w:szCs w:val="18"/>
                <w:b w:val="1"/>
                <w:bCs w:val="1"/>
                <w:color w:val="auto"/>
                <w:w w:val="99"/>
              </w:rPr>
              <w:t>THREE MONTHS ENDED JUNE 30, 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120" w:type="dxa"/>
            <w:vAlign w:val="bottom"/>
            <w:gridSpan w:val="6"/>
            <w:vMerge w:val="restart"/>
          </w:tcPr>
          <w:p>
            <w:pPr>
              <w:jc w:val="center"/>
              <w:ind w:right="220"/>
              <w:spacing w:after="0"/>
              <w:rPr>
                <w:sz w:val="20"/>
                <w:szCs w:val="20"/>
                <w:color w:val="auto"/>
              </w:rPr>
            </w:pPr>
            <w:r>
              <w:rPr>
                <w:rFonts w:ascii="Arial" w:cs="Arial" w:eastAsia="Arial" w:hAnsi="Arial"/>
                <w:sz w:val="18"/>
                <w:szCs w:val="18"/>
                <w:b w:val="1"/>
                <w:bCs w:val="1"/>
                <w:color w:val="auto"/>
                <w:w w:val="89"/>
              </w:rPr>
              <w:t>Common Stock</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Accum.</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120" w:type="dxa"/>
            <w:vAlign w:val="bottom"/>
            <w:gridSpan w:val="6"/>
            <w:vMerge w:val="continue"/>
          </w:tcPr>
          <w:p>
            <w:pPr>
              <w:spacing w:after="0"/>
              <w:rPr>
                <w:sz w:val="17"/>
                <w:szCs w:val="17"/>
                <w:color w:val="auto"/>
              </w:rPr>
            </w:pPr>
          </w:p>
        </w:tc>
        <w:tc>
          <w:tcPr>
            <w:tcW w:w="12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3"/>
              </w:rPr>
              <w:t>Additional</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Paid in</w:t>
            </w:r>
          </w:p>
        </w:tc>
        <w:tc>
          <w:tcPr>
            <w:tcW w:w="186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Compr.</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Accumulated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8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9"/>
              </w:rPr>
              <w:t>Shares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April 1, 2019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19,662,020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196,624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$ 297,231,041</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(85,188)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86,824</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(276,032,699)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$21,396,602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(5,904,515)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(5,904,515)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equity</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1,337,775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2,695,798</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2,709,176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Realized and unrealized gains and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w w:val="94"/>
              </w:rPr>
              <w:t>losses, net, on investments securities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7,752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6"/>
              </w:rPr>
              <w:t>Stock-based compensation expense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617,347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5,325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21,002,295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210,026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$ 300,549,511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(85,188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(281,937,214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$ 18,831,711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11"/>
          </w:tcPr>
          <w:p>
            <w:pPr>
              <w:jc w:val="right"/>
              <w:ind w:right="660"/>
              <w:spacing w:after="0"/>
              <w:rPr>
                <w:sz w:val="20"/>
                <w:szCs w:val="20"/>
                <w:color w:val="auto"/>
              </w:rPr>
            </w:pPr>
            <w:r>
              <w:rPr>
                <w:rFonts w:ascii="Arial" w:cs="Arial" w:eastAsia="Arial" w:hAnsi="Arial"/>
                <w:sz w:val="18"/>
                <w:szCs w:val="18"/>
                <w:b w:val="1"/>
                <w:bCs w:val="1"/>
                <w:color w:val="auto"/>
                <w:w w:val="97"/>
              </w:rPr>
              <w:t>THREE MONTHS ENDED JUNE 30, 2018</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00" w:type="dxa"/>
            <w:vAlign w:val="bottom"/>
            <w:gridSpan w:val="5"/>
            <w:vMerge w:val="restart"/>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Accum.</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3"/>
              </w:rPr>
              <w:t>Additional</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Paid in</w:t>
            </w:r>
          </w:p>
        </w:tc>
        <w:tc>
          <w:tcPr>
            <w:tcW w:w="19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20"/>
                <w:szCs w:val="2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Compr.</w:t>
            </w:r>
          </w:p>
        </w:tc>
        <w:tc>
          <w:tcPr>
            <w:tcW w:w="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Accumulated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8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April 1, 2018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17,740,035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177,403</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$ 289,810,437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(85,188)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(33,414)</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 (266,258,883)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$23,610,355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(8,230,556)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(8,230,556)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Warrants issued in connection with</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debt facility</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507,116</w:t>
            </w: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Realized and unrealized gains and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w w:val="93"/>
              </w:rPr>
              <w:t>losses, net, on investments securities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29,167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5"/>
              </w:rPr>
              <w:t>Stock-based compensation expense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3,217,633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6,250</w:t>
            </w:r>
          </w:p>
        </w:tc>
        <w:tc>
          <w:tcPr>
            <w:tcW w:w="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13,938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2018</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17,746,285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293,549,124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(85,188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(274,489,439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19,147,716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8"/>
          </w:tcPr>
          <w:p>
            <w:pPr>
              <w:jc w:val="right"/>
              <w:spacing w:after="0"/>
              <w:rPr>
                <w:sz w:val="20"/>
                <w:szCs w:val="20"/>
                <w:color w:val="auto"/>
              </w:rPr>
            </w:pPr>
            <w:r>
              <w:rPr>
                <w:rFonts w:ascii="Arial" w:cs="Arial" w:eastAsia="Arial" w:hAnsi="Arial"/>
                <w:sz w:val="18"/>
                <w:szCs w:val="18"/>
                <w:b w:val="1"/>
                <w:bCs w:val="1"/>
                <w:color w:val="auto"/>
              </w:rPr>
              <w:t>SIX MONTHS ENDED JUNE 30, 2019</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120" w:type="dxa"/>
            <w:vAlign w:val="bottom"/>
            <w:gridSpan w:val="6"/>
            <w:vMerge w:val="restart"/>
          </w:tcPr>
          <w:p>
            <w:pPr>
              <w:jc w:val="center"/>
              <w:ind w:right="220"/>
              <w:spacing w:after="0"/>
              <w:rPr>
                <w:sz w:val="20"/>
                <w:szCs w:val="20"/>
                <w:color w:val="auto"/>
              </w:rPr>
            </w:pPr>
            <w:r>
              <w:rPr>
                <w:rFonts w:ascii="Arial" w:cs="Arial" w:eastAsia="Arial" w:hAnsi="Arial"/>
                <w:sz w:val="18"/>
                <w:szCs w:val="18"/>
                <w:b w:val="1"/>
                <w:bCs w:val="1"/>
                <w:color w:val="auto"/>
                <w:w w:val="89"/>
              </w:rPr>
              <w:t>Common Stock</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Accum.</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120" w:type="dxa"/>
            <w:vAlign w:val="bottom"/>
            <w:gridSpan w:val="6"/>
            <w:vMerge w:val="continue"/>
          </w:tcPr>
          <w:p>
            <w:pPr>
              <w:spacing w:after="0"/>
              <w:rPr>
                <w:sz w:val="17"/>
                <w:szCs w:val="17"/>
                <w:color w:val="auto"/>
              </w:rPr>
            </w:pPr>
          </w:p>
        </w:tc>
        <w:tc>
          <w:tcPr>
            <w:tcW w:w="12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3"/>
              </w:rPr>
              <w:t>Additional</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in</w:t>
            </w:r>
          </w:p>
        </w:tc>
        <w:tc>
          <w:tcPr>
            <w:tcW w:w="186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Compr.</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Accumulated</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8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9"/>
              </w:rPr>
              <w:t>Shares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18,831,834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188,322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$ 294,393,313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(85,188)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29,872</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(273,665,247)</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$20,861,072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(8,271,967)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(8,271,967)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equity</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2,159,961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21,599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4,442,461</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4,464,060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Common stock warrants issued in</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connection with amendment to</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modify GEN-1 earn-out milestone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gains and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3"/>
              </w:rPr>
              <w:t>losses, net, on investments securities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6"/>
              </w:rPr>
              <w:t>Stock-based compensation 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1,308,492</w:t>
            </w: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1,308,492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6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Balance at June 30, 2019</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21,002,295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210,026</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$ 300,549,511</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(85,188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94,576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(281,937,214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$ 18,831,711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7"/>
          </w:tcPr>
          <w:p>
            <w:pPr>
              <w:jc w:val="right"/>
              <w:spacing w:after="0"/>
              <w:rPr>
                <w:sz w:val="20"/>
                <w:szCs w:val="20"/>
                <w:color w:val="auto"/>
              </w:rPr>
            </w:pPr>
            <w:r>
              <w:rPr>
                <w:rFonts w:ascii="Arial" w:cs="Arial" w:eastAsia="Arial" w:hAnsi="Arial"/>
                <w:sz w:val="18"/>
                <w:szCs w:val="18"/>
                <w:b w:val="1"/>
                <w:bCs w:val="1"/>
                <w:color w:val="auto"/>
              </w:rPr>
              <w:t>SIX MONTHS ENDED JUNE 30, 2018</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20" w:type="dxa"/>
            <w:vAlign w:val="bottom"/>
            <w:gridSpan w:val="6"/>
            <w:vMerge w:val="restart"/>
          </w:tcPr>
          <w:p>
            <w:pPr>
              <w:jc w:val="center"/>
              <w:ind w:right="200"/>
              <w:spacing w:after="0"/>
              <w:rPr>
                <w:sz w:val="20"/>
                <w:szCs w:val="20"/>
                <w:color w:val="auto"/>
              </w:rPr>
            </w:pPr>
            <w:r>
              <w:rPr>
                <w:rFonts w:ascii="Arial" w:cs="Arial" w:eastAsia="Arial" w:hAnsi="Arial"/>
                <w:sz w:val="18"/>
                <w:szCs w:val="18"/>
                <w:b w:val="1"/>
                <w:bCs w:val="1"/>
                <w:color w:val="auto"/>
                <w:w w:val="90"/>
              </w:rPr>
              <w:t>Common Stock</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120" w:type="dxa"/>
            <w:vAlign w:val="bottom"/>
            <w:gridSpan w:val="6"/>
            <w:vMerge w:val="continue"/>
          </w:tcPr>
          <w:p>
            <w:pPr>
              <w:spacing w:after="0"/>
              <w:rPr>
                <w:sz w:val="17"/>
                <w:szCs w:val="17"/>
                <w:color w:val="auto"/>
              </w:rPr>
            </w:pPr>
          </w:p>
        </w:tc>
        <w:tc>
          <w:tcPr>
            <w:tcW w:w="12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3"/>
              </w:rPr>
              <w:t>Additional</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12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Paid in</w:t>
            </w:r>
          </w:p>
        </w:tc>
        <w:tc>
          <w:tcPr>
            <w:tcW w:w="18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Compr.</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9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9"/>
              </w:rPr>
              <w:t>Shares</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Deficit</w:t>
            </w:r>
          </w:p>
        </w:tc>
        <w:tc>
          <w:tcPr>
            <w:tcW w:w="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17,276,965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172,772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$ 288,408,976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(85,188)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(10,164)</w:t>
            </w: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(261,781,888)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26,704,508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(12,707,551)</w:t>
            </w: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(12,707,551)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ATM</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457,070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1,232,013</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1,236,584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w w:val="97"/>
              </w:rPr>
              <w:t>Warrants issued in connection with</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debt facility</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507,116</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507,116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Realized and unrealized gains and</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losses, net, on investments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5,917</w:t>
            </w: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3"/>
              </w:rPr>
              <w:t>Stock-based compensation expense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3,371,301</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3,371,301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29,718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6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92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Balance at June 30, 2018</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17,746,285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177,466</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293,549,124</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(85,188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(4,247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89"/>
              </w:rPr>
              <w:t>$ (274,489,439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19,147,716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Celsion Corporation (“Celsion” and the “Company”) is a fully-integrated development stage oncology drug company focused on advancing a portfolio of innovative cancer treatments, including directed chemotherapies, DNA-mediated immunotherapy and RNA based therapies. Our lead product candidate is</w:t>
      </w:r>
    </w:p>
    <w:p>
      <w:pPr>
        <w:jc w:val="both"/>
        <w:spacing w:after="0" w:line="250" w:lineRule="auto"/>
        <w:rPr>
          <w:sz w:val="20"/>
          <w:szCs w:val="20"/>
          <w:color w:val="auto"/>
        </w:rPr>
      </w:pPr>
      <w:r>
        <w:rPr>
          <w:rFonts w:ascii="Arial" w:cs="Arial" w:eastAsia="Arial" w:hAnsi="Arial"/>
          <w:sz w:val="17"/>
          <w:szCs w:val="17"/>
          <w:color w:val="auto"/>
        </w:rPr>
        <w:t>ThermoDox</w:t>
      </w:r>
      <w:r>
        <w:rPr>
          <w:rFonts w:ascii="Arial" w:cs="Arial" w:eastAsia="Arial" w:hAnsi="Arial"/>
          <w:sz w:val="28"/>
          <w:szCs w:val="28"/>
          <w:color w:val="auto"/>
          <w:vertAlign w:val="superscript"/>
        </w:rPr>
        <w:t>®</w:t>
      </w:r>
      <w:r>
        <w:rPr>
          <w:rFonts w:ascii="Arial" w:cs="Arial" w:eastAsia="Arial" w:hAnsi="Arial"/>
          <w:sz w:val="17"/>
          <w:szCs w:val="17"/>
          <w:color w:val="auto"/>
        </w:rPr>
        <w:t>, a proprietary heat-activated liposomal encapsulation of doxorubicin, currently in a Phase III clinical trial for the treatment of primary liver cancer (the “OPTIMA Study”). Second in our pipeline is GEN-1, a DNA-mediated immunotherapy for the localized treatment of ovarian cancer. These investigational products are based on our two platform technologies which, in addition, provide the basis for the future development of a range of therapeutics for difficult-to-treat forms of cancers. Our first platform is Lysolipid Thermally Sensitive Liposomes, a heat sensitive liposomal based dosage form that targets disease with known therapeutics in the presence of mild heat. Our second is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the Company and its wholly owned subsidiary, CLSN Laboratories, Inc, have been prepared in accordance with generally accepted accounting principles in the United States (GAAP) for interim financial information and with the instructions to Form 10-Q and Article 10 of Regulation S-X. All intercompany balances and transactions have been eliminated in consolidation. Certain information and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six-month periods ended June 30, 2019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2018 filed with the Securities and Exchange Commission (SEC) on March 29, 2019.</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reclassifications have been made to the prior year financial statements to conform to classifications used in the current year. There classifications had no impact on net loss, stockholder’s equity or cashflows as previously reported.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Condition and Business Plan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have incurred significant net losses in each year since our inception. As of June 30, 2019, the Company has incurred approximately $282 million of cumulative net losses and we had approximately $21.8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780" w:hanging="650"/>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780" w:hanging="650"/>
        <w:spacing w:after="0" w:line="277"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780" w:hanging="650"/>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Annually, the State of New Jersey enables approved technology and biotechnology businesses with New Jersey net operating tax losses the opportunity to sell these losses through the Technology Business Tax Certificate Program (the “NOL Program”), thereby providing cash to companies to help fund their operations. The Company determined it met the eligibility requirements of the NOL Program and filed its application with the New Jersey Economic Development Authority (NJEDA) in June 2018. In this application, the Company requested authorization of up to $12.5 million in tax benefits from its cumulative New Jersey net operating losses to be eligible for sale. In September 2018, the NJEDA notified the Company that its application received approval to transfer $11.1 million of tax benefits. In December 2018, the Company successfully transferred these approved tax benefits which resulted in the receipt of $10.4 million in net cash proceeds to the Company at the end of 2018. The Company has approximately $3.9 million in future tax benefits remaining under the NOL Program for future years subsequent to 2018. In June 2019, the Company filed an application under the NOL Program to transfer an additional $2.0 million of tax benefits.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With $21.8 million in cash, investment securities and interest receivable at June 30, 2019 coupled with potential future sales of the Company’s New Jersey NOL’s and, as more fully described in Note 11, the remaining availability under the Capitol on Demand™ with JonesTrading Institutional Services LLC and the common stock purchase agreement with Aspire Capital Fund LLC, the Company believes it has sufficient capital resources to fund its operations into the first quarter of 2021. The Company will be required to obtain additional funding to continue development of its current product candidates within the anticipated time periods, if at all, and to continue to fund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 Topic 842 (ASC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The FASB subsequently issued the following amendments to ASC Topic 842, which have the same effective date and transition date of January 1, 2019:</w:t>
      </w:r>
    </w:p>
    <w:p>
      <w:pPr>
        <w:spacing w:after="0" w:line="178"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amends certain narrow aspects of the guidance issued in ASU 2016-02;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ASU No.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adopted Topic ASC 842 effective January 1, 2019 and elected to apply the available practical expedients and implement internal controls to enable the preparation of financial information on adoption. We identified two of our leases consisting of the New Jersey corporate office lease and the Alabama lab facility lease as being subject to Topic ASC 842. The adoption of this standard resulted in the recognition of right-of-use assets of approximately $1.4 million, related operating lease liabilities of $1.5 million and reduced other liabilities by approximately $0.1 million on the consolidated balance sheets as of January 1, 2019 with no material impact to the opening balance of retained earnings. See Note 15 for further discussions regarding the adoption of ASC Topic 842.</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2018, the SEC issued a final rule to simplify certain disclosure requirements. In addition, the amendments expanded the disclosure requirements on the analysis of stockholders’ equity for interim financial statements. In August and September 2018, further amendments were issued to provide implementation guidance on adoption of the SEC rule and transition guidance for the new interim stockholders’ equity disclosure. We adopted this amended guidance in the first quarter of 2019. The adoption of this amended guidance resulted in us disclosing the Condensed Consolidated Statements of Changes in Stockholders’ Equity for the three-month and six-month periods ending June 30, 2019 and 2018.</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Accounting Standard Update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guidance is effective for annual reporting periods beginning after December 15, 2018, and interim periods within those years, with early adoption permitted. The adoption of ASU 2017-01 did not have an impact on our financial statement or disclosures.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7"/>
          <w:szCs w:val="17"/>
          <w:color w:val="auto"/>
        </w:rPr>
        <w:t xml:space="preserve">In January 2017, the FASB issued Accounting Standard Update No. 2017-04, “Intangibles-Goodwill and Other, Simplifying the Test for Goodwill Impairment,” which eliminated Step </w:t>
      </w:r>
      <w:r>
        <w:rPr>
          <w:rFonts w:ascii="Arial" w:cs="Arial" w:eastAsia="Arial" w:hAnsi="Arial"/>
          <w:sz w:val="17"/>
          <w:szCs w:val="17"/>
          <w:i w:val="1"/>
          <w:iCs w:val="1"/>
          <w:color w:val="auto"/>
        </w:rPr>
        <w:t>2</w:t>
      </w:r>
      <w:r>
        <w:rPr>
          <w:rFonts w:ascii="Arial" w:cs="Arial" w:eastAsia="Arial" w:hAnsi="Arial"/>
          <w:sz w:val="17"/>
          <w:szCs w:val="17"/>
          <w:color w:val="auto"/>
        </w:rPr>
        <w:t xml:space="preserve"> from the goodwill impairment test. Under the revised test,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w:t>
      </w:r>
      <w:r>
        <w:rPr>
          <w:rFonts w:ascii="Arial" w:cs="Arial" w:eastAsia="Arial" w:hAnsi="Arial"/>
          <w:sz w:val="17"/>
          <w:szCs w:val="17"/>
          <w:i w:val="1"/>
          <w:iCs w:val="1"/>
          <w:color w:val="auto"/>
        </w:rPr>
        <w:t>not</w:t>
      </w:r>
      <w:r>
        <w:rPr>
          <w:rFonts w:ascii="Arial" w:cs="Arial" w:eastAsia="Arial" w:hAnsi="Arial"/>
          <w:sz w:val="17"/>
          <w:szCs w:val="17"/>
          <w:color w:val="auto"/>
        </w:rPr>
        <w:t xml:space="preserve"> exceed the total amount of goodwill allocated to that reporting unit. This ASU is effective for any interim or annual impairment tests for fiscal years beginning after December 15, 2019, with early adoption permitted. The Company adopted this method for its impairment testing of goodwill during 2017 and 2018. Based on the Company’s evaluation, the adoption of the ASU 2017-04 did not have any material impact on its consolidated financial statements or its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total number of shares of common stock issuable upon exercise of warrants, stock option grants and equity awards were 4,595,990 shares for the six-month period ended June 30, 2019. Warrants with an exercise price of $0.01 (as more fully described in Note 13 of these financial statements) exercisable for 200,000 shares of common stock was considered issued in calculating basic loss per share. For the three and six-month periods ended June 30, 2019, diluted loss per common share was the same as basic loss per common share as the other 4,395,990 warrants and equity awards that were convertible into shares of the Company’s common stock were excluded from the calculation of diluted loss per common share as their effect would have been anti-dilutive.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number of shares of common stock issuable upon exercise of warrants and equity awards was 6,255,757 shares for the three-month and six-month periods ended June 30, 2018. For the three and six-month periods ended June 30, 2018, diluted loss per common share was the same as basic loss per common share as all options and all warrants that were exercisable into shares of the Company’s common stock were excluded from the calculation of diluted earnings attributable to common shareholders per common share as their effect would have been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pay any dividends during the six-month periods ended June 30,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Short-term investments available for sale were approximately $15.7 million and $14.3 million as of June 30, 2019 and December 31, 2018, respectively, and consist of corporate debt securities. These investments are valued at estimated fair value, with unrealized gains and losses reported as a separate component of stockholders’ equity in accumulated other comprehensive loss.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5"/>
          </w:tcPr>
          <w:p>
            <w:pPr>
              <w:jc w:val="right"/>
              <w:ind w:right="120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 2018</w:t>
            </w:r>
          </w:p>
        </w:tc>
      </w:tr>
      <w:tr>
        <w:trPr>
          <w:trHeight w:val="237"/>
        </w:trPr>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15,607,812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15,702,388</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14,228,126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14,257,998</w:t>
            </w:r>
          </w:p>
        </w:tc>
      </w:tr>
      <w:tr>
        <w:trPr>
          <w:trHeight w:val="23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15,607,812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15,702,388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14,228,126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14,257,998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5"/>
          </w:tcPr>
          <w:p>
            <w:pPr>
              <w:jc w:val="right"/>
              <w:ind w:right="120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 2018</w:t>
            </w:r>
          </w:p>
        </w:tc>
      </w:tr>
      <w:tr>
        <w:trPr>
          <w:trHeight w:val="237"/>
        </w:trPr>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Within 3 months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9,821,406</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9,897,504</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5,383,488</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5,393,743</w:t>
            </w:r>
          </w:p>
        </w:tc>
        <w:tc>
          <w:tcPr>
            <w:tcW w:w="80" w:type="dxa"/>
            <w:vAlign w:val="bottom"/>
          </w:tcPr>
          <w:p>
            <w:pPr>
              <w:spacing w:after="0"/>
              <w:rPr>
                <w:sz w:val="18"/>
                <w:szCs w:val="18"/>
                <w:color w:val="auto"/>
              </w:rPr>
            </w:pPr>
          </w:p>
        </w:tc>
      </w:tr>
      <w:tr>
        <w:trPr>
          <w:trHeight w:val="25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5,786,406</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5,804,884</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8,844,638</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8,864,255</w:t>
            </w:r>
          </w:p>
        </w:tc>
        <w:tc>
          <w:tcPr>
            <w:tcW w:w="80" w:type="dxa"/>
            <w:vAlign w:val="bottom"/>
            <w:shd w:val="clear" w:color="auto" w:fill="CCEEFF"/>
          </w:tcPr>
          <w:p>
            <w:pPr>
              <w:spacing w:after="0"/>
              <w:rPr>
                <w:sz w:val="21"/>
                <w:szCs w:val="21"/>
                <w:color w:val="auto"/>
              </w:rPr>
            </w:pPr>
          </w:p>
        </w:tc>
      </w:tr>
      <w:tr>
        <w:trPr>
          <w:trHeight w:val="217"/>
        </w:trPr>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15,607,812</w:t>
            </w: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15,702,388</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14,228,126</w:t>
            </w: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14,257,998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shows the Company’s investment securities gross unrealized gains (losses) and fair value by investment category and length of time that individual securities have been in a continuous unrealized loss position at June 30, 2019 and December 31, 2018. The Company has reviewed individual securities to determine whether a decline in fair value below the amortizable cost basis is other than temporary.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5"/>
          </w:tcPr>
          <w:p>
            <w:pPr>
              <w:jc w:val="right"/>
              <w:ind w:right="1220"/>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Holding</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w w:val="95"/>
              </w:rPr>
              <w:t xml:space="preserve">Available for sale securities </w:t>
            </w:r>
            <w:r>
              <w:rPr>
                <w:rFonts w:ascii="Arial" w:cs="Arial" w:eastAsia="Arial" w:hAnsi="Arial"/>
                <w:sz w:val="18"/>
                <w:szCs w:val="18"/>
                <w:color w:val="auto"/>
                <w:w w:val="95"/>
              </w:rPr>
              <w:t>(all unrealized holding gains and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Gains</w:t>
            </w:r>
          </w:p>
        </w:tc>
        <w:tc>
          <w:tcPr>
            <w:tcW w:w="0" w:type="dxa"/>
            <w:vAlign w:val="bottom"/>
          </w:tcPr>
          <w:p>
            <w:pPr>
              <w:spacing w:after="0"/>
              <w:rPr>
                <w:sz w:val="1"/>
                <w:szCs w:val="1"/>
                <w:color w:val="auto"/>
              </w:rPr>
            </w:pPr>
          </w:p>
        </w:tc>
      </w:tr>
      <w:tr>
        <w:trPr>
          <w:trHeight w:val="241"/>
        </w:trPr>
        <w:tc>
          <w:tcPr>
            <w:tcW w:w="4820" w:type="dxa"/>
            <w:vAlign w:val="bottom"/>
            <w:gridSpan w:val="3"/>
          </w:tcPr>
          <w:p>
            <w:pPr>
              <w:spacing w:after="0"/>
              <w:rPr>
                <w:sz w:val="20"/>
                <w:szCs w:val="20"/>
                <w:color w:val="auto"/>
              </w:rPr>
            </w:pPr>
            <w:r>
              <w:rPr>
                <w:rFonts w:ascii="Arial" w:cs="Arial" w:eastAsia="Arial" w:hAnsi="Arial"/>
                <w:sz w:val="18"/>
                <w:szCs w:val="18"/>
                <w:color w:val="auto"/>
              </w:rPr>
              <w:t>losses are less than 12 months at date of measurement)</w:t>
            </w: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(Losses)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with unrealized gains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14,395,809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95,013</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7,515,676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Investments with unrealized losses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1,306,579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6,742,322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15,702,388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14,257,998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80" w:type="dxa"/>
            <w:vAlign w:val="bottom"/>
            <w:tcBorders>
              <w:bottom w:val="single" w:sz="8" w:color="CCEEFF"/>
            </w:tcBorders>
          </w:tcPr>
          <w:p>
            <w:pPr>
              <w:spacing w:after="0"/>
              <w:rPr>
                <w:sz w:val="21"/>
                <w:szCs w:val="21"/>
                <w:color w:val="auto"/>
              </w:rPr>
            </w:pPr>
          </w:p>
        </w:tc>
        <w:tc>
          <w:tcPr>
            <w:tcW w:w="212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1"/>
                <w:szCs w:val="2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2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143,633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69,559</w:t>
            </w:r>
          </w:p>
        </w:tc>
        <w:tc>
          <w:tcPr>
            <w:tcW w:w="100" w:type="dxa"/>
            <w:vAlign w:val="bottom"/>
            <w:shd w:val="clear" w:color="auto" w:fill="CCEEFF"/>
          </w:tcPr>
          <w:p>
            <w:pPr>
              <w:spacing w:after="0"/>
              <w:rPr>
                <w:sz w:val="18"/>
                <w:szCs w:val="18"/>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Realized gains</w:t>
            </w:r>
          </w:p>
        </w:tc>
        <w:tc>
          <w:tcPr>
            <w:tcW w:w="2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969</w:t>
            </w:r>
          </w:p>
        </w:tc>
        <w:tc>
          <w:tcPr>
            <w:tcW w:w="44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3,902</w:t>
            </w:r>
          </w:p>
        </w:tc>
      </w:tr>
      <w:tr>
        <w:trPr>
          <w:trHeight w:val="23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10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144,602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80" w:type="dxa"/>
            <w:vAlign w:val="bottom"/>
            <w:tcBorders>
              <w:bottom w:val="single" w:sz="8" w:color="CCEEFF"/>
            </w:tcBorders>
          </w:tcPr>
          <w:p>
            <w:pPr>
              <w:spacing w:after="0"/>
              <w:rPr>
                <w:sz w:val="21"/>
                <w:szCs w:val="21"/>
                <w:color w:val="auto"/>
              </w:rPr>
            </w:pPr>
          </w:p>
        </w:tc>
        <w:tc>
          <w:tcPr>
            <w:tcW w:w="212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1"/>
                <w:szCs w:val="2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2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138,848</w:t>
            </w:r>
          </w:p>
        </w:tc>
        <w:tc>
          <w:tcPr>
            <w:tcW w:w="100" w:type="dxa"/>
            <w:vAlign w:val="bottom"/>
            <w:shd w:val="clear" w:color="auto" w:fill="CCEEFF"/>
          </w:tcPr>
          <w:p>
            <w:pPr>
              <w:spacing w:after="0"/>
              <w:rPr>
                <w:sz w:val="18"/>
                <w:szCs w:val="18"/>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Realized gains</w:t>
            </w:r>
          </w:p>
        </w:tc>
        <w:tc>
          <w:tcPr>
            <w:tcW w:w="2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10,350</w:t>
            </w:r>
          </w:p>
        </w:tc>
        <w:tc>
          <w:tcPr>
            <w:tcW w:w="44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8,337</w:t>
            </w:r>
          </w:p>
        </w:tc>
      </w:tr>
      <w:tr>
        <w:trPr>
          <w:trHeight w:val="23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10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258,393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1"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condensed consolidated balance sheet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2019 and 2018. There were no transfers of assets or liabilities between Level 1 and Level 2 and no transfers in or out of Level 3 thus far in 2019 and during the year ended December 31, 2018.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13 for significant unobservable inputs). The in-process R&amp;D – GBM is valued using a multi-period excess earnings method (see Note 8 for significant unobservable inputs).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assets and liabilities measured at fair value. This table only includes those assets and liabilities with fair values that have changed since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Quoted Prices in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Active Markets</w:t>
            </w:r>
          </w:p>
        </w:tc>
        <w:tc>
          <w:tcPr>
            <w:tcW w:w="18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Significant Other</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for Identical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Assets/Liabilities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 Fair Value</w:t>
            </w:r>
          </w:p>
        </w:tc>
        <w:tc>
          <w:tcPr>
            <w:tcW w:w="10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June 30, 2019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Corporate debt securities, available for sale</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15,702,388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15,702,388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Recurring items as of December 31, 2018</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 available for sale</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14,257,998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14,257,998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June 30, 2019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Earn-out milestone liability (Note 13)</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5,904,725</w:t>
            </w:r>
          </w:p>
        </w:tc>
        <w:tc>
          <w:tcPr>
            <w:tcW w:w="3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5,904,725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Recurring items as of December 31, 2018</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milestone liability (Note 13)</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8,907,664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8,907,664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 of EGEN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we completed the acquisition of substantially all of the assets of EGEN, which has changed its company name to EGWU, Inc. after the closing of the acquisition (“EGEN”), pursuant to an Asset Purchase Agreement dated as of June 6, 2014, by and between EGEN and Celsion (the “Asset Purchase Agreement”). We acquired all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time of the acquisition, the total purchase price for the asset acquisition was up to $44.4 million, including potential future earnout payments of up to $30.4 million contingent upon achievement of certain earnout milestones set forth in the Asset Purchase Agreement. We paid approximately $3.0 million in cash after the expense adjustment and issued 241,590 shares of our common stock to EGEN. The shares of common stock were issued in a private transaction exempt from registration under the Securities Act, pursuant to Section 4 (2)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On December 31, 2016, the Company determined one of its IPR&amp;D assets related to its RNA delivery system was impaired and wrote off its fair value, incurring a non-cash charge of $1.4 million during 2016. During its annual assessments on September 30, 2017 and 2018, the Company determined its IPR&amp;D asset related to its glioblastoma multiforme cancer (GBM) product candidate, originally fair valued at $9.4 million on the date of acquisition, was impaired and wrote this asset’s carrying value down to $2.4 million collectively after those two assessments, incurring non-cash charges of $2.5 million and $4.5 million during 2017 and 2018, respectively. On September 30, 2018 and 2017, the Company evaluated its IPR&amp;D of the ovarian cancer indication and concluded that it is not more likely than not that the asset is impaired. As no other indicators of impairment existed during the fourth quarter of 2018 and thus far in 2019, the Company concluded none of the other IPR&amp;D assets were impaired at December 31, 2018 and June 30, 2019. The carrying amount of the ovarian cancer indication was $13.3 million at June 30, 2019 and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asset acquisition, has a definitive life and is amortized on a straight-line basis over its life of 7 years. The Company recognized amortization expense of $56,829 in each of the three-month periods ended June 30, 2019 and 2018. The Company recognized amortization expense of $113,658 in each of the six-month periods ended June 30, 2019 and 2018. The carrying value of the Covenant Not to Compete was $454,634, net of $1,136,580 in accumulated amortization expense, as of June 30, 2019. The carrying value of the Covenant Not to Compete was $568,929, net of $1,022,922 in accumulated amortization expense, as of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Following is a schedule of future amortization amounts during the remaining life of the Covenant Not to Compete.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9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9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r>
      <w:tr>
        <w:trPr>
          <w:trHeight w:val="216"/>
        </w:trPr>
        <w:tc>
          <w:tcPr>
            <w:tcW w:w="9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227,318</w:t>
            </w:r>
          </w:p>
        </w:tc>
        <w:tc>
          <w:tcPr>
            <w:tcW w:w="80" w:type="dxa"/>
            <w:vAlign w:val="bottom"/>
          </w:tcPr>
          <w:p>
            <w:pPr>
              <w:spacing w:after="0"/>
              <w:rPr>
                <w:sz w:val="18"/>
                <w:szCs w:val="18"/>
                <w:color w:val="auto"/>
              </w:rPr>
            </w:pPr>
          </w:p>
        </w:tc>
      </w:tr>
      <w:tr>
        <w:trPr>
          <w:trHeight w:val="25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2022 and thereafter</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91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454,634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2018, we concluded that the Company’s fair value exceeded its carrying value therefore “it is not more likely than not” that the Goodwill was impaired. As no other indicators of impairment existed during the fourth quarter of 2018 and thus far in 2019, the Company concluded it is “not more likely than not” Goodwill was impaired.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Following is a summary of the net fair value of the assets acquired in the EGEN asset acquisition for the six-month period ended June 30,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Covenant Not To</w:t>
            </w:r>
          </w:p>
        </w:tc>
      </w:tr>
      <w:tr>
        <w:trPr>
          <w:trHeight w:val="237"/>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rPr>
              <w:t>IPR&amp;D</w:t>
            </w:r>
          </w:p>
        </w:tc>
        <w:tc>
          <w:tcPr>
            <w:tcW w:w="24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Compete</w:t>
            </w:r>
          </w:p>
        </w:tc>
      </w:tr>
      <w:tr>
        <w:trPr>
          <w:trHeight w:val="243"/>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 the six-months ended June 30, 2019</w:t>
            </w:r>
          </w:p>
        </w:tc>
        <w:tc>
          <w:tcPr>
            <w:tcW w:w="28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Balance at January 1, 2019,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15,736,491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1,976,101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568,292</w:t>
            </w:r>
          </w:p>
        </w:tc>
        <w:tc>
          <w:tcPr>
            <w:tcW w:w="80" w:type="dxa"/>
            <w:vAlign w:val="bottom"/>
          </w:tcPr>
          <w:p>
            <w:pPr>
              <w:spacing w:after="0"/>
              <w:rPr>
                <w:sz w:val="18"/>
                <w:szCs w:val="18"/>
                <w:color w:val="auto"/>
              </w:rPr>
            </w:pPr>
          </w:p>
        </w:tc>
      </w:tr>
      <w:tr>
        <w:trPr>
          <w:trHeight w:val="25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(113,658)</w:t>
            </w:r>
          </w:p>
        </w:tc>
      </w:tr>
      <w:tr>
        <w:trPr>
          <w:trHeight w:val="217"/>
        </w:trPr>
        <w:tc>
          <w:tcPr>
            <w:tcW w:w="6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2019,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15,736,491</w:t>
            </w: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1,976,101</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454,634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Arial" w:cs="Arial" w:eastAsia="Arial" w:hAnsi="Arial"/>
                <w:sz w:val="18"/>
                <w:szCs w:val="18"/>
                <w:b w:val="1"/>
                <w:bCs w:val="1"/>
                <w:color w:val="auto"/>
              </w:rPr>
              <w:t>Note 9. Accrued Liabilities</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20" w:type="dxa"/>
            <w:vAlign w:val="bottom"/>
          </w:tcPr>
          <w:p>
            <w:pPr>
              <w:spacing w:after="0"/>
              <w:rPr>
                <w:sz w:val="20"/>
                <w:szCs w:val="20"/>
                <w:color w:val="auto"/>
              </w:rPr>
            </w:pPr>
            <w:r>
              <w:rPr>
                <w:rFonts w:ascii="Arial" w:cs="Arial" w:eastAsia="Arial" w:hAnsi="Arial"/>
                <w:sz w:val="18"/>
                <w:szCs w:val="18"/>
                <w:color w:val="auto"/>
                <w:w w:val="96"/>
              </w:rPr>
              <w:t>Other accrued liabilities at June 30, 2019 and December 31, 2018 include the following:</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r>
      <w:tr>
        <w:trPr>
          <w:trHeight w:val="234"/>
        </w:trPr>
        <w:tc>
          <w:tcPr>
            <w:tcW w:w="6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other contractual agreements</w:t>
            </w:r>
          </w:p>
        </w:tc>
        <w:tc>
          <w:tcPr>
            <w:tcW w:w="6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1,061,448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749,369</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1,004,120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1,592,590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304,504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198,654</w:t>
            </w:r>
          </w:p>
        </w:tc>
      </w:tr>
      <w:tr>
        <w:trPr>
          <w:trHeight w:val="237"/>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19,410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45,285</w:t>
            </w:r>
          </w:p>
        </w:tc>
      </w:tr>
      <w:tr>
        <w:trPr>
          <w:trHeight w:val="230"/>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2,389,482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Credit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The Company will use the funding provided under the Horizon Credit Agreement for working capital and advancement of its product pipeline.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obligations under the Horizon Credit Agreement are secured by a first-priority security interest in substantially all assets of Celsion other than intellectual property assets. The obligations will bear interest at a rate calculated based on one-month LIBOR plus 7.625%. The effective interest rate at December 31, 2018 was 9.98%. Payments under the loan agreement are interest only for the first twenty-four (24) months after loan closing, followed by a 24-month amortization period of principal and interest through the scheduled maturity date. At its option, the Company can prepay all the outstanding principal balance by prepaying the outstanding principal balance and an amount equal to 1-3% of the outstanding principal balance at that time, based on the amount of time prior to the maturity date of the notes.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 Upon the occurrence of an event of default under the Horizon Credit Agreement, the lenders may cease making loans, terminate the Horizon Credit Agreement, declare all amounts outstanding to be immediately due and payable and foreclose on or liquidate Celsion’s assets that comprise the lenders’ collateral. The Horizon Credit Agreement specifies a number of events of default (some of which are subject to applicable grace or cure periods), including, among other things, non-payment defaults, covenant defaults, a material adverse effect on Celsion or its assets, cross-defaults to other material indebtedness, bankruptcy and insolvency defaults and material judgment defaults.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spacing w:after="0" w:line="293" w:lineRule="auto"/>
        <w:rPr>
          <w:sz w:val="20"/>
          <w:szCs w:val="20"/>
          <w:color w:val="auto"/>
        </w:rPr>
      </w:pPr>
      <w:r>
        <w:rPr>
          <w:rFonts w:ascii="Arial" w:cs="Arial" w:eastAsia="Arial" w:hAnsi="Arial"/>
          <w:sz w:val="16"/>
          <w:szCs w:val="16"/>
          <w:color w:val="auto"/>
        </w:rPr>
        <w:t>As a fee in connection with the Horizon Credit Agreement, Celsion issued Horizon warrants exercisable for a total of 190,114 shares of Celsion’s common stock (the “Horizon Warrants”) at a per share exercise price of $2.63. The Horizon Warrants are immediately exercisable for cash or by net exercise from the date of grant and will expire after ten years from the date of grant. Celsion registered the Horizon Warrants on Form S-3 (File No. 333 - 227236) filed with the Securities and Exchange Commission on September 7, 2018 and declared effective on October 10, 2018. The Company valued the Horizon Warrants issued using the Black-Scholes option pricing model and recorded a total of $507,116 as a direct deduction from the debt liability consistent with the presentation of a debt discount and are being amortized as interest expense using the effective interest method over the life of the loan.</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Horizon Credit Agreement, the Company incurred financing fees and expenses totaling $175,000 which are recorded and classified as debt discount. In addition, the Company paid loan origination fees of $100,000 which has been recorded and classified as debt discount. These debt discount amounts totaling $782,116 are being amortized as interest expense using the effective interest method over the life of the loan. Also, in connection with each of the Horizon Credit Agreements, the Company is required to pay an end of term charge equal to 4.0% of the original loan amount at time of maturity. Therefore, these amounts totaling $400,000 are being amortized as interest expense using the effective interest method over the life of the loan.</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three-month period ending June 30, 2019, the Company incurred $255,182 in interest expense and amortized $94,266 as interest expense for debt discounts and end of term charges in connection with the Horizon Credit Agreement. During the six-month period ending June 30, 2019, the Company incurred $508,471 in interest expense and amortized $191,724 as interest expense for debt discounts and end of term charges in connection with the Horizon Credit Agreement. The Company incurred $10,794 in interest expense and amortized $4,237 as interest expense for debt discounts and end of term charges in connection with the Horizon Credit Agreement. during each of the three-month and six-month periods ending June 30, 2019,</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schedule of future principal payments, net of unamortized debt discounts and amortized end of term charges, due on the Horizon Credit Agreement:</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 of June 30,</w:t>
            </w:r>
          </w:p>
        </w:tc>
      </w:tr>
      <w:tr>
        <w:trPr>
          <w:trHeight w:val="216"/>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4,583,333</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416,667</w:t>
            </w:r>
          </w:p>
        </w:tc>
        <w:tc>
          <w:tcPr>
            <w:tcW w:w="100" w:type="dxa"/>
            <w:vAlign w:val="bottom"/>
          </w:tcPr>
          <w:p>
            <w:pPr>
              <w:spacing w:after="0"/>
              <w:rPr>
                <w:sz w:val="18"/>
                <w:szCs w:val="18"/>
                <w:color w:val="auto"/>
              </w:rPr>
            </w:pPr>
          </w:p>
        </w:tc>
      </w:tr>
      <w:tr>
        <w:trPr>
          <w:trHeight w:val="250"/>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8220" w:type="dxa"/>
            <w:vAlign w:val="bottom"/>
          </w:tcPr>
          <w:p>
            <w:pPr>
              <w:spacing w:after="0" w:line="203" w:lineRule="exact"/>
              <w:rPr>
                <w:sz w:val="20"/>
                <w:szCs w:val="20"/>
                <w:color w:val="auto"/>
              </w:rPr>
            </w:pPr>
            <w:r>
              <w:rPr>
                <w:rFonts w:ascii="Arial" w:cs="Arial" w:eastAsia="Arial" w:hAnsi="Arial"/>
                <w:sz w:val="18"/>
                <w:szCs w:val="18"/>
                <w:color w:val="auto"/>
              </w:rPr>
              <w:t>Subtotal of future principal payments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7"/>
                <w:szCs w:val="17"/>
                <w:color w:val="auto"/>
              </w:rPr>
            </w:pPr>
          </w:p>
        </w:tc>
      </w:tr>
      <w:tr>
        <w:trPr>
          <w:trHeight w:val="25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 net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(391,239)</w:t>
            </w:r>
          </w:p>
        </w:tc>
      </w:tr>
      <w:tr>
        <w:trPr>
          <w:trHeight w:val="217"/>
        </w:trPr>
        <w:tc>
          <w:tcPr>
            <w:tcW w:w="8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9,608,761</w:t>
            </w:r>
          </w:p>
        </w:tc>
        <w:tc>
          <w:tcPr>
            <w:tcW w:w="100" w:type="dxa"/>
            <w:vAlign w:val="bottom"/>
            <w:tcBorders>
              <w:top w:val="single" w:sz="8" w:color="CCEEFF"/>
            </w:tcBorders>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2018, the Company filed with the SEC a new $75 million shelf registration statement on Form S-3 (the “2018 Shelf Registration Statement”) (File No. 333-227236) that allows the Company to issue any combination of common stock, preferred stock or warrants to purchase common stock or preferred stock. This shelf registration was declared effective on October 12, 2018 and will expire three years from that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Purchase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2018, we entered into a common stock purchase agreement (the “Aspire Purchase Agreement”) with Aspire Capital Fund, LLC (“Aspire Capital”) which provides that, upon the terms and subject to the conditions and limitations set forth therein, Aspire Capital is committed to purchase up to an aggregate of $15.0 million of shares of the Company’s common stock over the 24-month term of the Aspire Purchase Agreement. On October 12, 2018, the Company filed with the SEC a prospectus supplement to the 2018 Shelf Registration Statement registering all the shares of common stock that may be offered to Aspire Capital from time to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Under the Aspire Purchase Agreement, on any trading day selected by the Company, the Company has the right, in its sole discretion, to present Aspire Capital with a purchase notice (each, a “Purchase Notice”), directing Aspire Capital (as principal) to purchase up to 100,000 shares of the Company’s common stock per business day, up to $15.0 million of the Company’s common stock in the aggregate at a per share price (the “Purchase Price”) equal to the lesser of:</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or</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arithmetic average of the three (3) lowest closing sale prices for the Company’s common stock during the ten (10) consecutive trading days ending on the trading day immediately preceding the purchase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Aspire Capital also may mutually agree to increase the number of shares that may be sold to as much as an additional 2,000,000 shares per business day.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on any date on which the Company submits a Purchase Notice to Aspire Capital in an amount equal to at least 100,000 shares, the Company also has the right, in its sole discretion, to present Aspire Capital with a volume-weighted average price purchase notice (each, a “VWAP Purchase Notice”) directing Aspire Capital to purchase an amount of stock equal to up to 30% of the aggregate shares of the Company’s common stock traded on its principal market on the next trading day (the “VWAP Purchase Date”), subject to a maximum number of shares the Company may determine. The purchase price per share pursuant to such VWAP Purchase Notice is generally 97% of the volume-weighted average price for the Company’s common stock traded on its principal market on the VWAP Purchase Date.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will be adjusted for any reorganization, recapitalization, non-cash dividend, stock split, or other similar transaction occurring during the period(s) used to compute the Purchase Price. The Company may deliver multiple Purchase Notices and VWAP Purchase Notices to Aspire Capital from time to time during the term of the Purchase Agreement, so long as the most recent purchase has been completed.</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There are no trading volume requirements or restrictions under the Aspire Purchase Agreement, and the Company will control the timing and amount of sales of the Company’s common stock to Aspire Capital. Aspire Capital has no right to require any sales by the Company but is obligated to make purchases from the Company as directed by the Company in accordance with the Aspire Purchase Agreement. There are no limitations on use of proceeds, financial or business covenants, restrictions on future funding, rights of first refusal, participation rights, penalties or liquidated damages in the Aspire Purchase Agreement. In consideration for entering into the Aspire Purchase Agreement, concurrently with the execution of the Aspire Purchase Agreement, the Company issued to Aspire Capital 164,835 shares of the Company’s common stock (the “Commitment Shares”). The Company’s policy is to record specific incremental costs directly attributable to an offering as a charge against the gross proceeds, if any, when the offering becomes effective. These Commitment Shares valued at $450,000 were recorded in September 2018 as costs of equity financing and charged against additional paid-in capital. The Aspire Purchase Agreement may be terminated by the Company at any time, at its discretion, without any cost to the Company. Aspire Capital has agreed that neither it nor any of its agents, representatives and affiliates shall engage in any direct or indirect short-selling or hedging of the Company’s common stock during any time prior to the termination of the Aspire Purchase Agreement. Any proceeds from the Company receives under the Aspire Purchase Agreement are expected to be used for working capital and general corporate purposes. During 2018, the Company sold and issued an aggregate of 100,000 shares under the Aspire Purchase Agreement, receiving approximately $0.2 million. The Company sold and issued an aggregate of 1.9 million shares under the Aspire Purchase Agreement, receiving approximately $3.9 million during the first six months of 2019. Subsequent to June 30, 2019 and through August 13, 2019, the Company sold 300,000 shares under the Aspire Purchase Agreement, receiving approximately $0.5 million in additional gross proceeds. As of June 30, 2019, the Company has $10.5 million remaining under the Aspire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on Demand</w:t>
      </w:r>
      <w:r>
        <w:rPr>
          <w:rFonts w:ascii="Arial" w:cs="Arial" w:eastAsia="Arial" w:hAnsi="Arial"/>
          <w:sz w:val="30"/>
          <w:szCs w:val="30"/>
          <w:i w:val="1"/>
          <w:iCs w:val="1"/>
          <w:u w:val="single" w:color="auto"/>
          <w:color w:val="auto"/>
          <w:vertAlign w:val="superscript"/>
        </w:rPr>
        <w:t>TM</w:t>
      </w:r>
      <w:r>
        <w:rPr>
          <w:rFonts w:ascii="Arial" w:cs="Arial" w:eastAsia="Arial" w:hAnsi="Arial"/>
          <w:sz w:val="18"/>
          <w:szCs w:val="18"/>
          <w:i w:val="1"/>
          <w:iCs w:val="1"/>
          <w:u w:val="single" w:color="auto"/>
          <w:color w:val="auto"/>
        </w:rPr>
        <w:t xml:space="preserve"> Sales Agreement</w:t>
      </w:r>
    </w:p>
    <w:p>
      <w:pPr>
        <w:spacing w:after="0" w:line="12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On December 4, 2018, the Company entered into a Capital on Demand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the Company’s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JonesTrading a commission of 3.0% of the aggregate gross proceeds from each sale of Common Stock and has agreed to provide JonesTrading with customary indemnification and contribution rights.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will be issued pursuant to the Company’s previously filed and effective Registration Statement on Form S-3 (File No. 333-227236), the base prospectus dated October 12, 2018, filed as part of such Registration Statement, and the prospectus supplement dated December 4, 2018, filed by Celsion with the Securities and Exchange Commission. The Company did not sell any shares under the Capital on Demand Agreement as of December 31, 2018. During the first six months of 2019, the Company sold and issued an aggregate of 259,961 shares under the Capital on Demand Agreement, receiving approximately $0.6 million in net proceeds. Subsequent to June 30, 2019 and through August 13, 2019, the Company sold approximately 85,000 shares under the Capital on Demand Agreement, receiving approximately $154,000 in additional net proceeds. As of June 30, 2019, the Company has $15.4 million remaining under the Capital on Demand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the Company could offer and sell, from time to time, through Cantor, shares of its common stock having an aggregate offering price of up to $25.0 million (the “ATM Shares”) pursuant to the registration statement on Form S-3 (File No. 333-183286).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Company’s common stock or to or through a market maker. On October 10, 2018, the Company delivered notice to Cantor terminating the ATM effective as of October 20, 2018. The Company has no further obligations under the ATM Agreement. From February 1, 2013 through the date of the termination of the ATM Agreement, the Company sold and issued an aggregate of 1,784,396 shares of common stock under the ATM Agreement, receiving approximately $12.8 million in gross proceeds. During 2018 through the date of its termination in October 2018, the Company received approximately $1.2 million in proceeds from the sale of 457,070 shares of common stock under the ATM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 based-awards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1,200,000 to a total of 3,900,000 under the 2018 Plan, as amended. Prior to the adoption of the 2018 Plan, the Company had maintained the Celsion Corporation 2007 Stock Incentive Plan (the “2007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The 2007 Plan permitted the granting of 688,531 shares of Celsion common stock as equity awards in the form of incentive stock options, nonqualified stock options, restricted stock, restricted stock units, stock appreciation rights, phantom stock, performance awards, or in any combination of the foregoing. The 2018 Plan replaced the 2007 Plan although the 2007 Plan remains in effect for awards previously granted under the 2007 Plan. Under the terms of the 2018 Plan, any shares subject to an award under the 2007 Plan which are not delivered because of the expiration, forfeiture, termination or cash settlement of the award will become available for grant under the 2018 Plan.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28, 2018, and again on February 19, 2019, the Compensation Committee of the Board of Directors approved the grant of (i) inducement stock options (the “Inducement Option Grants”) to purchase a total of 164,004 and 140,004 shares of Celsion common stock, respectively and (ii) inducement restricted stock awards (the “Inducement Stock Grants”) totaling 19,000 and 13,000 shares of Celsion common stock to five new employees collectively. Each award has a grant date of the date of grant. Each Inducement Option Grant has an exercise price per share equal to 2.77 and $2.18 which represents the closing price of Celsion’s common stock as reported by Nasdaq on September 28, 2018 and February 19, 2019, respectively.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will vest on the one-year anniversary of the employee’s first day of employment with the Company and are subject to the new employee’s continued service relationship with the Company through such date and is subject to the terms and conditions of the applicable restricted stock agreement.</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2019, there was a total of 4,582,893 shares of Celsion common stock reserved for issuance under the 2018 Plan which were comprised of 3,710,386 shares of Celsion common stock subject to equity awards previously granted under the 2018 Plan and 2007 Plan and 872,507 shares of Celsion common stock available for future issuance under the 2018 Plan. As of June 30, 2019, there was a total of 259,506 of Celsion common stock subject to outstanding inducement awards.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compensation cost related to stock options and restricted stock awards amounted to $622,697 and $3,217,633 for the three-month periods ended June 30, 2019, and 2018, respectively. Of these amounts, $239,407 and $1,056,866 was charged to research and development during the three-month periods ended June 30, 2019 and 2018, respectively, and $383,290 and $2,160,767 was charged to general and administrative expenses during the three-month periods ended June 30, 2019 and 2018, respectively. Total compensation cost related to stock options and restricted stock awards amounted to $1,313,842 and $3,387,141 for the six-month periods ended June 30, 2019, and 2018, respectively. Of these amounts, $479,794 and $1,109,188 was charged to research and development during the six-month periods ended June 30, 2019 and 2018, respectively, and $834,048 and $2,277,953 was charged to general and administrative expenses during the six-month periods ended June 30, 2019 and 2018,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there was $2.3 million of total unrecognized compensation cost related to non-vested stock-based compensation arrangements. That cost is expected to be recognized over a weighted-average period of 1.5 years. The weighted average grant date fair values of the stock options granted during the six-month periods ended June 30, 2019 and 2018 was $1.88 and $2.23,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 summary of stock option awards and restricted stock grants for the six-months ended June 30, 2019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gridSpan w:val="5"/>
          </w:tcPr>
          <w:p>
            <w:pPr>
              <w:ind w:left="680"/>
              <w:spacing w:after="0"/>
              <w:rPr>
                <w:sz w:val="20"/>
                <w:szCs w:val="20"/>
                <w:color w:val="auto"/>
              </w:rPr>
            </w:pPr>
            <w:r>
              <w:rPr>
                <w:rFonts w:ascii="Arial" w:cs="Arial" w:eastAsia="Arial" w:hAnsi="Arial"/>
                <w:sz w:val="18"/>
                <w:szCs w:val="18"/>
                <w:b w:val="1"/>
                <w:bCs w:val="1"/>
                <w:color w:val="auto"/>
              </w:rPr>
              <w:t>Stock Options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9"/>
              </w:rPr>
              <w:t>Restricted Stock Awards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7"/>
                <w:szCs w:val="17"/>
                <w:color w:val="auto"/>
              </w:rPr>
            </w:pPr>
          </w:p>
        </w:tc>
        <w:tc>
          <w:tcPr>
            <w:tcW w:w="13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Non-vested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Terms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Restricted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Grant</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Date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2"/>
              </w:rPr>
              <w:t>Outstanding</w:t>
            </w:r>
          </w:p>
        </w:tc>
        <w:tc>
          <w:tcPr>
            <w:tcW w:w="14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Fair Value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January 1, 2019</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3,148,743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2.67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84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June 30, 2019</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3,942,392</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awards at June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27,500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exercisable at June 30, 2019</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2,420,261</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2.77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 intrinsic value of equity awards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50,050</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tcBorders>
              <w:bottom w:val="single" w:sz="8" w:color="CCEEFF"/>
            </w:tcBorders>
          </w:tcPr>
          <w:p>
            <w:pPr>
              <w:spacing w:after="0"/>
              <w:rPr>
                <w:sz w:val="21"/>
                <w:szCs w:val="21"/>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top w:val="single" w:sz="8" w:color="auto"/>
              <w:bottom w:val="single" w:sz="8" w:color="CCEEFF"/>
            </w:tcBorders>
          </w:tcPr>
          <w:p>
            <w:pPr>
              <w:spacing w:after="0"/>
              <w:rPr>
                <w:sz w:val="21"/>
                <w:szCs w:val="21"/>
                <w:color w:val="auto"/>
              </w:rPr>
            </w:pPr>
          </w:p>
        </w:tc>
        <w:tc>
          <w:tcPr>
            <w:tcW w:w="19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1"/>
                <w:szCs w:val="2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 - 2.65%</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Expected volatility</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101.3 -106.2%</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99.9 - 100.0%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7.5 - 9.3</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9.5-10.0</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 Starting in 2017, the Company elected to account for any forfeitures when they occur.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asset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28, 2019, the Company and EGWU, Inc, entered into the Amended Asset Purchase Agreement. Pursuant to the Amended Asset Purchase Agreement, payment of the earnout milestone liability related to the Ovarian Cancer Indication of $12.4 million has been modified. The Company has the option to make the payment as follows:</w:t>
      </w:r>
    </w:p>
    <w:p>
      <w:pPr>
        <w:spacing w:after="0" w:line="181" w:lineRule="exact"/>
        <w:rPr>
          <w:sz w:val="20"/>
          <w:szCs w:val="20"/>
          <w:color w:val="auto"/>
        </w:rPr>
      </w:pPr>
    </w:p>
    <w:p>
      <w:pPr>
        <w:ind w:left="560" w:hanging="228"/>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this amended agreement. The warrant shares have no expiration and were fair valued at $2.00 using the closing price of a share of Celsion stock on the date of issuance offset by the exercise price and recorded as a non-cash expense in the income statement and were classified as equity on the balance sheet.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2019, March 31, 2019 and December 31, 2018, the Company fair valued the earn-out milestone liability at $5.9 million, $5.8 million and $8.9 million, respectively and recognized a non-cash charge for the three month period ended June 30, 2019 and a non-cash benefit of $3.0 million for the six month period ended June 30, 2019. In assessing the earnout milestone liability at March 31, 2019 and June 30, 2019, the Company the fair valued each of the two payment options per the Amended Asset Purchase Agreement and weighted them at 80% and 20% probability for the $7.0 million and the $12.4 million payments,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March 31, 2018, and December 31, 2017, the Company fair valued these milestones at $13.1 million, $12.8 million and $12.5 million, respectively, and recognized a non-cash charge of $270,195 and 547,324 during the three and six-month periods ended June 30, 2018, respectively, as a result of the change in the fair value of these milestones from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3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(8,907,664)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Non-cash gain from the adjustment for the change in fair value</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3,002,939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7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(5,904,725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240" w:type="dxa"/>
            <w:vAlign w:val="bottom"/>
            <w:gridSpan w:val="8"/>
            <w:vMerge w:val="restart"/>
          </w:tcPr>
          <w:p>
            <w:pPr>
              <w:spacing w:after="0"/>
              <w:rPr>
                <w:sz w:val="20"/>
                <w:szCs w:val="20"/>
                <w:color w:val="auto"/>
              </w:rPr>
            </w:pPr>
            <w:r>
              <w:rPr>
                <w:rFonts w:ascii="Arial" w:cs="Arial" w:eastAsia="Arial" w:hAnsi="Arial"/>
                <w:sz w:val="18"/>
                <w:szCs w:val="18"/>
                <w:color w:val="auto"/>
              </w:rPr>
              <w:t>The following is a schedule of the Company’s risk-adjustment assessment of each milestone:</w:t>
            </w:r>
          </w:p>
        </w:tc>
        <w:tc>
          <w:tcPr>
            <w:tcW w:w="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8"/>
            <w:vMerge w:val="continue"/>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tcPr>
          <w:p>
            <w:pPr>
              <w:jc w:val="center"/>
              <w:ind w:left="190"/>
              <w:spacing w:after="0"/>
              <w:rPr>
                <w:sz w:val="20"/>
                <w:szCs w:val="20"/>
                <w:color w:val="auto"/>
              </w:rPr>
            </w:pPr>
            <w:r>
              <w:rPr>
                <w:rFonts w:ascii="Arial" w:cs="Arial" w:eastAsia="Arial" w:hAnsi="Arial"/>
                <w:sz w:val="18"/>
                <w:szCs w:val="18"/>
                <w:b w:val="1"/>
                <w:bCs w:val="1"/>
                <w:color w:val="auto"/>
                <w:w w:val="87"/>
              </w:rPr>
              <w:t>Risk-adjustment Assessment</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Estimated Time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gridSpan w:val="2"/>
          </w:tcPr>
          <w:p>
            <w:pPr>
              <w:ind w:left="860"/>
              <w:spacing w:after="0"/>
              <w:rPr>
                <w:sz w:val="20"/>
                <w:szCs w:val="20"/>
                <w:color w:val="auto"/>
              </w:rPr>
            </w:pPr>
            <w:r>
              <w:rPr>
                <w:rFonts w:ascii="Arial" w:cs="Arial" w:eastAsia="Arial" w:hAnsi="Arial"/>
                <w:sz w:val="18"/>
                <w:szCs w:val="18"/>
                <w:color w:val="auto"/>
              </w:rPr>
              <w:t>Date</w:t>
            </w:r>
          </w:p>
        </w:tc>
        <w:tc>
          <w:tcPr>
            <w:tcW w:w="304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of achieving each Milestone</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gridSpan w:val="2"/>
          </w:tcPr>
          <w:p>
            <w:pPr>
              <w:ind w:left="460"/>
              <w:spacing w:after="0"/>
              <w:rPr>
                <w:sz w:val="20"/>
                <w:szCs w:val="20"/>
                <w:color w:val="auto"/>
              </w:rPr>
            </w:pPr>
            <w:r>
              <w:rPr>
                <w:rFonts w:ascii="Arial" w:cs="Arial" w:eastAsia="Arial" w:hAnsi="Arial"/>
                <w:sz w:val="18"/>
                <w:szCs w:val="18"/>
                <w:color w:val="auto"/>
              </w:rPr>
              <w:t>Discount Rate</w:t>
            </w:r>
          </w:p>
        </w:tc>
        <w:tc>
          <w:tcPr>
            <w:tcW w:w="9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to Achieve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2019</w:t>
            </w:r>
          </w:p>
        </w:tc>
        <w:tc>
          <w:tcPr>
            <w:tcW w:w="304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4"/>
              </w:rPr>
              <w:t>80%</w:t>
            </w:r>
          </w:p>
        </w:tc>
        <w:tc>
          <w:tcPr>
            <w:tcW w:w="2560" w:type="dxa"/>
            <w:vAlign w:val="bottom"/>
            <w:gridSpan w:val="3"/>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0.75 to 1.75 years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3040" w:type="dxa"/>
            <w:vAlign w:val="bottom"/>
          </w:tcPr>
          <w:p>
            <w:pPr>
              <w:jc w:val="center"/>
              <w:ind w:left="330"/>
              <w:spacing w:after="0"/>
              <w:rPr>
                <w:sz w:val="20"/>
                <w:szCs w:val="20"/>
                <w:color w:val="auto"/>
              </w:rPr>
            </w:pPr>
            <w:r>
              <w:rPr>
                <w:rFonts w:ascii="Arial" w:cs="Arial" w:eastAsia="Arial" w:hAnsi="Arial"/>
                <w:sz w:val="18"/>
                <w:szCs w:val="18"/>
                <w:color w:val="auto"/>
                <w:w w:val="94"/>
              </w:rPr>
              <w:t>80%</w:t>
            </w:r>
          </w:p>
        </w:tc>
        <w:tc>
          <w:tcPr>
            <w:tcW w:w="2560" w:type="dxa"/>
            <w:vAlign w:val="bottom"/>
            <w:gridSpan w:val="3"/>
          </w:tcPr>
          <w:p>
            <w:pPr>
              <w:jc w:val="right"/>
              <w:ind w:right="69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1.00 to 2.00 years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304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4"/>
              </w:rPr>
              <w:t>80%</w:t>
            </w:r>
          </w:p>
        </w:tc>
        <w:tc>
          <w:tcPr>
            <w:tcW w:w="2560" w:type="dxa"/>
            <w:vAlign w:val="bottom"/>
            <w:gridSpan w:val="3"/>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1.25 years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2019</w:t>
            </w:r>
          </w:p>
        </w:tc>
        <w:tc>
          <w:tcPr>
            <w:tcW w:w="304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2"/>
              </w:rPr>
              <w:t>35% to 80%</w:t>
            </w:r>
          </w:p>
        </w:tc>
        <w:tc>
          <w:tcPr>
            <w:tcW w:w="2560" w:type="dxa"/>
            <w:vAlign w:val="bottom"/>
            <w:gridSpan w:val="3"/>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0.83 to 1.00 years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3040" w:type="dxa"/>
            <w:vAlign w:val="bottom"/>
          </w:tcPr>
          <w:p>
            <w:pPr>
              <w:jc w:val="center"/>
              <w:ind w:left="330"/>
              <w:spacing w:after="0"/>
              <w:rPr>
                <w:sz w:val="20"/>
                <w:szCs w:val="20"/>
                <w:color w:val="auto"/>
              </w:rPr>
            </w:pPr>
            <w:r>
              <w:rPr>
                <w:rFonts w:ascii="Arial" w:cs="Arial" w:eastAsia="Arial" w:hAnsi="Arial"/>
                <w:sz w:val="18"/>
                <w:szCs w:val="18"/>
                <w:color w:val="auto"/>
                <w:w w:val="92"/>
              </w:rPr>
              <w:t>35% to 80%</w:t>
            </w:r>
          </w:p>
        </w:tc>
        <w:tc>
          <w:tcPr>
            <w:tcW w:w="2560" w:type="dxa"/>
            <w:vAlign w:val="bottom"/>
            <w:gridSpan w:val="3"/>
          </w:tcPr>
          <w:p>
            <w:pPr>
              <w:jc w:val="right"/>
              <w:ind w:right="69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1.08 to 1.25 years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04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2"/>
              </w:rPr>
              <w:t>35% to 80%</w:t>
            </w:r>
          </w:p>
        </w:tc>
        <w:tc>
          <w:tcPr>
            <w:tcW w:w="2560" w:type="dxa"/>
            <w:vAlign w:val="bottom"/>
            <w:gridSpan w:val="3"/>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1.33 to 1.50 years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25</w:t>
            </w:r>
          </w:p>
        </w:tc>
        <w:tc>
          <w:tcPr>
            <w:tcW w:w="1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14.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all warrant activity for the six months ended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Number of Warrants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41"/>
        </w:trPr>
        <w:tc>
          <w:tcPr>
            <w:tcW w:w="5620" w:type="dxa"/>
            <w:vAlign w:val="bottom"/>
            <w:gridSpan w:val="3"/>
          </w:tcPr>
          <w:p>
            <w:pPr>
              <w:spacing w:after="0"/>
              <w:rPr>
                <w:sz w:val="20"/>
                <w:szCs w:val="20"/>
                <w:color w:val="auto"/>
              </w:rPr>
            </w:pPr>
            <w:r>
              <w:rPr>
                <w:rFonts w:ascii="Arial" w:cs="Arial" w:eastAsia="Arial" w:hAnsi="Arial"/>
                <w:sz w:val="18"/>
                <w:szCs w:val="18"/>
                <w:color w:val="auto"/>
              </w:rPr>
              <w:t>Warrants</w:t>
            </w: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Issued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December 31, 2018</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Warrants issued during the six months ended June 30, 2019 (see Note 13)</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expired during the six months ended June 30, 2019</w:t>
            </w:r>
          </w:p>
        </w:tc>
        <w:tc>
          <w:tcPr>
            <w:tcW w:w="1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(1,167,064)</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Warrants outstanding at June 30, 2019</w:t>
            </w:r>
          </w:p>
        </w:tc>
        <w:tc>
          <w:tcPr>
            <w:tcW w:w="1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June 30, 2019</w:t>
            </w:r>
          </w:p>
        </w:tc>
        <w:tc>
          <w:tcPr>
            <w:tcW w:w="1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w w:val="99"/>
              </w:rPr>
              <w:t>Schedule of weighted average remaining contractual terms at June 30,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Number of Warrants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 Terms</w:t>
            </w:r>
          </w:p>
        </w:tc>
        <w:tc>
          <w:tcPr>
            <w:tcW w:w="0" w:type="dxa"/>
            <w:vAlign w:val="bottom"/>
          </w:tcPr>
          <w:p>
            <w:pPr>
              <w:spacing w:after="0"/>
              <w:rPr>
                <w:sz w:val="1"/>
                <w:szCs w:val="1"/>
                <w:color w:val="auto"/>
              </w:rPr>
            </w:pPr>
          </w:p>
        </w:tc>
      </w:tr>
      <w:tr>
        <w:trPr>
          <w:trHeight w:val="241"/>
        </w:trPr>
        <w:tc>
          <w:tcPr>
            <w:tcW w:w="5380" w:type="dxa"/>
            <w:vAlign w:val="bottom"/>
            <w:gridSpan w:val="2"/>
          </w:tcPr>
          <w:p>
            <w:pPr>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9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Issued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provided to EGWU, Inc (Note 13)</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200,000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 expiration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warrants outstanding</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426,098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 years</w:t>
            </w: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Note 15. Leases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had an initial term of 66 months. In late 2015, Lenox Drive Office Park LLC, purchased the real estate and office building and assumed the Lease. This Lease was set to expire on April 30, 2017. In April 2017, the Company and the landlord amended the Lease effective May 1,</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2017.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extended the term of the agreement for an additional 64 months, reduced the premises to 7,565 square feet, reduced the monthly rent and provided four months free rent. The monthly rent ranged from approximately $18,900 in the first year to approximately $20,500 in the final</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year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The Company also had a one-time option to cancel the lease as of the 40th month after the commencement date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and must provide the landlord notice by the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of the lease. Effective January 9, 2019, the Company amended the current terms of</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Lease Amendment to increase the size of the premises by 2,285 square feet to 9,850 square feet and also extended the lease term by one year to September 1, 2023. In conjunction with this 2nd Lease Amendment, we agreed to modify our one-time option to cancel the lease as of the end of August 2021 and we must provide notice to the landlord by the end of August 2020. The monthly rent will range from approximately $25,035 in the first year to approximately $27,088 in the final year of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Lease Amendment.</w:t>
      </w:r>
    </w:p>
    <w:p>
      <w:pPr>
        <w:spacing w:after="0" w:line="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both"/>
        <w:spacing w:after="0" w:line="283" w:lineRule="auto"/>
        <w:rPr>
          <w:sz w:val="20"/>
          <w:szCs w:val="20"/>
          <w:color w:val="auto"/>
        </w:rPr>
      </w:pPr>
      <w:r>
        <w:rPr>
          <w:rFonts w:ascii="Arial" w:cs="Arial" w:eastAsia="Arial" w:hAnsi="Arial"/>
          <w:sz w:val="16"/>
          <w:szCs w:val="16"/>
          <w:color w:val="auto"/>
        </w:rPr>
        <w:t>As previously mentioned in Note 4, we adopted ASC Topic 842 on January 1, 2019 using the modified retrospective transition method for all lease arrangements at the beginning of the period of adoption. Results for reporting periods beginning January 1, 2019 are presented under ASC 842, while prior period amounts were not adjusted and continue to be reported in accordance with our historic accounting under Topic 840, Leases. The standard had a material impact on our Consolidated Condensed Balance Sheet but had no impact on our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 (iii) operating lease liabilities. Therefore, on date of adoption of ASC Topic 842, the Company recognized a ROU asset of $1.4 million, operating lease liabilities, current and non-current collectively, of $1.5 million and reduced other liabilities by approximately $0.1 million. We elected the package of practical expedients for leases that commenced before the effective date of ASC Topic 842 whereby we elected to not reassess the following: (i) whether any expired or existing contracts contain leases; (ii) the lease classification for any expired or existing leases; and (iii) initial direct costs for any existing leases. In addition, we have lease agreements with lease and non-lease components, and we have elected the practical expedient for all underlying asset classes and account for them as a single lease component. We have no finance leases. We determine if an arrangement is a lease at inception. We have operating leases for office space and research and development facilities. Neither of our leases include options to renew, however, one contains an option for early termination. We considered the option of early termination in measurement of right-of-use assets and lease liabilities and we determined it is not reasonably certain to be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terminated. In connection with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w w:val="96"/>
              </w:rPr>
              <w:t>Following is a table of the lease payments and maturity of our operating lease liabilities as of June 30, 2019:</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For the year ending</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261,263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525,809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535,579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 and thereafter</w:t>
            </w:r>
          </w:p>
        </w:tc>
        <w:tc>
          <w:tcPr>
            <w:tcW w:w="4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Subtotal future lease payments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2,086,502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(376,736)</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1,709,766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vMerge w:val="continue"/>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life</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 years</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three-month and six-month periods ended June 30, 2019, operating lease cost was $130,595 and $261,190, respectively. During the three-month and six-month periods ended June 30, 2019, cash paid for operating leases included in operating cash flows was $118,415 and 224,585, respectively. For the three-month and six-month periods ended June 30, 2018, operating lease cost was $109,554 and 224,553 respectively. During the three-month and six-month periods ended June 30, 2018, cash paid for operating leases included in operating cash flows was $111,662 and $228,138,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7, 2012, the Company entered into a long-term commercial supply agreement with Zhejiang Hisun Pharmaceutical Co. Ltd. (Hisun) for the production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manufacture of ThermoDox</w:t>
      </w:r>
      <w:r>
        <w:rPr>
          <w:rFonts w:ascii="Arial" w:cs="Arial" w:eastAsia="Arial" w:hAnsi="Arial"/>
          <w:sz w:val="26"/>
          <w:szCs w:val="26"/>
          <w:color w:val="auto"/>
          <w:vertAlign w:val="superscript"/>
        </w:rPr>
        <w:t>®</w:t>
      </w:r>
      <w:r>
        <w:rPr>
          <w:rFonts w:ascii="Arial" w:cs="Arial" w:eastAsia="Arial" w:hAnsi="Arial"/>
          <w:sz w:val="16"/>
          <w:szCs w:val="16"/>
          <w:color w:val="auto"/>
        </w:rPr>
        <w:t>. Celsion will repay Hisun for the aggregate amount of these development costs and fees commencing on the successful completion of three registration batches of ThermoDox</w:t>
      </w:r>
      <w:r>
        <w:rPr>
          <w:rFonts w:ascii="Arial" w:cs="Arial" w:eastAsia="Arial" w:hAnsi="Arial"/>
          <w:sz w:val="26"/>
          <w:szCs w:val="26"/>
          <w:color w:val="auto"/>
          <w:vertAlign w:val="superscript"/>
        </w:rPr>
        <w:t>®</w:t>
      </w:r>
      <w:r>
        <w:rPr>
          <w:rFonts w:ascii="Arial" w:cs="Arial" w:eastAsia="Arial" w:hAnsi="Arial"/>
          <w:sz w:val="16"/>
          <w:szCs w:val="16"/>
          <w:color w:val="auto"/>
        </w:rPr>
        <w:t>. Hisun is also obligated to certain performance requirements under the agreement. The agreement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will initially be limited to a percentage of the production requirements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with Hisun retaining an option for additional global supply after local regulatory approval in the China territory. In addition, Hisun will collaborate with Celsion around the regulatory approval activities</w:t>
      </w:r>
    </w:p>
    <w:p>
      <w:pPr>
        <w:jc w:val="both"/>
        <w:spacing w:after="0" w:line="221" w:lineRule="auto"/>
        <w:rPr>
          <w:sz w:val="20"/>
          <w:szCs w:val="20"/>
          <w:color w:val="auto"/>
        </w:rPr>
      </w:pPr>
      <w:r>
        <w:rPr>
          <w:rFonts w:ascii="Arial" w:cs="Arial" w:eastAsia="Arial" w:hAnsi="Arial"/>
          <w:sz w:val="18"/>
          <w:szCs w:val="18"/>
          <w:color w:val="auto"/>
        </w:rPr>
        <w:t>for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with the China State Food and Drug Administration (CHINA FDA). During the first quarter of 2015, Hisun completed the successful manufacture of three registration batches of ThermoDox</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8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other activities to further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jc w:val="both"/>
        <w:ind w:right="20"/>
        <w:spacing w:after="0" w:line="205" w:lineRule="auto"/>
        <w:rPr>
          <w:sz w:val="20"/>
          <w:szCs w:val="20"/>
          <w:color w:val="auto"/>
        </w:rPr>
      </w:pPr>
      <w:r>
        <w:rPr>
          <w:rFonts w:ascii="Arial" w:cs="Arial" w:eastAsia="Arial" w:hAnsi="Arial"/>
          <w:sz w:val="18"/>
          <w:szCs w:val="18"/>
          <w:color w:val="auto"/>
        </w:rPr>
        <w:t>time as the parties find a mutually acceptable path forward on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cooperation for the continued clinical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as well as the technology transfer relating to the commercial manufacture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980" w:hanging="648"/>
        <w:spacing w:after="0" w:line="277" w:lineRule="auto"/>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74" w:lineRule="exact"/>
        <w:rPr>
          <w:rFonts w:ascii="Arial" w:cs="Arial" w:eastAsia="Arial" w:hAnsi="Arial"/>
          <w:sz w:val="18"/>
          <w:szCs w:val="18"/>
          <w:b w:val="1"/>
          <w:bCs w:val="1"/>
          <w:color w:val="auto"/>
        </w:rPr>
      </w:pPr>
    </w:p>
    <w:p>
      <w:pPr>
        <w:ind w:left="980" w:hanging="648"/>
        <w:spacing w:after="0" w:line="186" w:lineRule="auto"/>
        <w:tabs>
          <w:tab w:leader="none" w:pos="980" w:val="left"/>
        </w:tabs>
        <w:numPr>
          <w:ilvl w:val="0"/>
          <w:numId w:val="7"/>
        </w:numPr>
        <w:rPr>
          <w:rFonts w:ascii="Arial" w:cs="Arial" w:eastAsia="Arial" w:hAnsi="Arial"/>
          <w:sz w:val="36"/>
          <w:szCs w:val="36"/>
          <w:b w:val="1"/>
          <w:bCs w:val="1"/>
          <w:color w:val="auto"/>
          <w:vertAlign w:val="superscript"/>
        </w:rPr>
      </w:pPr>
      <w:r>
        <w:rPr>
          <w:rFonts w:ascii="Arial" w:cs="Arial" w:eastAsia="Arial" w:hAnsi="Arial"/>
          <w:sz w:val="18"/>
          <w:szCs w:val="18"/>
          <w:color w:val="auto"/>
        </w:rPr>
        <w:t>Hisun will coordinate with the Company around the clinical and regulatory approval activities for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as well as other liposomal formations with the CHINA FDA; and</w:t>
      </w:r>
    </w:p>
    <w:p>
      <w:pPr>
        <w:spacing w:after="0" w:line="207" w:lineRule="exact"/>
        <w:rPr>
          <w:rFonts w:ascii="Arial" w:cs="Arial" w:eastAsia="Arial" w:hAnsi="Arial"/>
          <w:sz w:val="36"/>
          <w:szCs w:val="36"/>
          <w:b w:val="1"/>
          <w:bCs w:val="1"/>
          <w:color w:val="auto"/>
          <w:vertAlign w:val="superscript"/>
        </w:rPr>
      </w:pPr>
    </w:p>
    <w:p>
      <w:pPr>
        <w:ind w:left="980" w:right="20" w:hanging="648"/>
        <w:spacing w:after="0" w:line="186" w:lineRule="auto"/>
        <w:tabs>
          <w:tab w:leader="none" w:pos="980" w:val="left"/>
        </w:tabs>
        <w:numPr>
          <w:ilvl w:val="0"/>
          <w:numId w:val="7"/>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Hisun will be granted a right of </w:t>
      </w:r>
      <w:r>
        <w:rPr>
          <w:rFonts w:ascii="Arial" w:cs="Arial" w:eastAsia="Arial" w:hAnsi="Arial"/>
          <w:sz w:val="18"/>
          <w:szCs w:val="18"/>
          <w:i w:val="1"/>
          <w:iCs w:val="1"/>
          <w:color w:val="auto"/>
        </w:rPr>
        <w:t>first</w:t>
      </w:r>
      <w:r>
        <w:rPr>
          <w:rFonts w:ascii="Arial" w:cs="Arial" w:eastAsia="Arial" w:hAnsi="Arial"/>
          <w:sz w:val="18"/>
          <w:szCs w:val="18"/>
          <w:color w:val="auto"/>
        </w:rPr>
        <w:t xml:space="preserve"> offer for a commercial license to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sale and distribution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China territory.</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GEN- 1, Celsion’s proprietary gene mediated, IL- 12 immunotherapy, for the greater China territory, with the option to expand into other countries in the rest of the world after all necessary regulatory approvals are in effect. The GEN- 1 Agreement will help to support supply for both ongoing and planned clinical studies in the U.S., and for potential future studies of GEN- 1 in China. GEN- 1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980" w:right="20" w:hanging="648"/>
        <w:spacing w:after="0" w:line="277"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980" w:hanging="648"/>
        <w:spacing w:after="0"/>
        <w:tabs>
          <w:tab w:leader="none" w:pos="9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once approved, the cost structure for GEN-1 will support rapid market adoption and significant gross margins across global markets;</w:t>
      </w:r>
    </w:p>
    <w:p>
      <w:pPr>
        <w:spacing w:after="0" w:line="236" w:lineRule="exact"/>
        <w:rPr>
          <w:rFonts w:ascii="Arial" w:cs="Arial" w:eastAsia="Arial" w:hAnsi="Arial"/>
          <w:sz w:val="17"/>
          <w:szCs w:val="17"/>
          <w:b w:val="1"/>
          <w:bCs w:val="1"/>
          <w:color w:val="auto"/>
        </w:rPr>
      </w:pPr>
    </w:p>
    <w:p>
      <w:pPr>
        <w:ind w:left="980" w:hanging="648"/>
        <w:spacing w:after="0" w:line="277"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980" w:right="20" w:hanging="648"/>
        <w:spacing w:after="0" w:line="277"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CHINA FDA for site approval; and</w:t>
      </w:r>
    </w:p>
    <w:p>
      <w:pPr>
        <w:spacing w:after="0" w:line="170" w:lineRule="exact"/>
        <w:rPr>
          <w:rFonts w:ascii="Arial" w:cs="Arial" w:eastAsia="Arial" w:hAnsi="Arial"/>
          <w:sz w:val="18"/>
          <w:szCs w:val="18"/>
          <w:b w:val="1"/>
          <w:bCs w:val="1"/>
          <w:color w:val="auto"/>
        </w:rPr>
      </w:pPr>
    </w:p>
    <w:p>
      <w:pPr>
        <w:ind w:left="980" w:hanging="648"/>
        <w:spacing w:after="0" w:line="277"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CHINA FDA. A local China partner affords Celsion access to accelerated CHINA FDA review and potential regulatory exclusivity for the approved indication.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397"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for the fiscal year ended December 31, 2018 filed with the SEC on March 29, 2019,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Celsion is a fully-integrated development clinical stage oncology drug company focused on advancing innovative cancer treatments, including directed chemotherapies, DNA-mediated immunotherapy and RNA based therapies. Our lead product candidate is ThermoDox®, a proprietary heat-activated liposomal encapsulation of doxorubicin, currently in a Phase III clinical trial for the treatment of primary liver cancer (the “OPTIMA Study”). Second in our pipeline is GEN-1, a DNA-mediated immunotherapy for the localized treatment of ovarian cancer. These investigational products are based on technologies that provide the platform for the future development of a range of therapeutics for difficult-to-treat forms of cancer. The first technology is Lysolipid Thermally Sensitive Liposomes, a heat sensitive liposomal based dosage form that targets disease with known chemotherapeutics in the presence of mild heat. The second technology is TheraPlas, a novel nucleic acid-based treatment for local transfection of therapeutic DNA plasmids. With these technologies we are working to develop and commercialize more efficient, effective and targeted oncology therapies that maximize efficacy while minimizing side effects common to cancer treatments.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ThermoDox® is being evaluated in a Phase III clinical trial for primary liver cancer, which we call the OPTIMA Study, which was initiated in 2014.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RFA, for newly diagnosed,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intermediate stage HCC patients. HCC incidence globally is approximately 755,000 new cases per year and is the third largest cancer indication globally. Approximately 30% of newly diagnosed patients can be addressed with RFA.</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24, 2014, we announced that the United States Food and Drug Administration (the “FDA”)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(the “HEAT Study”). The OPTIMA Study is supported by a hypothesis developed from an overall survival analysis of a large subgroup of patients from the HEAT Study.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OPTIMA Study was designed with extensive input from globally recognized HCC researchers and expert clinicians and after receiving formal written feedback from the FDA. The OPTIMA Study was designed to enroll up to 550 patients globally at approximately 65 clinical sites in the U.S., Canada, European Union (EU),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Post-hoc data analysis from our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two-year survival benefit over the optimized RFA group (projected to be greater than 80 months for the ThermoDox® plus optimized RFA group compared to less than 60 months projection for the optimized RFA only group).</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completed enrollment of 556 patients in the Phase III OPTIMA Study in August 2018. Data for the study will be reviewed as it matures up to two interim analyses expected to be conducted in the second half of 2019 and in the first half of 2020. We expect that the final efficacy analysis, if necessary, will be completed in the first half of 2021. If the study proves to provide a clinically meaningful improvement in overall survival, Celsion will immediately apply for marketing authorization in the US, Europe and China. ThermoDox® has received U.S. FDA Fast Track Designation and has been granted orphan drug designation for primary liver cancer in both the U.S. and the EU. Additionally, the U.S. FDA has provided ThermoDox® with a 505(b)(2) registration pathway. Subject to a successful trial, the OPTIMA Study has been designed to support registration in all key primary liver cancer markets. We fully expect to submit registrational applications in the U.S., Europe and China. We expect to submit and believes that applications will be accepted in South Korea, Taiwan and Vietnam, three other significant markets for ThermoDox® if it were to receive approval in Europe, China or the U.S.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18, 2018, we announced that the DMC for the OPTIMA Study completed its last scheduled review of all patients enrolled in the trial and unanimously recommended that the OPTIMA Study continue according to protocol to its final data readout. The DMC’s recommendation was based on the Committee’s assessment of safety and data integrity of all patients randomized in the trial as of October 4, 2018. The DMC reviewed study data at regular intervals throughout the patient enrollment period, with the primary responsibilities of ensuring the safety of all patients enrolled in the study, the quality of the data collected, and the continued scientific validity of the study design. As part of its review of all 556 patients enrolled into the trial, the DMC evaluated a quality matrix relating to the total clinical data set, confirming the timely collection of data, that all data are current as well as other data collection and quality criteria.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both"/>
        <w:spacing w:after="0" w:line="270" w:lineRule="auto"/>
        <w:rPr>
          <w:sz w:val="20"/>
          <w:szCs w:val="20"/>
          <w:color w:val="auto"/>
        </w:rPr>
      </w:pPr>
      <w:r>
        <w:rPr>
          <w:rFonts w:ascii="Arial" w:cs="Arial" w:eastAsia="Arial" w:hAnsi="Arial"/>
          <w:sz w:val="17"/>
          <w:szCs w:val="17"/>
          <w:color w:val="auto"/>
        </w:rPr>
        <w:t>On August 5, 2019, the Company announced that the prescribed number of events has been reached for the first prespecified interim analysis of the OPTIMA Phase III Study with ThermoDox® plus RFA in patients with HCC, or primary liver cancer. Following preparation of the data, the first interim analysis will be conducted by the Independent Data Monitoring Committee (iDMC). The Company expects the iDMC meeting to occur by mid-October. This timeline is consistent with the Company’s stated expectations and is necessary to provide a full and comprehensive data set that may represent the potential for a successful trial outcome. Celsion expects to announce iDMC recommendations as soon as possible after the meeting. In accordance with the statistical plan, this initial interim analysis has a target of 118 events, or 60% of the total number required for the final analysis. At the time of the data cutoff, the Company received reports of 128 events. The hazard ratio for success at 128 events is approximately 0.63, which represents a 37% reduction in the risk of death compared with RFA alone and is consistent with the 0.65 hazard ratio that was observed in the prospective HEAT Study subgroup, which demonstrated a two-year overall survival advantage and a median time to death of more than seven and a half years.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August 13, 2019, the Company announced that results from an independent analysis of the Company’s ThermoDox</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HEAT Study conducted by the National Institutes of Health (NIH) were published in the peer-reviewed publication, </w:t>
      </w:r>
      <w:r>
        <w:rPr>
          <w:rFonts w:ascii="Arial" w:cs="Arial" w:eastAsia="Arial" w:hAnsi="Arial"/>
          <w:sz w:val="16"/>
          <w:szCs w:val="16"/>
          <w:i w:val="1"/>
          <w:iCs w:val="1"/>
          <w:color w:val="auto"/>
        </w:rPr>
        <w:t>Journal of Vascular and Interventional Radiology</w:t>
      </w:r>
      <w:r>
        <w:rPr>
          <w:rFonts w:ascii="Arial" w:cs="Arial" w:eastAsia="Arial" w:hAnsi="Arial"/>
          <w:sz w:val="16"/>
          <w:szCs w:val="16"/>
          <w:color w:val="auto"/>
        </w:rPr>
        <w:t>. The analysis was conducted by the intramural research program of the NIH and the NIH Center for Interventional Oncology (CIO), with the full data set from the Company’s HEAT Study. The analysis evaluated the full data set to determine if there was a correlation between baseline tumor volume and radiofrequency ablation (RFA) heating time (minutes/tumor volume in milliliters), with or without ThermoDox® treatment, for patients with HCC. The NIH analysis was conducted under the direction of Dr. Bradford Wood, MD, Director, NIH Center for Interventional Oncology and Chief, NIH Clinical Center Interventional Radiology.</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article titled, “</w:t>
      </w:r>
      <w:r>
        <w:rPr>
          <w:rFonts w:ascii="Arial" w:cs="Arial" w:eastAsia="Arial" w:hAnsi="Arial"/>
          <w:sz w:val="19"/>
          <w:szCs w:val="19"/>
          <w:i w:val="1"/>
          <w:iCs w:val="1"/>
          <w:color w:val="auto"/>
        </w:rPr>
        <w:t>RFA Duration Per Tumor Volume May Correlate With Overall Survival in Solitary Hepatocellular Carcinoma</w:t>
      </w:r>
      <w:r>
        <w:rPr>
          <w:rFonts w:ascii="Arial" w:cs="Arial" w:eastAsia="Arial" w:hAnsi="Arial"/>
          <w:sz w:val="19"/>
          <w:szCs w:val="19"/>
          <w:color w:val="auto"/>
        </w:rPr>
        <w:t xml:space="preserve"> </w:t>
      </w:r>
      <w:r>
        <w:rPr>
          <w:rFonts w:ascii="Arial" w:cs="Arial" w:eastAsia="Arial" w:hAnsi="Arial"/>
          <w:sz w:val="19"/>
          <w:szCs w:val="19"/>
          <w:i w:val="1"/>
          <w:iCs w:val="1"/>
          <w:color w:val="auto"/>
        </w:rPr>
        <w:t>Patients Treated With RFA Plus Lyso-thermosensitive Liposomal Doxorubicin</w:t>
      </w:r>
      <w:r>
        <w:rPr>
          <w:rFonts w:ascii="Arial" w:cs="Arial" w:eastAsia="Arial" w:hAnsi="Arial"/>
          <w:sz w:val="19"/>
          <w:szCs w:val="19"/>
          <w:color w:val="auto"/>
        </w:rPr>
        <w:t>,” discussed the NIH analysis of results from 437</w:t>
      </w:r>
      <w:r>
        <w:rPr>
          <w:rFonts w:ascii="Arial" w:cs="Arial" w:eastAsia="Arial" w:hAnsi="Arial"/>
          <w:sz w:val="19"/>
          <w:szCs w:val="19"/>
          <w:i w:val="1"/>
          <w:iCs w:val="1"/>
          <w:color w:val="auto"/>
        </w:rPr>
        <w:t xml:space="preserve"> </w:t>
      </w:r>
      <w:r>
        <w:rPr>
          <w:rFonts w:ascii="Arial" w:cs="Arial" w:eastAsia="Arial" w:hAnsi="Arial"/>
          <w:sz w:val="19"/>
          <w:szCs w:val="19"/>
          <w:color w:val="auto"/>
        </w:rPr>
        <w:t>patients in the HEAT Study (all patients with a single lesion representing 62.4% of the study population). The key finding was that increased RFA heating time per tumor volume significantly improved overall survival (OS) in patients with single-lesion HCC who</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were treated with RFA plus ThermoDox</w:t>
      </w:r>
      <w:r>
        <w:rPr>
          <w:rFonts w:ascii="Arial" w:cs="Arial" w:eastAsia="Arial" w:hAnsi="Arial"/>
          <w:sz w:val="36"/>
          <w:szCs w:val="36"/>
          <w:color w:val="auto"/>
          <w:vertAlign w:val="superscript"/>
        </w:rPr>
        <w:t>®</w:t>
      </w:r>
      <w:r>
        <w:rPr>
          <w:rFonts w:ascii="Arial" w:cs="Arial" w:eastAsia="Arial" w:hAnsi="Arial"/>
          <w:sz w:val="22"/>
          <w:szCs w:val="22"/>
          <w:color w:val="auto"/>
        </w:rPr>
        <w:t>, compared to patients treated with RFA alone. A one-unit increase in RFA duration per tumor volume was shown to result in about a 20% improvement in OS for patients administered ThermoDox®, compared to RFA alone. The authors conclude that increasing RFA heating time in combination with ThermoDox® significantly improves OS and establishes an improvement of over two years versus the control arm when the heating time per milliliter of tumor is greater than 2.5 minutes. This finding is consistent with the Company’s own results, which defined the optimized RFA procedure as a 45-minute treatment for tumors with a diameter of 3 centimeters. Thus, the NIH analysis lends support to the hypothesis underpinning the OPTIMA Study.</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in the Phase III clinical trial enrolling 701 patients with primary liver cancer. This determination was made after conferring with the HEAT Study independent DMC,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EGEN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we completed the acquisition of substantially all of the assets of EGEN,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time of the acquisition, the total purchase price for the asset acquisition was up to $44.4 million, including potential future earnout payments of up to $30.4 million contingent upon achievement of certain earnout milestones set forth in the Asset Purchase Agreement. We paid approximately $3.0 million in cash after the expense adjustment and issued 241,590 shares of our common stock to EGEN. The shares of common stock were issued in a private transaction exempt from registration under the Securities Act, pursuant to Section 4 (2) thereof.</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28, 2019, the Company entered into an amendment to the Asset Purchase Agreement discussed in Note 8 (the “Amended Asset Purchase Agreement”) with EGWU, Inc. Pursuant to the Amended Asset Purchase Agreement, payment of the earnout milestone liability related to the Ovarian Cancer Indication of $12.4 million has been modified. The Company has the option to make the payment as follows:</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5620" w:right="1740" w:hanging="5288"/>
        <w:spacing w:after="0" w:line="528" w:lineRule="auto"/>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both"/>
        <w:spacing w:after="0" w:line="312"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this amended agreement. The warrant shares have no expiration and were fair valued at $2.00 using the closing price of a share of Celsion stock on the date of issuance offset by the exercise price and recorded as a non-cash expense in the income statement and were classified as equity on the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indefinite-lived intangible assets and will not be amortized. IPR&amp;D is reviewed for impairment at least annually as of our third quarter ended September 30, and whenever events or changes in circumstances indicate that the carrying value of the assets might not be recoverable. On December 31, 2016, the Company determined one of its IPR&amp;D assets related to its RNA delivery system was impaired and wrote off its fair value, incurring a non-cash charge of $1.4 million during 2016. During its annual assessments on September 30, 2017 and 2018, the Company determined its IPR&amp;D asset related to its glioblastoma multiforme cancer (GBM) product candidate, originally fair valued at $9.4 million on the date of acquisition, was impaired and wrote this asset’s carrying value down to $2.4 million collectively after those two assessments, incurring non-cash charges of $2.5 million and $4.5 million during 2017 and 2018, respectively. At September 30, 2018 and 2017, the Company evaluated its IPR&amp;D of the ovarian cancer indication and concluded that it is not more likely than not that the asset is impaired. As no other indicators of impairment existed during the fourth quarter of 2018 and thus far in 2019, the Company concluded none of the other IPR&amp;D assets were impaired at December 31, 2018 and June 30, 2019. The carrying amount of the ovarian cancer indication was $13.3 million at June 30, 2019 and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asset acquisition, has a definitive life and is amortized on a straight-line basis over its life of 7 years. The Company recognized amortization expense of $56,829 in each of the three-month periods ended June 30, 2019 and 2018. The Company recognized amortization expense of $113,658 in each of the six-month periods ended June 30, 2019 and 2018. The carrying value of the Covenant Not to Compete was $454,634, net of $1,136,580, as of June 30, 2019. The carrying value of the Covenant Not to Compete was $568,929, net of $1,022,922 in accumulated amortization expense, as of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ending on September 30 or sooner if we believe indicators of impairment exist. As of September 30, 2018, we concluded that the Company’s fair value exceeded its carrying value therefore “it is not more likely than not” that the Goodwill was impaired. As no other indicators of impairment existed during the fourth quarter of 2018 and thus far in 2019, the Company concluded it is “not more likely than not” Goodwill was impaired.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OVATION Study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2015, we announced that the FDA accepted, without objection, the Phase Ib dose-escalation clinical trial of GEN-1 in combination with the standard of care in neo-adjuvant ovarian cancer (the “OVATION Study”). On September 30, 2015, we announced enrollment of the first patient in the OVATION Study. The OVATION Study was designed (i) to identify a safe, tolerable and potentially therapeutically active dose of GEN-1 by recruiting and maximizing an immune response and (ii) to enroll three to six patients per dose level to evaluate safety and efficacy and attempt to define an optimal dose for a follow-on Phase II study. In addition, the OVATION Study establishes a unique opportunity to assess how cytokine-based compounds such as GEN-1 directly affect ovarian cancer cells and the tumor microenvironment in newly diagnosed patients. The study was designed to characterize the nature of the immune response triggered by GEN-1 at various levels of the patients’ immune system, including:</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 On October 3, 2017 and again on March 2, 2109, we announced final clinical and translational research data from the OVATION Study, a Phase Ib dose escalating clinical trial combining GEN-1 with the standard of care for the treatment of newly-diagnosed patients with advanced Stage III/IV ovarian cancer who will undergo neoadjuvant chemotherapy followed by interval debulking surgery.</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reported positive clinical data from the first fourteen patients who have completed treatment in the OVATION Study. GEN-1 plus standard chemotherapy produced positive clinical results, with no dose limiting toxicities and positive dose dependent efficacy signals which correlate well with</w:t>
      </w:r>
    </w:p>
    <w:p>
      <w:pPr>
        <w:jc w:val="both"/>
        <w:spacing w:after="0" w:line="217" w:lineRule="auto"/>
        <w:rPr>
          <w:sz w:val="20"/>
          <w:szCs w:val="20"/>
          <w:color w:val="auto"/>
        </w:rPr>
      </w:pPr>
      <w:r>
        <w:rPr>
          <w:rFonts w:ascii="Arial" w:cs="Arial" w:eastAsia="Arial" w:hAnsi="Arial"/>
          <w:sz w:val="18"/>
          <w:szCs w:val="18"/>
          <w:color w:val="auto"/>
        </w:rPr>
        <w:t>positive surgical outcomes. The OVATION Study evaluated escalating doses of GEN-1 (36 mg/m</w:t>
      </w:r>
      <w:r>
        <w:rPr>
          <w:rFonts w:ascii="Arial" w:cs="Arial" w:eastAsia="Arial" w:hAnsi="Arial"/>
          <w:sz w:val="30"/>
          <w:szCs w:val="30"/>
          <w:color w:val="auto"/>
          <w:vertAlign w:val="superscript"/>
        </w:rPr>
        <w:t>2</w:t>
      </w:r>
      <w:r>
        <w:rPr>
          <w:rFonts w:ascii="Arial" w:cs="Arial" w:eastAsia="Arial" w:hAnsi="Arial"/>
          <w:sz w:val="18"/>
          <w:szCs w:val="18"/>
          <w:color w:val="auto"/>
        </w:rPr>
        <w:t>, 47 mg/m</w:t>
      </w:r>
      <w:r>
        <w:rPr>
          <w:rFonts w:ascii="Arial" w:cs="Arial" w:eastAsia="Arial" w:hAnsi="Arial"/>
          <w:sz w:val="30"/>
          <w:szCs w:val="30"/>
          <w:color w:val="auto"/>
          <w:vertAlign w:val="superscript"/>
        </w:rPr>
        <w:t>2</w:t>
      </w:r>
      <w:r>
        <w:rPr>
          <w:rFonts w:ascii="Arial" w:cs="Arial" w:eastAsia="Arial" w:hAnsi="Arial"/>
          <w:sz w:val="18"/>
          <w:szCs w:val="18"/>
          <w:color w:val="auto"/>
        </w:rPr>
        <w:t>, 61 mg/m</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and 79 mg/m</w:t>
      </w:r>
      <w:r>
        <w:rPr>
          <w:rFonts w:ascii="Arial" w:cs="Arial" w:eastAsia="Arial" w:hAnsi="Arial"/>
          <w:sz w:val="30"/>
          <w:szCs w:val="30"/>
          <w:color w:val="auto"/>
          <w:vertAlign w:val="superscript"/>
        </w:rPr>
        <w:t>2</w:t>
      </w:r>
      <w:r>
        <w:rPr>
          <w:rFonts w:ascii="Arial" w:cs="Arial" w:eastAsia="Arial" w:hAnsi="Arial"/>
          <w:sz w:val="18"/>
          <w:szCs w:val="18"/>
          <w:color w:val="auto"/>
        </w:rPr>
        <w:t>) administered intraperitoneally in combination with three cycles of neoadjuvant chemotherapy prior to interval debulking surgery, followed by three cycles of NAC in the treatment of newly diagnosed patients with Stage III/IV ovarian cancer.</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Phase IB dose-escalation study, the 14 patients who were evaluable for response demonstrated median PFS of 21 months in patients treated per protocol and 17.1 months for the intent-to-treat population (n=18) for all dose cohorts, including three patients who dropped out of the study after 13 days or less, and two patients who did not receive full NAC and GEN-1 cycles. In addition, 100% of patients administered NAC plus the two higher doses of GEN-1 experienced an objective tumor response (defined as a partial or complete response) compared to only 60% of patients given the two lower doses. Pathological changes were assessed as part of the study, with the density of markers measured in tissue sections assessed via immunohistochemistry staining. Dose-limiting toxicity was not reached in the OVATION I Study.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OVATION 2 Study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130 patient randomized Phase II study. The study protocol is summarized below:</w:t>
      </w:r>
    </w:p>
    <w:p>
      <w:pPr>
        <w:spacing w:after="0" w:line="18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Open label, 1:1 randomized design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Enrollment up to 130 patients with Stage III/IV ovarian cancer patients at ten U.S. centers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Primary endpoint of improvement in progression-free survival (PFS) comparing GEN-1 with neoadjuvant chemotherapy versus neoadjuvant chemotherapy alone.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Technology Development and Licensing Agreements. </w:t>
      </w:r>
      <w:r>
        <w:rPr>
          <w:rFonts w:ascii="Arial" w:cs="Arial" w:eastAsia="Arial" w:hAnsi="Arial"/>
          <w:sz w:val="18"/>
          <w:szCs w:val="18"/>
          <w:color w:val="auto"/>
        </w:rPr>
        <w:t>Our current efforts and resources are applied on the development and commercialization of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including tumor-targeting chemotherapy treatments using focused heat energy in combination with heat-activated drug delivery systems, immunotherapies and RNA-based therapies.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8, 2016, we signed the GEN-1 Agreement with Hisun to pursue an expanded partnership for the technology transfer relating to the clinical and commercial manufacture and supply of GEN-1, Celsion’s proprietary gene mediated, IL-12 immunotherapy, for the China territory, with the option to expand into other countries in the rest of the world after all necessary regulatory approvals are obtained. The GEN-1 Agreement will help to support supply for both ongoing and planned clinical studies in the U.S. and for potential future studies of GEN-1 in China. GEN-1 is currently being evaluated by Celsion in first line ovarian cancer patients.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II, Item 1A. Risk Factors” in this Quarterly Report on Form 10-Q.</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FDA. We have not generated significant revenue and have incurred significant net losses in each year since our inception. As of June 30, 2019, we have incurred approximately $282 million of cumulative net losses. As of June 30, 2019, we had approximately $21.8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780" w:hanging="65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780" w:hanging="650"/>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780" w:hanging="65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8"/>
          <w:szCs w:val="18"/>
          <w:color w:val="auto"/>
        </w:rPr>
        <w:t>With $21.8 million in cash, investment securities and interest receivable at June 30, 2019 coupled with future sales of the Company’s New Jersey NOL’s and, as more fully described in Note 11, the remaining availability under the Capitol on Demand™ with JonesTrading Institutional Services LLC and the common stock purchase agreement with Aspire Capital Fund LLC, the Company believes it has sufficient capital resources to fund its operations into the first quarter of 2021. The Company will be required to obtain additional funding to continue development of its current product candidates within the anticipated time periods, if at all, and to continue to fund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and thus far in 2019, we entered into a $10 million loan facility and we issued a total of 3.7 million shares of common stock in the following equity transactions for an aggregate $5.5 million in gross proceeds.</w:t>
      </w:r>
    </w:p>
    <w:p>
      <w:pPr>
        <w:spacing w:after="0" w:line="170" w:lineRule="exact"/>
        <w:rPr>
          <w:sz w:val="20"/>
          <w:szCs w:val="20"/>
          <w:color w:val="auto"/>
        </w:rPr>
      </w:pPr>
    </w:p>
    <w:p>
      <w:pPr>
        <w:jc w:val="both"/>
        <w:ind w:left="780" w:hanging="650"/>
        <w:spacing w:after="0" w:line="255"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June 27, 2018, the Company entered into the Horizon Credit Agreement with Horizon that provided $10 million in new capital. The Company drew down $10 million upon closing of the Horizon Credit Agreement on June 27, 2018. The Company anticipates that it will use the funding provided under the Horizon Credit Agreement for working capital and advancement of its product pipeline. The obligations under the Horizon Credit Agreement are secured by a first-priority security interest in substantially all assets of Celsion other than intellectual property assets. The obligations will bear interest at a rate calculated based on one-month LIBOR plus 7.625%. Payments under the loan agreement are interest only for the first twenty-four (24) months after loan closing, followed by a 24-month amortization period of principal and interest through the scheduled maturity date.</w:t>
      </w:r>
    </w:p>
    <w:p>
      <w:pPr>
        <w:spacing w:after="0" w:line="189" w:lineRule="exact"/>
        <w:rPr>
          <w:rFonts w:ascii="Arial" w:cs="Arial" w:eastAsia="Arial" w:hAnsi="Arial"/>
          <w:sz w:val="18"/>
          <w:szCs w:val="18"/>
          <w:color w:val="auto"/>
        </w:rPr>
      </w:pPr>
    </w:p>
    <w:p>
      <w:pPr>
        <w:jc w:val="both"/>
        <w:ind w:left="780" w:hanging="650"/>
        <w:spacing w:after="0" w:line="268"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August 31, 2018, the Company entered into the Aspire Purchase Agreement with Aspire Capital Fund which provides that, upon the terms and subject to the conditions and limitations set forth therein, Aspire Capital is committed to purchase up to an aggregate of $15.0 million of shares of the Company’s common stock over the 24-month term of the Aspire Purchase Agreement. On October 12, 2018, the Company filed with the SEC a prospectus supplement to the 2018 Shelf Registration Statement registering all of the shares of common stock that may be offered to Aspire Capital from time to time.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 rights of first refusal, participation rights, penalties or liquidated damages in the Purchase Agreement. In consideration for entering into the Purchase Agreement, concurrently with the execution of the Purchase Agreement, the Company issued to Aspire Capital 164,835 Commitment Shares. The Aspire Purchase Agreement may be terminated by the Company at any time, at its discretion, without any cost to the Company. Any proceeds from the Company receives under the Aspire Purchase Agreement are expected to be used for working capital and general corporate purposes. During 2018 and as of June 30, 2019, the Company sold and issued an aggregate of 2.2 million shares under the Purchase Agreement, receiving approximately $4.5 million.</w:t>
      </w:r>
    </w:p>
    <w:p>
      <w:pPr>
        <w:spacing w:after="0" w:line="187" w:lineRule="exact"/>
        <w:rPr>
          <w:rFonts w:ascii="Arial" w:cs="Arial" w:eastAsia="Arial" w:hAnsi="Arial"/>
          <w:sz w:val="17"/>
          <w:szCs w:val="17"/>
          <w:color w:val="auto"/>
        </w:rPr>
      </w:pPr>
    </w:p>
    <w:p>
      <w:pPr>
        <w:jc w:val="both"/>
        <w:ind w:left="780" w:hanging="650"/>
        <w:spacing w:after="0" w:line="276"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October 29, 2018, the Company and certain investors holding warrants to purchase 1.6 million shares collectively of the Company’s common stock received in the February 27, 2017 Public Offering and the October 2017 Underwritten Offering, entered into warrant exchange agreements whereby the Company issued 820,714 shares collectively of common stock to these investors in exchange for the warrants. After the warrant exchange, warrants outstanding totaled 1.6 million with a weighted average exercise price of $5.75 per share. Approximately 1.2 million of these outstanding warrants with a strike price of $6.20 per share expired on April 4, 2019.</w:t>
      </w:r>
    </w:p>
    <w:p>
      <w:pPr>
        <w:spacing w:after="0" w:line="176" w:lineRule="exact"/>
        <w:rPr>
          <w:rFonts w:ascii="Arial" w:cs="Arial" w:eastAsia="Arial" w:hAnsi="Arial"/>
          <w:sz w:val="17"/>
          <w:szCs w:val="17"/>
          <w:color w:val="auto"/>
        </w:rPr>
      </w:pPr>
    </w:p>
    <w:p>
      <w:pPr>
        <w:jc w:val="both"/>
        <w:ind w:left="780" w:hanging="650"/>
        <w:spacing w:after="0" w:line="253" w:lineRule="auto"/>
        <w:tabs>
          <w:tab w:leader="none" w:pos="780" w:val="left"/>
        </w:tabs>
        <w:numPr>
          <w:ilvl w:val="0"/>
          <w:numId w:val="13"/>
        </w:numPr>
        <w:rPr>
          <w:rFonts w:ascii="Arial" w:cs="Arial" w:eastAsia="Arial" w:hAnsi="Arial"/>
          <w:sz w:val="34"/>
          <w:szCs w:val="34"/>
          <w:color w:val="auto"/>
          <w:vertAlign w:val="superscript"/>
        </w:rPr>
      </w:pPr>
      <w:r>
        <w:rPr>
          <w:rFonts w:ascii="Arial" w:cs="Arial" w:eastAsia="Arial" w:hAnsi="Arial"/>
          <w:sz w:val="17"/>
          <w:szCs w:val="17"/>
          <w:color w:val="auto"/>
        </w:rPr>
        <w:t>On December 4, 2018, the Company entered into a new Capital on Demand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Sales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 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the Company’s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 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 During 2018 and as of June 30, 2019, the Company sold and issued an aggregate of 259,961 shares under the Capital on Demand Agreement, receiving approximately $0.6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2018 Annual Report on Form 10-K for the year ended December 31, 2018 filed with the SEC on March 29, 2019.</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 Topic 842 (ASC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The FASB subsequently issued the following amendments to ASC Topic 842, which have the same effective date and transition date of January 1, 2019:</w:t>
      </w:r>
    </w:p>
    <w:p>
      <w:pPr>
        <w:spacing w:after="0" w:line="178"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amends certain narrow aspects of the guidance issued in ASU 2016-02;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ASU No.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Topic ASC 842 effective January 1, 2019 and elected to apply the available practical expedients and implement internal controls to enable the preparation of financial information on adoption. We have identified all of our leases which consist of the New Jersey corporate office lease and the Alabama lab facility lease and we estimate the adoption of this standard will result in the recognition of right-of-use assets of approximately $1.4, related operating lease liabilities of $1.5 million and reduced other liabilities by approximately $0.1 million on the consolidated balance sheets as of January 1, 2019 of approximately $1.5 million related to our operating lease commitments, with no material impact to the opening balance of retained earnings. See Note 15 for further discussions regarding the adoption of ASC Topic 842.</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2018, the SEC issued a final rule to simplify certain disclosure requirements. In addition, the amendments expanded the disclosure requirements on the analysis of stockholders’ equity for interim financial statements. In August and September 2018, further amendments were issued to provide implementation guidance on adoption of the SEC rule and transition guidance for the new interim stockholders’ equity disclosure. We adopted this amended guidance in the first quarter of 2019. The adoption of this amended guidance resulted in us disclosing the Condensed Consolidated Statements of Changes in Stockholders’ Equity for the three-month and six-month periods ending June 30, 2019 and 2018.</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Material risks and uncertainties relating to our business and our industry are described in “Item 1A. Risk Factors” under “Part II: Other Information” included herein. As a clinical stage biopharmaceutical company, our business and our ability to execute our strategy to achieve our corporate goals are subject to numerous risks and uncertainties. Please refer to Note 3 of the Financial Statements contained in this Form 10-Q. Also refer to </w:t>
      </w:r>
      <w:r>
        <w:rPr>
          <w:rFonts w:ascii="Arial" w:cs="Arial" w:eastAsia="Arial" w:hAnsi="Arial"/>
          <w:sz w:val="18"/>
          <w:szCs w:val="18"/>
          <w:b w:val="1"/>
          <w:bCs w:val="1"/>
          <w:color w:val="auto"/>
        </w:rPr>
        <w:t>Item IA, Risk Factors</w:t>
      </w:r>
      <w:r>
        <w:rPr>
          <w:rFonts w:ascii="Arial" w:cs="Arial" w:eastAsia="Arial" w:hAnsi="Arial"/>
          <w:sz w:val="18"/>
          <w:szCs w:val="18"/>
          <w:color w:val="auto"/>
        </w:rPr>
        <w:t>, including, but not limited to</w:t>
      </w:r>
      <w:r>
        <w:rPr>
          <w:rFonts w:ascii="Arial" w:cs="Arial" w:eastAsia="Arial" w:hAnsi="Arial"/>
          <w:sz w:val="18"/>
          <w:szCs w:val="18"/>
          <w:i w:val="1"/>
          <w:iCs w:val="1"/>
          <w:color w:val="auto"/>
        </w:rPr>
        <w:t>, “We will need to raise substantial additional capital to fund our planned future operations, and we may be unable to secure such</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without dilutive financing transactions. If we are not able to raise additional capital, we may not be able to complete the development, testing and commercialization of our product candidates.”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AND SIX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2019, our net loss was $5.9 million compared to a net loss of $8.2 million for the same period of 2018. For the six months ended June 30, 2019, our net loss was $8.3 million compared to a net loss of $12.7 million for the same period of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$21.8 million in cash, investment securities and interest receivable at June 30, 2019 coupled with future sales of the Company’s New Jersey NOL’s and, as more fully described in Note 11, the remaining availability under the Capitol on Demand™ with JonesTrading Institutional Services LLC and the common stock purchase agreement with Aspire Capital Fund LLC, the Company believes it has sufficient capital resources to fund its operations into the first quarter of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6"/>
          </w:tcPr>
          <w:p>
            <w:pPr>
              <w:jc w:val="right"/>
              <w:ind w:right="1620"/>
              <w:spacing w:after="0"/>
              <w:rPr>
                <w:sz w:val="20"/>
                <w:szCs w:val="20"/>
                <w:color w:val="auto"/>
              </w:rPr>
            </w:pPr>
            <w:r>
              <w:rPr>
                <w:rFonts w:ascii="Arial" w:cs="Arial" w:eastAsia="Arial" w:hAnsi="Arial"/>
                <w:sz w:val="18"/>
                <w:szCs w:val="18"/>
                <w:b w:val="1"/>
                <w:bCs w:val="1"/>
                <w:color w:val="auto"/>
                <w:w w:val="95"/>
              </w:rPr>
              <w:t>Three Months Ended June 30,</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w w:val="95"/>
              </w:rPr>
              <w:t>(In thousands)</w:t>
            </w:r>
          </w:p>
        </w:tc>
        <w:tc>
          <w:tcPr>
            <w:tcW w:w="260" w:type="dxa"/>
            <w:vAlign w:val="bottom"/>
          </w:tcPr>
          <w:p>
            <w:pPr>
              <w:spacing w:after="0"/>
              <w:rPr>
                <w:sz w:val="20"/>
                <w:szCs w:val="20"/>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5"/>
              </w:rPr>
              <w:t>Change Increase (Decrease)</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880" w:type="dxa"/>
            <w:vAlign w:val="bottom"/>
            <w:tcBorders>
              <w:top w:val="single" w:sz="8" w:color="auto"/>
              <w:bottom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8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3,149</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(822)</w:t>
            </w: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(26.1)%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1,445</w:t>
            </w:r>
          </w:p>
        </w:tc>
        <w:tc>
          <w:tcPr>
            <w:tcW w:w="2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Research and development expenses</w:t>
            </w:r>
          </w:p>
        </w:tc>
        <w:tc>
          <w:tcPr>
            <w:tcW w:w="8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3,558</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4,594</w:t>
            </w:r>
          </w:p>
        </w:tc>
        <w:tc>
          <w:tcPr>
            <w:tcW w:w="3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(1,036)</w:t>
            </w:r>
          </w:p>
        </w:tc>
        <w:tc>
          <w:tcPr>
            <w:tcW w:w="3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95"/>
              </w:rPr>
              <w:t>(22.6)%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3,542</w:t>
            </w:r>
          </w:p>
        </w:tc>
        <w:tc>
          <w:tcPr>
            <w:tcW w:w="2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(1,405)</w:t>
            </w: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8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5,695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8,136</w:t>
            </w:r>
          </w:p>
        </w:tc>
        <w:tc>
          <w:tcPr>
            <w:tcW w:w="3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(2,441</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95"/>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(5,570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w w:val="90"/>
              </w:rPr>
              <w:t>Six Months Ended June 30,</w:t>
            </w:r>
          </w:p>
        </w:tc>
        <w:tc>
          <w:tcPr>
            <w:tcW w:w="1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5"/>
              </w:rPr>
              <w:t>Change Increase (Decrease)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5,032</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(924)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w:t>
            </w:r>
          </w:p>
        </w:tc>
        <w:tc>
          <w:tcPr>
            <w:tcW w:w="2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Research and development expenses</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6,326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7,335</w:t>
            </w:r>
          </w:p>
        </w:tc>
        <w:tc>
          <w:tcPr>
            <w:tcW w:w="3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(1,009)</w:t>
            </w:r>
          </w:p>
        </w:tc>
        <w:tc>
          <w:tcPr>
            <w:tcW w:w="34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5,207</w:t>
            </w:r>
          </w:p>
        </w:tc>
        <w:tc>
          <w:tcPr>
            <w:tcW w:w="2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10,680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12,542</w:t>
            </w:r>
          </w:p>
        </w:tc>
        <w:tc>
          <w:tcPr>
            <w:tcW w:w="3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(1,862</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156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3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second quarters of 2019 and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(“R&amp;D”) expenses decreased by $1.0 million to $3.6 million in the second quarter of 2019 from $4.6 million in the same period of 2018. Costs associated with the OPTIMA Study decreased by $0.8 million to $1.2 million in the second quarter of 2019 compared to $2.0 million in the same period of 2018. This decrease resulted from the completion of enrollment for the OPTIMA Study during the third quarter of 2018. Costs associated the OVATION 2 Study of $0.1 million in the second quarter of 2019 were consistent with the same period of 2018. Regulatory costs were $0.4 million in the second quarter of 2019 compared to $0.1 million in the same period of 2018. Other clinical costs decreased by $0.4 million to $0.6 million in the second quarter of 2019 compared to $1.0 million in the same period of 2018. Costs associated with the production of ThermoDox® were $0.4 million in each of the second quarters of 2019 and 2018. R&amp;D costs associated with the development of GEN-1 to support the OVATION Studies decreased by $0.2 million to $0.8 million the second quarter of 2019 compared to $1.0 million in the same period of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decreased to $2.1 million in the second quarter of 2019 compared to $3.5 million in the same period of 2018. This decrease is mostly attributable to a decrease in personnel costs of approximately $1.6 million which included a $1.8 million decrease in non-cash stock compensation expense partially offset by an increase in personnel in the second quarter of 2019 compared to the same period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28, 2019, the Company and EGWU, Inc, entered into the Amended Asset Purchase Agreement discussed in Note 8. Pursuant to the Amended Asset Purchase Agreement, payment of the earnout milestone liability related to the Ovarian Cancer Indication of $12.4 million has been modified. The Company has the option to make the payment as follows:</w:t>
      </w:r>
    </w:p>
    <w:p>
      <w:pPr>
        <w:spacing w:after="0" w:line="181" w:lineRule="exact"/>
        <w:rPr>
          <w:sz w:val="20"/>
          <w:szCs w:val="20"/>
          <w:color w:val="auto"/>
        </w:rPr>
      </w:pPr>
    </w:p>
    <w:p>
      <w:pPr>
        <w:ind w:left="1140" w:hanging="5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1140" w:hanging="5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the amended agreement. These warrant shares have no expiration and were fair valued at $2.00 using the closing price of a share of Celsion stock on the date of issuance offset by the exercise price and recorded as an expense in the income statement and were classified as equity on the balance sheet.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8"/>
          <w:szCs w:val="18"/>
          <w:color w:val="auto"/>
        </w:rPr>
        <w:t>At March 31, 2019, the Company fair valued the earn-out milestone liability at $5.8 million. At June 30, 2019, the Company fair valued the earnout milestone liability at $5.9 million and recognized a non-cash charge of $0.1 million during the three months ended June 30, 2019 as a result of the change in fair value of the earnout milestone liability at December 31, 2018. In assessing the earnout milestone liability at June 30, 2019, the Company the fair valued each of the two payment options per the Amended Asset Purchase Agreement and weighted them at 80% and 20% probability for the $7.0 million and the $12.4 million payments, respectively.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2018, and March 31, 2018, the Company fair valued these milestones at $13.1 million and $12.8 million, respectively, and recognized a non-cash charge of $0.3 million during the three months ended June 30, 2018 as a result of the change in the fair value of these milestones from March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realized $0.1 million of interest income from its short-term investments during each of the second quarters of 2019 and 2018.</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entered into a new loan facility with Horizon Technology Finance Corporation on June 27, 2018. In connection with this debt facility the Company incurred $0.3 million in interest expense in the second quarter of 2019. Interest expense was insignificant during the same period of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$250,000 in each of the six months ended June 30, 2019 and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(“R&amp;D”) expenses decreased by $1.0 million to $6.3 million in the six months ended June 30, 2019 from $7.3 million in the same period of 2018. Costs associated with the OPTIMA Study decreased by $1.2 million to $2.1 million in the six months ended June 30, 2019 compared to $3.3 million in the same period of 2018. This decrease resulted from the completion of enrollment for the OPTIMA Study during the third quarter of 2018. Costs associated the OVATION 2 Study of $0.2 million in the six months ended June 30, 2019 were consistent with the same period of 2018. Regulatory costs were $0.6 million in the six months ended June 30, 2019 compared to $0.2 million in the same period of 2018. Other clinical costs decreased by $0.2 million to $1.2 million in the six months ended June 30, 2019 compared to $1.4 million in the same period of 2018. Costs associated with the production of ThermoDox® were $0.7 million in each of the six months ended June 30, 2019 and 2018. R&amp;D costs associated with the development of GEN-1 to support the OVATION Studies decreased by $0.1 million to $1.5 million in the six months ended June 30, 2019 compared to $1.6 million in the same period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General and administrative expenses decreased to $4.4 million in the six months ended June 30, 2019 compared to $5.2 million in the same period of 2018. This decrease is mostly attributable to a decrease in personnel costs of approximately $1.6 million which included a $1.5 million decrease in non-cash stock compensation expense partially offset by an increase in personnel in the six months ended June 30, 2019 compared to the same period of 2018.</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28, 2019, the Company and EGWU, Inc, entered into an amendment to the Asset Purchase Agreement discussed in Note 8. Pursuant to the Amended Asset Purchase Agreement, payment of the earnout milestone liability related to the Ovarian Cancer Indication of $12.4 million has been modified. The Company has the option to make the payment as follows:</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the amended agreement. These warrants shares have no expiration and were fair valued at $2.00 using the closing price of a share of Celsion stock on the date of issuance offset by the exercise price and recorded as an expense in the income statement and were classified as equity on the balance sheet.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2018, the Company fair valued the earn-out milestone liability at $8.9 million. At June 30, 2019, the Company fair valued the earnout milestone liability at $5.9 million and recognized a non-cash benefit of $3.0 million during the six months ended June 30, 2019 as a result of the change in fair value of the earnout milestone liability at December 31, 2018. In assessing the earnout milestone liability at June 30, 2019, the Company the fair valued each of the two payment options per the Amended Asset Purchase Agreement and weighted them at 80% and 20% probability for the $7.0 million and the $12.4 million payments,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and December 31, 2017, the Company fair valued these milestones at $13.1 million and $12.5 million, respectively, and recognized a non-cash charge of $547,324 during the six months ended June 30, 2018 as a result of the change in the fair value of these milestones from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realized $0.3 million and $0.1 million of interest income from its short-term investments during the six months ended June 30, 2019 and 2018.</w:t>
      </w:r>
    </w:p>
    <w:p>
      <w:pPr>
        <w:spacing w:after="0" w:line="2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entered into a new loan facility with Horizon Technology Finance Corporation on June 27, 2018. In connection with this debt facility the Company incurred $0.7 million in interest expense in the six months ended June 30, 2019. Interest expense was insignificant during the same period of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w:t>
      </w:r>
    </w:p>
    <w:p>
      <w:pPr>
        <w:jc w:val="both"/>
        <w:spacing w:after="0" w:line="239" w:lineRule="auto"/>
        <w:rPr>
          <w:sz w:val="20"/>
          <w:szCs w:val="20"/>
          <w:color w:val="auto"/>
        </w:rPr>
      </w:pPr>
      <w:r>
        <w:rPr>
          <w:rFonts w:ascii="Arial" w:cs="Arial" w:eastAsia="Arial" w:hAnsi="Arial"/>
          <w:sz w:val="17"/>
          <w:szCs w:val="17"/>
          <w:color w:val="auto"/>
        </w:rPr>
        <w:t>agreement with Hisun. The process of developing and commercializing ThermoDox</w:t>
      </w:r>
      <w:r>
        <w:rPr>
          <w:rFonts w:ascii="Arial" w:cs="Arial" w:eastAsia="Arial" w:hAnsi="Arial"/>
          <w:sz w:val="28"/>
          <w:szCs w:val="28"/>
          <w:color w:val="auto"/>
          <w:vertAlign w:val="superscript"/>
        </w:rPr>
        <w:t>®</w:t>
      </w:r>
      <w:r>
        <w:rPr>
          <w:rFonts w:ascii="Arial" w:cs="Arial" w:eastAsia="Arial" w:hAnsi="Arial"/>
          <w:sz w:val="17"/>
          <w:szCs w:val="17"/>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$282 million at June 30, 2019.</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June 30, 2019 we had total current assets of $23.1 million (including cash, cash equivalents and short-term investments and related interest receivable on short-term investments of $21.8 million) and current liabilities of $6.6 million, resulting in net working capital of $15.2 million. At December 31, 2018 we had total current assets of $28.1 million (including cash, cash equivalents and short-term investments and related interest receivable on short-term investments of $27.7 million) and current liabilities of $6.1 million, resulting in net working capital of $22.0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Net cash used in operating activities for the first six months of 2019 was $10.2 million. Net cash used in investing activities was $1.6 million during the first six months of 2019 as the Company invested liquid funds into short-term investments. Net cash provided by financing activities was $4.5 million during the first six months of 2019 from net proceeds received through the sale of our common stock under the common stock purchase and sales facilities with Aspire Capital Fund, LLC. and JonesTrading International, LLC.</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to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2019,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implemented technology, processes and controls related to the recording of right-of-use assets and lease liabilities in connection with the adoption of ASC 842, “Leases,” as described in the “Leases and Commitments” note of the financial statements. Otherwise, 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is a summary of the risk factors, uncertainties and assumptions that we believe are most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and Section 27A of the Securities Act of 1933, as amended.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2018 filed on March 29, 2019 with the SEC. In assessing these risks, investors should also refer to the other information contained or incorporated by reference in this Quarterly Report and our other filings made from time to time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$282 million at June 30, 2019. For the year ended December 31, 2018 and the six months ended June 30, 2019, we incurred a net loss of $11.9 million, and $8.3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 its primary endpoint in our earlier Phase III clinical trial.</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I/II dose escalating trial evaluating GEN-1, known as the OVATION II Study, in ovarian cancer patients.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not generated significant revenue and have incurred significant net losses in each year since our inception. For the year ended December 31, 2018 and the six-months ended June 30, 2019, we incurred a net loss of $11.9 million, and $8.3 million, respectively. We have incurred approximately $282 million of cumulative net losses. As of June 30, 2019, we had approximately $21.8 million in cash and short-term investments including interest receivable.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and other preclinical studies. We completed a Phase I dose-escalation clinical trial of GEN-1 in combination with the standard of care in neo-adjuvant ovarian cancer in the third quarter of 2017 and expanded our clinical development program for GEN-1 into a follow-on Phase I/II trial for newly diagnosed ovarian cancer in 2018.</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United States, given that we may be subject to additional or different regulatory burdens in other markets. This could limit our ability to realize their full market potential.</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preclinical test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investigational new drug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spacing w:after="0" w:line="261" w:lineRule="auto"/>
        <w:rPr>
          <w:sz w:val="20"/>
          <w:szCs w:val="20"/>
          <w:color w:val="auto"/>
        </w:rPr>
      </w:pPr>
      <w:r>
        <w:rPr>
          <w:rFonts w:ascii="Arial" w:cs="Arial" w:eastAsia="Arial" w:hAnsi="Arial"/>
          <w:sz w:val="18"/>
          <w:szCs w:val="18"/>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these early clinical trials, the side effects of drugs are frequently only detectable after they are tested in large, Phase 3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GEN-1 is currently in an early stage of clinical development for the treatment of ovarian cancer. We conducted a Phase I dose-escalation clinical trial of GEN-1 in combination with the standard of care in neo-adjuvant ovarian cancer starting in the second half of 2015 and completing enrollment in 2017. We also expanded our ovarian cancer development program to include a Phase I/II dose escalating trial evaluating GEN-1 in ovarian cancer patients. Our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Strategic transactions, such as acquisitions, partnerships and collaborations, including the EGEN asset acquisition, involve numerous risks, including:</w:t>
      </w:r>
    </w:p>
    <w:p>
      <w:pPr>
        <w:spacing w:after="0" w:line="23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asset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asset acquisition or potential future transactions.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color w:val="auto"/>
        </w:rPr>
        <w:t>ClinicalTrials.gov</w:t>
      </w:r>
      <w:r>
        <w:rPr>
          <w:rFonts w:ascii="Arial" w:cs="Arial" w:eastAsia="Arial" w:hAnsi="Arial"/>
          <w:sz w:val="17"/>
          <w:szCs w:val="17"/>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obtained Orphan Drug Designation for ThermoDox® and may seek Orphan Drug Designation for other product candidates, but we may be unsuccessful or may be unable to maintain the benefits associated with Orphan Drug Designation, including the potential for market exclusivity.</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has been granted orphan drug designation for primary liver cancer in both the U.S. and Europe. As part of our business strategy, we may seek Orphan Drug Designation for other product candidates, but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though we have obtained Orphan Drug Designation for ThermoDox® and may obtain such designation for other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other product candidates, we may never receive such designations.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ThermoDox® has received U.S.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several years to limit the growth of healthcare costs, including price regulation, competitive pricing, coverage and payment policies, comparative effectiveness of therapies, technology assessments and managed-care arrangements. For example, the Affordable Care Act, passed in 2010,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Further, the 2016 Presidential and Congressional elections and subsequent developments have caused the future state of many core aspects of the current health care marketplace to be uncertain, as the new Presidential Administration and Congress have repeatedly expressed a desire to repeal all or portions of the Affordable Care Act.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Since its enactment, some of the provisions of the ACA have yet to be fully implemented, while certain provisions have been subject to judicial, congressional, and executive challenges. As a result, there have been delays in the implementation of, and action taken to repeal or replace, certain aspects of the ACA. The U.S. Supreme Court has upheld certain key aspects of the legislation, including a tax-based shared responsibility payment imposed on certain individuals who fail to maintain qualifying health coverage for all or part of a year, which is commonly known as the requirement that all individuals maintain health insurance coverage or pay a penalty, referred to as the “individual mandate.” However, as a result of tax reform legislation passed in December 2017, the individual mandate has been eliminated effective January 1, 2019. According to the Congressional Budget Office, the repeal of the individual mandate will cause 13 million fewer Americans to be insured in 2027 and premiums in insurance markets may rise.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our product candidates that we may successfully develop and for which we may obtain regulatory approval and may affect our overall financial condition and ability to develop product candidates.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we conduct clinical trials in the European Economic Area (“EEA”), we are subject to additional European data-privacy laws. The General Data Protection Regulation, (EU) 2016/679 (“GDPR”) became effective on May 25, 2018 and deals with the processing of personal data and on the free movement of such data.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particular,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Further, the impact of the impending “Brexit”, (whereby the United Kingdom is planning to leave the EEA in March of 2019), either with or without a “deal” is uncertain and cannot be predicted at this time.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we continue to conduct clinical trials in the EEA, we must also ensure that we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Anype1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For example, Congress passed the Affordable Care Act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Several of our current clinical trials are being conducted outside the United States, and the FDA may not accept data from trials conducted in foreign locations.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Several of our current clinical trials are being conducted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product candidates.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jc w:val="both"/>
        <w:ind w:right="20"/>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asset acquisition, and on our ability to attract additional personnel as we seek to implement our business strategy and develop our product candidates and businesses. Our operations associated with the EGEN asset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$3.48 and a low price of $1.35 in the 52-week period ended December 31, 2018, and a high price of $2.46 and a low price of $1.64 from January 1, 2019 through August 13, 2019. Among the factors that may cause the market price of our common stock to fluctuate are the risks described in this “Risk Factors” section and other factors, including:</w:t>
      </w:r>
    </w:p>
    <w:p>
      <w:pPr>
        <w:spacing w:after="0" w:line="179" w:lineRule="exact"/>
        <w:rPr>
          <w:sz w:val="20"/>
          <w:szCs w:val="20"/>
          <w:color w:val="auto"/>
        </w:rPr>
      </w:pPr>
    </w:p>
    <w:p>
      <w:pPr>
        <w:ind w:left="5620" w:right="3940" w:hanging="5288"/>
        <w:spacing w:after="0" w:line="528"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ind w:left="328" w:hanging="328"/>
        <w:spacing w:after="0"/>
        <w:tabs>
          <w:tab w:leader="none" w:pos="3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and financings, including the EGEN asset acquisition;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665" w:right="239" w:bottom="1440" w:gutter="0" w:footer="0" w:header="0"/>
        </w:sectPr>
      </w:pPr>
    </w:p>
    <w:bookmarkStart w:id="61" w:name="page62"/>
    <w:bookmarkEnd w:id="61"/>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August 13, 2019, we had 21,387,418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asset acquisition. Our stockholders may experience significant dilution as a result of future equity offerings or issuances. Investors purchasing shares or other securities in the future could have rights superior to existing stockholders. As of August 13, 2019, we have a significant number of securities convertible into, or allowing the purchase of, our common stock, including 626,098 shares of common stock issuable upon exercise of warrants outstanding, 3,984,892 options to purchase shares of our common stock and restricted stock awards outstanding, and 857,507 shares of common stock reserved for future issuance under our stock incentive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2018, 2017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2017 and 2018.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left="640" w:hanging="634"/>
        <w:spacing w:after="0" w:line="277"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66">
        <w:r>
          <w:rPr>
            <w:rFonts w:ascii="Arial" w:cs="Arial" w:eastAsia="Arial" w:hAnsi="Arial"/>
            <w:sz w:val="18"/>
            <w:szCs w:val="18"/>
            <w:u w:val="single" w:color="auto"/>
            <w:color w:val="0000EE"/>
          </w:rPr>
          <w:t>Amendment to the Celsion Corporation 2018 Stock Incentive Plan incorporated by reference to the Current Report on Form 8K of the Company filed</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on May 15, 2019.</w:t>
        </w:r>
      </w:hyperlink>
    </w:p>
    <w:p>
      <w:pPr>
        <w:spacing w:after="0" w:line="170" w:lineRule="exact"/>
        <w:rPr>
          <w:sz w:val="20"/>
          <w:szCs w:val="20"/>
          <w:color w:val="auto"/>
        </w:rPr>
      </w:pPr>
    </w:p>
    <w:p>
      <w:pPr>
        <w:spacing w:after="0"/>
        <w:tabs>
          <w:tab w:leader="none" w:pos="62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66">
        <w:r>
          <w:rPr>
            <w:rFonts w:ascii="Arial" w:cs="Arial" w:eastAsia="Arial" w:hAnsi="Arial"/>
            <w:sz w:val="17"/>
            <w:szCs w:val="17"/>
            <w:u w:val="single" w:color="auto"/>
            <w:color w:val="0000EE"/>
          </w:rPr>
          <w:t>Certification of Chief Executive Officer pursuant to Rule 13a-14(a)/15d-14(a),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68">
        <w:r>
          <w:rPr>
            <w:rFonts w:ascii="Arial" w:cs="Arial" w:eastAsia="Arial" w:hAnsi="Arial"/>
            <w:sz w:val="16"/>
            <w:szCs w:val="16"/>
            <w:u w:val="single" w:color="auto"/>
            <w:color w:val="0000EE"/>
          </w:rPr>
          <w:t>Certification of Chief Financial Officer pursuant to Rule 13a-14(a)/15d-14(a), as adopted pursuant to Section 302 of the Sarbanes-Oxley Act of 2002.</w:t>
        </w:r>
      </w:hyperlink>
    </w:p>
    <w:p>
      <w:pPr>
        <w:spacing w:after="0" w:line="225"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70">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225"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640" w:hanging="639"/>
        <w:spacing w:after="0" w:line="279" w:lineRule="auto"/>
        <w:tabs>
          <w:tab w:leader="none" w:pos="620" w:val="left"/>
        </w:tabs>
        <w:rPr>
          <w:sz w:val="20"/>
          <w:szCs w:val="20"/>
          <w:color w:val="auto"/>
        </w:rPr>
      </w:pPr>
      <w:r>
        <w:rPr>
          <w:rFonts w:ascii="Arial" w:cs="Arial" w:eastAsia="Arial" w:hAnsi="Arial"/>
          <w:sz w:val="17"/>
          <w:szCs w:val="17"/>
          <w:color w:val="auto"/>
        </w:rPr>
        <w:t>101**</w:t>
        <w:tab/>
        <w:t>The following materials from the Company’s Quarterly Report on Form 10-Q for the quarter ended June 30, 2019,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71" w:lineRule="exact"/>
        <w:rPr>
          <w:sz w:val="20"/>
          <w:szCs w:val="20"/>
          <w:color w:val="auto"/>
        </w:rPr>
      </w:pPr>
    </w:p>
    <w:p>
      <w:pPr>
        <w:jc w:val="both"/>
        <w:ind w:left="640" w:hanging="632"/>
        <w:spacing w:after="0" w:line="312"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47"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14, 2019</w:t>
      </w:r>
      <w:r>
        <w:rPr>
          <w:sz w:val="20"/>
          <w:szCs w:val="20"/>
          <w:color w:val="auto"/>
        </w:rPr>
        <w:tab/>
      </w:r>
      <w:r>
        <w:rPr>
          <w:rFonts w:ascii="Arial" w:cs="Arial" w:eastAsia="Arial" w:hAnsi="Arial"/>
          <w:sz w:val="17"/>
          <w:szCs w:val="17"/>
          <w:color w:val="auto"/>
        </w:rPr>
        <w:t>CELSION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August 14, 2019</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6" w:name="page67"/>
    <w:bookmarkEnd w:id="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14, 2019</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8" w:name="page69"/>
    <w:bookmarkEnd w:id="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2019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14, 2019</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14, 2019</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both"/>
        <w:ind w:firstLine="8"/>
        <w:spacing w:after="0" w:line="264" w:lineRule="auto"/>
        <w:tabs>
          <w:tab w:leader="none" w:pos="1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66" Type="http://schemas.openxmlformats.org/officeDocument/2006/relationships/hyperlink" Target="http://www.sec.gov/Archives/edgar/data/749647/00014931521900720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2019-12-28T07:05:11Z</dcterms:created>
  <dcterms:modified xsi:type="dcterms:W3CDTF">2019-12-28T07:05:11Z</dcterms:modified>
</cp:coreProperties>
</file>