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4000" w:right="2240" w:hanging="3992"/>
        <w:spacing w:after="0" w:line="500"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June 30, 2025</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340" w:right="2220" w:hanging="3332"/>
        <w:spacing w:after="0" w:line="500" w:lineRule="auto"/>
        <w:tabs>
          <w:tab w:leader="none" w:pos="3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001-15911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2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52-1256615</w:t>
            </w:r>
          </w:p>
        </w:tc>
      </w:tr>
      <w:tr>
        <w:trPr>
          <w:trHeight w:val="198"/>
        </w:trPr>
        <w:tc>
          <w:tcPr>
            <w:tcW w:w="4020" w:type="dxa"/>
            <w:vAlign w:val="bottom"/>
            <w:tcBorders>
              <w:top w:val="single" w:sz="8" w:color="auto"/>
            </w:tcBorders>
          </w:tcPr>
          <w:p>
            <w:pPr>
              <w:jc w:val="center"/>
              <w:ind w:left="14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rPr>
              <w:t>997 Lenox Drive, Suite 100,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Lawrenceville</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NJ 08648</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896-9100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IMNN</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0" w:right="339" w:bottom="1014" w:gutter="0" w:footer="0" w:header="0"/>
        </w:sectPr>
      </w:pPr>
    </w:p>
    <w:p>
      <w:pPr>
        <w:spacing w:after="0" w:line="135" w:lineRule="exact"/>
        <w:rPr>
          <w:sz w:val="24"/>
          <w:szCs w:val="24"/>
          <w:color w:val="auto"/>
        </w:rPr>
      </w:pPr>
    </w:p>
    <w:p>
      <w:pPr>
        <w:ind w:left="11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11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1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6040" w:space="720"/>
            <w:col w:w="4480"/>
          </w:cols>
          <w:pgMar w:left="320" w:top="740" w:right="339" w:bottom="1014"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1, 2025, the Registrant had 2,192,353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01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9"/>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64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11"/>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QUARTERLY REPORT ON</w:t>
            </w:r>
          </w:p>
        </w:tc>
        <w:tc>
          <w:tcPr>
            <w:tcW w:w="640" w:type="dxa"/>
            <w:vAlign w:val="bottom"/>
          </w:tcPr>
          <w:p>
            <w:pPr>
              <w:spacing w:after="0"/>
              <w:rPr>
                <w:sz w:val="24"/>
                <w:szCs w:val="24"/>
                <w:color w:val="auto"/>
              </w:rPr>
            </w:pPr>
          </w:p>
        </w:tc>
      </w:tr>
      <w:tr>
        <w:trPr>
          <w:trHeight w:val="238"/>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9"/>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11"/>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32"/>
        </w:trPr>
        <w:tc>
          <w:tcPr>
            <w:tcW w:w="6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90"/>
        </w:trPr>
        <w:tc>
          <w:tcPr>
            <w:tcW w:w="10600" w:type="dxa"/>
            <w:vAlign w:val="bottom"/>
            <w:gridSpan w:val="2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640" w:type="dxa"/>
            <w:vAlign w:val="bottom"/>
            <w:shd w:val="clear" w:color="auto" w:fill="CCEEFF"/>
          </w:tcPr>
          <w:p>
            <w:pPr>
              <w:spacing w:after="0"/>
              <w:rPr>
                <w:sz w:val="16"/>
                <w:szCs w:val="16"/>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844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5"/>
        </w:trPr>
        <w:tc>
          <w:tcPr>
            <w:tcW w:w="660" w:type="dxa"/>
            <w:vAlign w:val="bottom"/>
          </w:tcPr>
          <w:p>
            <w:pPr>
              <w:spacing w:after="0"/>
              <w:rPr>
                <w:sz w:val="15"/>
                <w:szCs w:val="15"/>
                <w:color w:val="auto"/>
              </w:rPr>
            </w:pPr>
          </w:p>
        </w:tc>
        <w:tc>
          <w:tcPr>
            <w:tcW w:w="99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2025 (Unaudited) and December 31, 2024</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and Six Months Ended June 30, 2025 and 2024</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99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 (Unaudited) for the Three and Six Months Ended June 30, 2025 and 2024</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for the Six Months Ended June 30, 2025 and 2024</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99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 for the Three Months Ended June 30, 2025 and</w:t>
            </w:r>
          </w:p>
        </w:tc>
        <w:tc>
          <w:tcPr>
            <w:tcW w:w="640" w:type="dxa"/>
            <w:vAlign w:val="bottom"/>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98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 for the Six Months Ended June 30, 2025 and 2024</w:t>
            </w:r>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660" w:type="dxa"/>
            <w:vAlign w:val="bottom"/>
          </w:tcPr>
          <w:p>
            <w:pPr>
              <w:spacing w:after="0"/>
              <w:rPr>
                <w:sz w:val="15"/>
                <w:szCs w:val="15"/>
                <w:color w:val="auto"/>
              </w:rPr>
            </w:pPr>
          </w:p>
        </w:tc>
        <w:tc>
          <w:tcPr>
            <w:tcW w:w="99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Item 1A.</w:t>
            </w: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9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9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453"/>
        </w:trPr>
        <w:tc>
          <w:tcPr>
            <w:tcW w:w="6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the Company’s ability to regain compliance with Nasdaq’s continued listing requirements, any statements of the plans and objectives of management for future operations (including, but not limited to, pre-clinical development, clinical trials, manufacturing and commercialization), uncertainties and assumptions regarding any continuing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using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U.S. Food and Drug Administration (“FDA”) and foreign regulatory approvals for our drug candidates,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and assumptions are described in Item 1A. Risk Factors in our Annual Report on Form 10-K for the fiscal year ended December 31, 2024, and in other documents that we file or furnish with the Securities and Exchange Commission.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or revise any forward-looking statements even if new information becomes available in the future,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the “Company,” “Imunon,” “we,” “us,” and “our” refer to Imunon, Inc., a Delaware corporation and its wholly 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brand and product names contained in this document are trademarks, registered trademarks, or service marks of Imunon, Inc. or its subsidiary in the United States (“U.S.”) and certain other countries. This document also contains references to trademarks and service marks of other companies that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4,728,776</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5,872,767</w:t>
            </w: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2,162,469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2,136,192</w:t>
            </w: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6,891,245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8,008,959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(at cost, less accumulated depreciation and amortization)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676,565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541,272</w:t>
            </w: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1,170,517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1,117,133</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0"/>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1,220,517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1,167,133</w:t>
            </w:r>
          </w:p>
        </w:tc>
        <w:tc>
          <w:tcPr>
            <w:tcW w:w="100" w:type="dxa"/>
            <w:vAlign w:val="bottom"/>
            <w:tcBorders>
              <w:bottom w:val="single" w:sz="8" w:color="CCEEFF"/>
            </w:tcBorders>
          </w:tcPr>
          <w:p>
            <w:pPr>
              <w:spacing w:after="0"/>
              <w:rPr>
                <w:sz w:val="18"/>
                <w:szCs w:val="18"/>
                <w:color w:val="auto"/>
              </w:rPr>
            </w:pPr>
          </w:p>
        </w:tc>
      </w:tr>
      <w:tr>
        <w:trPr>
          <w:trHeight w:val="209"/>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8,788,327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9,717,364</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080" w:type="dxa"/>
            <w:vAlign w:val="bottom"/>
            <w:gridSpan w:val="5"/>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(Continued)</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1,735,568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1,300,026</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3,199,502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3,033,747</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382,217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452,358</w:t>
            </w: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5,317,287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4,786,131</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811,190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686,935</w:t>
            </w: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6,128,477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5,473,066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(100,000 shares authorized and no shares issued or</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2025 and December 31, 2024</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(112,500,000 shares authorized; 1,717,502 and 966,714</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at June 30, 2025 and December 31, 2024, respectively; and 1,717,500 and</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966,712 shares outstanding at June 30, 2025 and December 31, 2024, respectively)</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17,175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9,667</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416,373,961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411,122,863</w:t>
            </w:r>
          </w:p>
        </w:tc>
      </w:tr>
      <w:tr>
        <w:trPr>
          <w:trHeight w:val="23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(413,646,098)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(406,803,044)</w:t>
            </w: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2,745,038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4,329,486</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(2 shares at June 30, 2025 and December 31, 2024)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(85,188)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(85,188)</w:t>
            </w: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2,659,850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4,244,298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8,788,327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9,717,364</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Total operating expenses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Investment income, net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Total other income, 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7"/>
          <w:szCs w:val="17"/>
          <w:b w:val="1"/>
          <w:bCs w:val="1"/>
          <w:color w:val="auto"/>
        </w:rPr>
        <w:t>STATEMENTS OF OPERATIONS</w:t>
      </w:r>
    </w:p>
    <w:p>
      <w:pPr>
        <w:spacing w:after="0" w:line="21"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33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20" w:type="dxa"/>
            <w:vAlign w:val="bottom"/>
          </w:tcPr>
          <w:p>
            <w:pPr>
              <w:spacing w:after="0"/>
              <w:rPr>
                <w:sz w:val="18"/>
                <w:szCs w:val="18"/>
                <w:color w:val="auto"/>
              </w:rPr>
            </w:pPr>
          </w:p>
        </w:tc>
        <w:tc>
          <w:tcPr>
            <w:tcW w:w="29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1,226,954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2,819,645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3,392,046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6,113,506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1,540,910</w:t>
            </w:r>
          </w:p>
        </w:tc>
        <w:tc>
          <w:tcPr>
            <w:tcW w:w="3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2,193,706</w:t>
            </w:r>
          </w:p>
        </w:tc>
        <w:tc>
          <w:tcPr>
            <w:tcW w:w="3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3,521,117</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3,911,291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2,767,864</w:t>
            </w:r>
          </w:p>
        </w:tc>
        <w:tc>
          <w:tcPr>
            <w:tcW w:w="3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5,013,351</w:t>
            </w:r>
          </w:p>
        </w:tc>
        <w:tc>
          <w:tcPr>
            <w:tcW w:w="3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6,913,163</w:t>
            </w:r>
          </w:p>
        </w:tc>
        <w:tc>
          <w:tcPr>
            <w:tcW w:w="3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10,024,797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39"/>
        </w:trPr>
        <w:tc>
          <w:tcPr>
            <w:tcW w:w="320" w:type="dxa"/>
            <w:vAlign w:val="bottom"/>
          </w:tcPr>
          <w:p>
            <w:pPr>
              <w:spacing w:after="0"/>
              <w:rPr>
                <w:sz w:val="24"/>
                <w:szCs w:val="24"/>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(2,767,864)</w:t>
            </w:r>
          </w:p>
        </w:tc>
        <w:tc>
          <w:tcPr>
            <w:tcW w:w="360" w:type="dxa"/>
            <w:vAlign w:val="bottom"/>
          </w:tcPr>
          <w:p>
            <w:pPr>
              <w:spacing w:after="0"/>
              <w:rPr>
                <w:sz w:val="24"/>
                <w:szCs w:val="2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(5,013,351)</w:t>
            </w:r>
          </w:p>
        </w:tc>
        <w:tc>
          <w:tcPr>
            <w:tcW w:w="32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(6,913,163)</w:t>
            </w:r>
          </w:p>
        </w:tc>
        <w:tc>
          <w:tcPr>
            <w:tcW w:w="3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(10,024,797)</w:t>
            </w:r>
          </w:p>
        </w:tc>
      </w:tr>
      <w:tr>
        <w:trPr>
          <w:trHeight w:val="20"/>
        </w:trPr>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5"/>
        </w:trPr>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27,305</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225,334</w:t>
            </w:r>
          </w:p>
        </w:tc>
        <w:tc>
          <w:tcPr>
            <w:tcW w:w="32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70,109</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307,255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27,305</w:t>
            </w:r>
          </w:p>
        </w:tc>
        <w:tc>
          <w:tcPr>
            <w:tcW w:w="3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225,334</w:t>
            </w:r>
          </w:p>
        </w:tc>
        <w:tc>
          <w:tcPr>
            <w:tcW w:w="3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70,109</w:t>
            </w:r>
          </w:p>
        </w:tc>
        <w:tc>
          <w:tcPr>
            <w:tcW w:w="3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53"/>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(2,740,559)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(4,788,017)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(6,843,054)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(9,717,542)</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6"/>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(7.64)</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-2211070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-1936750</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-1645285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-1353820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-1070610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-779145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-470535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-179070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540" w:space="720"/>
            <w:col w:w="6940"/>
          </w:cols>
          <w:pgMar w:left="320" w:top="684" w:right="379" w:bottom="1440" w:gutter="0" w:footer="0" w:header="0"/>
        </w:sectPr>
      </w:pPr>
    </w:p>
    <w:tbl>
      <w:tblPr>
        <w:tblLayout w:type="fixed"/>
        <w:tblInd w:w="18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65"/>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23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1,277,217</w:t>
            </w:r>
          </w:p>
        </w:tc>
        <w:tc>
          <w:tcPr>
            <w:tcW w:w="17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626,726</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1,124,730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0</wp:posOffset>
            </wp:positionV>
            <wp:extent cx="434594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45940" cy="25400"/>
                    </a:xfrm>
                    <a:prstGeom prst="rect">
                      <a:avLst/>
                    </a:prstGeom>
                    <a:noFill/>
                  </pic:spPr>
                </pic:pic>
              </a:graphicData>
            </a:graphic>
          </wp:anchor>
        </w:drawing>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40" w:type="dxa"/>
            <w:vAlign w:val="bottom"/>
            <w:gridSpan w:val="6"/>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280" w:type="dxa"/>
            <w:vAlign w:val="bottom"/>
          </w:tcPr>
          <w:p>
            <w:pPr>
              <w:spacing w:after="0"/>
              <w:rPr>
                <w:sz w:val="18"/>
                <w:szCs w:val="18"/>
                <w:color w:val="auto"/>
              </w:rPr>
            </w:pPr>
          </w:p>
        </w:tc>
        <w:tc>
          <w:tcPr>
            <w:tcW w:w="5640" w:type="dxa"/>
            <w:vAlign w:val="bottom"/>
            <w:gridSpan w:val="7"/>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20" w:type="dxa"/>
            <w:vAlign w:val="bottom"/>
          </w:tcPr>
          <w:p>
            <w:pPr>
              <w:spacing w:after="0"/>
              <w:rPr>
                <w:sz w:val="24"/>
                <w:szCs w:val="24"/>
                <w:color w:val="auto"/>
              </w:rPr>
            </w:pPr>
          </w:p>
        </w:tc>
        <w:tc>
          <w:tcPr>
            <w:tcW w:w="30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2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8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6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Change in realized and unrealized gains (losses) on</w:t>
            </w: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w w:val="99"/>
              </w:rPr>
              <w:t>available for sale securities, net</w:t>
            </w:r>
          </w:p>
        </w:tc>
        <w:tc>
          <w:tcPr>
            <w:tcW w:w="2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(72,306)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(2,740,559)</w:t>
            </w:r>
          </w:p>
        </w:tc>
        <w:tc>
          <w:tcPr>
            <w:tcW w:w="36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(4,788,017)</w:t>
            </w:r>
          </w:p>
        </w:tc>
        <w:tc>
          <w:tcPr>
            <w:tcW w:w="3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(6,843,054)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(9,717,542)</w:t>
            </w:r>
          </w:p>
        </w:tc>
      </w:tr>
      <w:tr>
        <w:trPr>
          <w:trHeight w:val="209"/>
        </w:trPr>
        <w:tc>
          <w:tcPr>
            <w:tcW w:w="22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(2,740,559)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(4,860,323)</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(6,843,054)</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(9,717,542)</w:t>
            </w:r>
          </w:p>
        </w:tc>
      </w:tr>
      <w:tr>
        <w:trPr>
          <w:trHeight w:val="20"/>
        </w:trPr>
        <w:tc>
          <w:tcPr>
            <w:tcW w:w="2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7280" w:type="dxa"/>
            <w:vAlign w:val="bottom"/>
            <w:gridSpan w:val="10"/>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88"/>
              </w:rPr>
              <w:t>4</w:t>
            </w: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STATEMENTS OF CASH FLOWS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5"/>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(6,843,054)</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(9,717,542)</w:t>
            </w: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141,690</w:t>
            </w:r>
          </w:p>
        </w:tc>
        <w:tc>
          <w:tcPr>
            <w:tcW w:w="40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138,633</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220,911</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224,947</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losses, net, on investment securities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(61,983)</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327,174</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131,930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Realization of deferred income tax asset</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1,280,385</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changes in:</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Advances, deposits, and other current assets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(26,277)</w:t>
            </w:r>
          </w:p>
        </w:tc>
        <w:tc>
          <w:tcPr>
            <w:tcW w:w="40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205,278</w:t>
            </w: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381,116</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(2,580,165)</w:t>
            </w:r>
          </w:p>
        </w:tc>
      </w:tr>
      <w:tr>
        <w:trPr>
          <w:trHeight w:val="209"/>
        </w:trPr>
        <w:tc>
          <w:tcPr>
            <w:tcW w:w="74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(5,798,440</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(10,378,517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(57,174)</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and maturity of investment securities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9,915,448</w:t>
            </w: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(276,983)</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w:t>
            </w:r>
          </w:p>
        </w:tc>
      </w:tr>
      <w:tr>
        <w:trPr>
          <w:trHeight w:val="209"/>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(276,983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9,846,519</w:t>
            </w:r>
          </w:p>
        </w:tc>
        <w:tc>
          <w:tcPr>
            <w:tcW w:w="10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 equity, net of issuance costs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2,963,738</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warrants</w:t>
            </w:r>
          </w:p>
        </w:tc>
        <w:tc>
          <w:tcPr>
            <w:tcW w:w="380" w:type="dxa"/>
            <w:vAlign w:val="bottom"/>
          </w:tcPr>
          <w:p>
            <w:pPr>
              <w:spacing w:after="0"/>
              <w:rPr>
                <w:sz w:val="19"/>
                <w:szCs w:val="19"/>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1,967,694</w:t>
            </w:r>
          </w:p>
        </w:tc>
        <w:tc>
          <w:tcPr>
            <w:tcW w:w="400" w:type="dxa"/>
            <w:vAlign w:val="bottom"/>
          </w:tcPr>
          <w:p>
            <w:pPr>
              <w:spacing w:after="0"/>
              <w:rPr>
                <w:sz w:val="19"/>
                <w:szCs w:val="19"/>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4,931,432</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p>
      <w:pPr>
        <w:spacing w:after="0" w:line="31" w:lineRule="exact"/>
        <w:rPr>
          <w:sz w:val="20"/>
          <w:szCs w:val="20"/>
          <w:color w:val="auto"/>
        </w:rPr>
      </w:pPr>
    </w:p>
    <w:p>
      <w:pPr>
        <w:ind w:right="2940"/>
        <w:spacing w:after="0" w:line="276" w:lineRule="auto"/>
        <w:rPr>
          <w:sz w:val="20"/>
          <w:szCs w:val="20"/>
          <w:color w:val="auto"/>
        </w:rPr>
      </w:pPr>
      <w:r>
        <w:rPr>
          <w:rFonts w:ascii="Times New Roman" w:cs="Times New Roman" w:eastAsia="Times New Roman" w:hAnsi="Times New Roman"/>
          <w:sz w:val="18"/>
          <w:szCs w:val="18"/>
          <w:b w:val="1"/>
          <w:bCs w:val="1"/>
          <w:color w:val="auto"/>
        </w:rPr>
        <w:t>Cash and cash equivalents at beginning of period Cash and cash equivalent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(1,143,991)</w:t>
            </w:r>
          </w:p>
        </w:tc>
        <w:tc>
          <w:tcPr>
            <w:tcW w:w="5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(531,998)</w:t>
            </w:r>
          </w:p>
        </w:tc>
      </w:tr>
      <w:tr>
        <w:trPr>
          <w:trHeight w:val="238"/>
        </w:trPr>
        <w:tc>
          <w:tcPr>
            <w:tcW w:w="50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5,872,767</w:t>
            </w: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5,838,566</w:t>
            </w:r>
          </w:p>
        </w:tc>
        <w:tc>
          <w:tcPr>
            <w:tcW w:w="60" w:type="dxa"/>
            <w:vAlign w:val="bottom"/>
          </w:tcPr>
          <w:p>
            <w:pPr>
              <w:spacing w:after="0"/>
              <w:rPr>
                <w:sz w:val="20"/>
                <w:szCs w:val="20"/>
                <w:color w:val="auto"/>
              </w:rPr>
            </w:pPr>
          </w:p>
        </w:tc>
      </w:tr>
      <w:tr>
        <w:trPr>
          <w:trHeight w:val="223"/>
        </w:trPr>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4,728,776</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5,306,568</w:t>
            </w:r>
          </w:p>
        </w:tc>
        <w:tc>
          <w:tcPr>
            <w:tcW w:w="60" w:type="dxa"/>
            <w:vAlign w:val="bottom"/>
          </w:tcPr>
          <w:p>
            <w:pPr>
              <w:spacing w:after="0"/>
              <w:rPr>
                <w:sz w:val="19"/>
                <w:szCs w:val="19"/>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-462280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-179705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6720" w:space="720"/>
            <w:col w:w="3800"/>
          </w:cols>
          <w:pgMar w:left="320" w:top="68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See accompanying notes to the unaudited condensed consolidated financial statements</w:t>
      </w:r>
      <w:r>
        <w:rPr>
          <w:rFonts w:ascii="Times New Roman" w:cs="Times New Roman" w:eastAsia="Times New Roman" w:hAnsi="Times New Roman"/>
          <w:sz w:val="17"/>
          <w:szCs w:val="17"/>
          <w:color w:val="auto"/>
        </w:rPr>
        <w: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20" w:type="dxa"/>
            <w:vAlign w:val="bottom"/>
            <w:gridSpan w:val="2"/>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w w:val="99"/>
              </w:rPr>
              <w:t>STATEMENTS OF CASH FLOWS (Continued)</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Recognition of operating lease right-of-use asset and liability</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274,295</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8"/>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0" w:type="dxa"/>
            <w:vAlign w:val="bottom"/>
          </w:tcPr>
          <w:p>
            <w:pPr>
              <w:spacing w:after="0"/>
              <w:rPr>
                <w:sz w:val="18"/>
                <w:szCs w:val="18"/>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gridSpan w:val="8"/>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9"/>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15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April 1,</w:t>
            </w: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8"/>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 (unaudited)</w:t>
            </w: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974,717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9,747</w:t>
            </w:r>
          </w:p>
        </w:tc>
        <w:tc>
          <w:tcPr>
            <w:tcW w:w="4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$ 411,433,008</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(85,188)</w:t>
            </w:r>
          </w:p>
        </w:tc>
        <w:tc>
          <w:tcPr>
            <w:tcW w:w="2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(410,905,539)</w:t>
            </w:r>
          </w:p>
        </w:tc>
        <w:tc>
          <w:tcPr>
            <w:tcW w:w="2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452,028</w:t>
            </w:r>
          </w:p>
        </w:tc>
        <w:tc>
          <w:tcPr>
            <w:tcW w:w="60" w:type="dxa"/>
            <w:vAlign w:val="bottom"/>
            <w:shd w:val="clear" w:color="auto" w:fill="CCEEFF"/>
          </w:tcPr>
          <w:p>
            <w:pPr>
              <w:spacing w:after="0"/>
              <w:rPr>
                <w:sz w:val="20"/>
                <w:szCs w:val="20"/>
                <w:color w:val="auto"/>
              </w:rPr>
            </w:pPr>
          </w:p>
        </w:tc>
      </w:tr>
      <w:tr>
        <w:trPr>
          <w:trHeight w:val="216"/>
        </w:trPr>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(2,740,559)</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(2,740,559)</w:t>
            </w:r>
          </w:p>
        </w:tc>
      </w:tr>
      <w:tr>
        <w:trPr>
          <w:trHeight w:val="198"/>
        </w:trPr>
        <w:tc>
          <w:tcPr>
            <w:tcW w:w="222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financing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facilities, net of costs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481,482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4,815</w:t>
            </w:r>
          </w:p>
        </w:tc>
        <w:tc>
          <w:tcPr>
            <w:tcW w:w="40" w:type="dxa"/>
            <w:vAlign w:val="bottom"/>
          </w:tcPr>
          <w:p>
            <w:pPr>
              <w:spacing w:after="0"/>
              <w:rPr>
                <w:sz w:val="20"/>
                <w:szCs w:val="20"/>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2,853,231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2,858,046</w:t>
            </w:r>
          </w:p>
        </w:tc>
        <w:tc>
          <w:tcPr>
            <w:tcW w:w="60" w:type="dxa"/>
            <w:vAlign w:val="bottom"/>
          </w:tcPr>
          <w:p>
            <w:pPr>
              <w:spacing w:after="0"/>
              <w:rPr>
                <w:sz w:val="20"/>
                <w:szCs w:val="20"/>
                <w:color w:val="auto"/>
              </w:rPr>
            </w:pPr>
          </w:p>
        </w:tc>
      </w:tr>
      <w:tr>
        <w:trPr>
          <w:trHeight w:val="198"/>
        </w:trPr>
        <w:tc>
          <w:tcPr>
            <w:tcW w:w="1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upon exercise of</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260,323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2,603</w:t>
            </w:r>
          </w:p>
        </w:tc>
        <w:tc>
          <w:tcPr>
            <w:tcW w:w="4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1,965,091</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1,967,694</w:t>
            </w:r>
          </w:p>
        </w:tc>
        <w:tc>
          <w:tcPr>
            <w:tcW w:w="60" w:type="dxa"/>
            <w:vAlign w:val="bottom"/>
            <w:shd w:val="clear" w:color="auto" w:fill="CCEEFF"/>
          </w:tcPr>
          <w:p>
            <w:pPr>
              <w:spacing w:after="0"/>
              <w:rPr>
                <w:sz w:val="20"/>
                <w:szCs w:val="20"/>
                <w:color w:val="auto"/>
              </w:rPr>
            </w:pPr>
          </w:p>
        </w:tc>
      </w:tr>
      <w:tr>
        <w:trPr>
          <w:trHeight w:val="198"/>
        </w:trPr>
        <w:tc>
          <w:tcPr>
            <w:tcW w:w="1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stock upon exercise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options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980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0"/>
                <w:szCs w:val="20"/>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p>
        </w:tc>
      </w:tr>
      <w:tr>
        <w:trPr>
          <w:trHeight w:val="198"/>
        </w:trPr>
        <w:tc>
          <w:tcPr>
            <w:tcW w:w="1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8"/>
        </w:trPr>
        <w:tc>
          <w:tcPr>
            <w:tcW w:w="2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122,631</w:t>
            </w: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122,631</w:t>
            </w:r>
          </w:p>
        </w:tc>
        <w:tc>
          <w:tcPr>
            <w:tcW w:w="60" w:type="dxa"/>
            <w:vAlign w:val="bottom"/>
            <w:shd w:val="clear" w:color="auto" w:fill="CCEEFF"/>
          </w:tcPr>
          <w:p>
            <w:pPr>
              <w:spacing w:after="0"/>
              <w:rPr>
                <w:sz w:val="21"/>
                <w:szCs w:val="21"/>
                <w:color w:val="auto"/>
              </w:rPr>
            </w:pPr>
          </w:p>
        </w:tc>
      </w:tr>
      <w:tr>
        <w:trPr>
          <w:trHeight w:val="174"/>
        </w:trPr>
        <w:tc>
          <w:tcPr>
            <w:tcW w:w="156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June 30,</w:t>
            </w:r>
          </w:p>
        </w:tc>
        <w:tc>
          <w:tcPr>
            <w:tcW w:w="4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5"/>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2025 (unaudited)</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1,717,502</w:t>
            </w:r>
          </w:p>
        </w:tc>
        <w:tc>
          <w:tcPr>
            <w:tcW w:w="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17,175</w:t>
            </w:r>
          </w:p>
        </w:tc>
        <w:tc>
          <w:tcPr>
            <w:tcW w:w="40" w:type="dxa"/>
            <w:vAlign w:val="bottom"/>
          </w:tcPr>
          <w:p>
            <w:pPr>
              <w:spacing w:after="0"/>
              <w:rPr>
                <w:sz w:val="23"/>
                <w:szCs w:val="23"/>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416,373,961</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(85,188)</w:t>
            </w:r>
          </w:p>
        </w:tc>
        <w:tc>
          <w:tcPr>
            <w:tcW w:w="24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 (413,646,098)</w:t>
            </w:r>
          </w:p>
        </w:tc>
        <w:tc>
          <w:tcPr>
            <w:tcW w:w="260" w:type="dxa"/>
            <w:vAlign w:val="bottom"/>
          </w:tcPr>
          <w:p>
            <w:pPr>
              <w:spacing w:after="0"/>
              <w:rPr>
                <w:sz w:val="23"/>
                <w:szCs w:val="23"/>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2,659,850</w:t>
            </w:r>
          </w:p>
        </w:tc>
        <w:tc>
          <w:tcPr>
            <w:tcW w:w="60" w:type="dxa"/>
            <w:vAlign w:val="bottom"/>
          </w:tcPr>
          <w:p>
            <w:pPr>
              <w:spacing w:after="0"/>
              <w:rPr>
                <w:sz w:val="23"/>
                <w:szCs w:val="23"/>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0"/>
        </w:trPr>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8"/>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8"/>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gridSpan w:val="8"/>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60" w:type="dxa"/>
            <w:vAlign w:val="bottom"/>
          </w:tcPr>
          <w:p>
            <w:pPr>
              <w:spacing w:after="0"/>
              <w:rPr>
                <w:sz w:val="21"/>
                <w:szCs w:val="21"/>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1240" w:type="dxa"/>
            <w:vAlign w:val="bottom"/>
          </w:tcPr>
          <w:p>
            <w:pPr>
              <w:spacing w:after="0"/>
              <w:rPr>
                <w:sz w:val="19"/>
                <w:szCs w:val="19"/>
                <w:color w:val="auto"/>
              </w:rPr>
            </w:pPr>
          </w:p>
        </w:tc>
        <w:tc>
          <w:tcPr>
            <w:tcW w:w="980" w:type="dxa"/>
            <w:vAlign w:val="bottom"/>
            <w:tcBorders>
              <w:top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60" w:type="dxa"/>
            <w:vAlign w:val="bottom"/>
          </w:tcPr>
          <w:p>
            <w:pPr>
              <w:spacing w:after="0"/>
              <w:rPr>
                <w:sz w:val="19"/>
                <w:szCs w:val="19"/>
                <w:color w:val="auto"/>
              </w:rPr>
            </w:pPr>
          </w:p>
        </w:tc>
        <w:tc>
          <w:tcPr>
            <w:tcW w:w="13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1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15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April 1, 2024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8"/>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626,727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6,267</w:t>
            </w:r>
          </w:p>
        </w:tc>
        <w:tc>
          <w:tcPr>
            <w:tcW w:w="14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$ 401,557,890</w:t>
            </w:r>
          </w:p>
        </w:tc>
        <w:tc>
          <w:tcPr>
            <w:tcW w:w="13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(85,188)</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133,101</w:t>
            </w:r>
          </w:p>
        </w:tc>
        <w:tc>
          <w:tcPr>
            <w:tcW w:w="14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(393,112,327)</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8,499,743</w:t>
            </w: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(4,788,017)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(4,788,017)</w:t>
            </w:r>
          </w:p>
        </w:tc>
      </w:tr>
      <w:tr>
        <w:trPr>
          <w:trHeight w:val="198"/>
        </w:trPr>
        <w:tc>
          <w:tcPr>
            <w:tcW w:w="1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(133,101)</w:t>
            </w:r>
          </w:p>
        </w:tc>
        <w:tc>
          <w:tcPr>
            <w:tcW w:w="14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(133,101)</w:t>
            </w:r>
          </w:p>
        </w:tc>
      </w:tr>
      <w:tr>
        <w:trPr>
          <w:trHeight w:val="198"/>
        </w:trPr>
        <w:tc>
          <w:tcPr>
            <w:tcW w:w="1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162,609</w:t>
            </w:r>
          </w:p>
        </w:tc>
        <w:tc>
          <w:tcPr>
            <w:tcW w:w="13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162,609</w:t>
            </w:r>
          </w:p>
        </w:tc>
      </w:tr>
      <w:tr>
        <w:trPr>
          <w:trHeight w:val="174"/>
        </w:trPr>
        <w:tc>
          <w:tcPr>
            <w:tcW w:w="12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65"/>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626,727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6,267</w:t>
            </w:r>
          </w:p>
        </w:tc>
        <w:tc>
          <w:tcPr>
            <w:tcW w:w="140" w:type="dxa"/>
            <w:vAlign w:val="bottom"/>
            <w:shd w:val="clear" w:color="auto" w:fill="CCEEFF"/>
          </w:tcPr>
          <w:p>
            <w:pPr>
              <w:spacing w:after="0"/>
              <w:rPr>
                <w:sz w:val="23"/>
                <w:szCs w:val="23"/>
                <w:color w:val="auto"/>
              </w:rPr>
            </w:pP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401,720,499</w:t>
            </w:r>
          </w:p>
        </w:tc>
        <w:tc>
          <w:tcPr>
            <w:tcW w:w="13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(85,188)</w:t>
            </w:r>
          </w:p>
        </w:tc>
        <w:tc>
          <w:tcPr>
            <w:tcW w:w="1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(397,900,344)</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3,741,234</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8"/>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0" w:type="dxa"/>
            <w:vAlign w:val="bottom"/>
          </w:tcPr>
          <w:p>
            <w:pPr>
              <w:spacing w:after="0"/>
              <w:rPr>
                <w:sz w:val="18"/>
                <w:szCs w:val="18"/>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gridSpan w:val="8"/>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9"/>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2220" w:type="dxa"/>
            <w:vAlign w:val="bottom"/>
            <w:gridSpan w:val="5"/>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8"/>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966,714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9,667</w:t>
            </w:r>
          </w:p>
        </w:tc>
        <w:tc>
          <w:tcPr>
            <w:tcW w:w="4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$ 411,122,863</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(85,188)</w:t>
            </w:r>
          </w:p>
        </w:tc>
        <w:tc>
          <w:tcPr>
            <w:tcW w:w="2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(406,803,044)</w:t>
            </w:r>
          </w:p>
        </w:tc>
        <w:tc>
          <w:tcPr>
            <w:tcW w:w="2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4,244,298</w:t>
            </w:r>
          </w:p>
        </w:tc>
        <w:tc>
          <w:tcPr>
            <w:tcW w:w="60" w:type="dxa"/>
            <w:vAlign w:val="bottom"/>
            <w:shd w:val="clear" w:color="auto" w:fill="CCEEFF"/>
          </w:tcPr>
          <w:p>
            <w:pPr>
              <w:spacing w:after="0"/>
              <w:rPr>
                <w:sz w:val="20"/>
                <w:szCs w:val="20"/>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(6,843,054)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(6,843,054)</w:t>
            </w:r>
          </w:p>
        </w:tc>
      </w:tr>
      <w:tr>
        <w:trPr>
          <w:trHeight w:val="198"/>
        </w:trPr>
        <w:tc>
          <w:tcPr>
            <w:tcW w:w="222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equity financing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facilities, net of costs</w:t>
            </w:r>
          </w:p>
        </w:tc>
        <w:tc>
          <w:tcPr>
            <w:tcW w:w="11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489,485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4,895</w:t>
            </w:r>
          </w:p>
        </w:tc>
        <w:tc>
          <w:tcPr>
            <w:tcW w:w="40" w:type="dxa"/>
            <w:vAlign w:val="bottom"/>
          </w:tcPr>
          <w:p>
            <w:pPr>
              <w:spacing w:after="0"/>
              <w:rPr>
                <w:sz w:val="20"/>
                <w:szCs w:val="20"/>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2,958,843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2,963,738</w:t>
            </w:r>
          </w:p>
        </w:tc>
        <w:tc>
          <w:tcPr>
            <w:tcW w:w="60" w:type="dxa"/>
            <w:vAlign w:val="bottom"/>
          </w:tcPr>
          <w:p>
            <w:pPr>
              <w:spacing w:after="0"/>
              <w:rPr>
                <w:sz w:val="20"/>
                <w:szCs w:val="20"/>
                <w:color w:val="auto"/>
              </w:rPr>
            </w:pPr>
          </w:p>
        </w:tc>
      </w:tr>
      <w:tr>
        <w:trPr>
          <w:trHeight w:val="198"/>
        </w:trPr>
        <w:tc>
          <w:tcPr>
            <w:tcW w:w="222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upon exercise of</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260,323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2,603</w:t>
            </w:r>
          </w:p>
        </w:tc>
        <w:tc>
          <w:tcPr>
            <w:tcW w:w="4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1,965,091</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1,967,694</w:t>
            </w:r>
          </w:p>
        </w:tc>
        <w:tc>
          <w:tcPr>
            <w:tcW w:w="60" w:type="dxa"/>
            <w:vAlign w:val="bottom"/>
            <w:shd w:val="clear" w:color="auto" w:fill="CCEEFF"/>
          </w:tcPr>
          <w:p>
            <w:pPr>
              <w:spacing w:after="0"/>
              <w:rPr>
                <w:sz w:val="20"/>
                <w:szCs w:val="20"/>
                <w:color w:val="auto"/>
              </w:rPr>
            </w:pPr>
          </w:p>
        </w:tc>
      </w:tr>
      <w:tr>
        <w:trPr>
          <w:trHeight w:val="198"/>
        </w:trPr>
        <w:tc>
          <w:tcPr>
            <w:tcW w:w="222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stock upon exercise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restricted options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980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0"/>
                <w:szCs w:val="20"/>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p>
        </w:tc>
      </w:tr>
      <w:tr>
        <w:trPr>
          <w:trHeight w:val="198"/>
        </w:trPr>
        <w:tc>
          <w:tcPr>
            <w:tcW w:w="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8"/>
        </w:trPr>
        <w:tc>
          <w:tcPr>
            <w:tcW w:w="2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327,164</w:t>
            </w: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327,164</w:t>
            </w:r>
          </w:p>
        </w:tc>
        <w:tc>
          <w:tcPr>
            <w:tcW w:w="60" w:type="dxa"/>
            <w:vAlign w:val="bottom"/>
            <w:shd w:val="clear" w:color="auto" w:fill="CCEEFF"/>
          </w:tcPr>
          <w:p>
            <w:pPr>
              <w:spacing w:after="0"/>
              <w:rPr>
                <w:sz w:val="21"/>
                <w:szCs w:val="21"/>
                <w:color w:val="auto"/>
              </w:rPr>
            </w:pPr>
          </w:p>
        </w:tc>
      </w:tr>
      <w:tr>
        <w:trPr>
          <w:trHeight w:val="174"/>
        </w:trPr>
        <w:tc>
          <w:tcPr>
            <w:tcW w:w="2040" w:type="dxa"/>
            <w:vAlign w:val="bottom"/>
            <w:gridSpan w:val="3"/>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June 30,</w:t>
            </w: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5"/>
        </w:trPr>
        <w:tc>
          <w:tcPr>
            <w:tcW w:w="2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2025 (unaudited)</w:t>
            </w:r>
          </w:p>
        </w:tc>
        <w:tc>
          <w:tcPr>
            <w:tcW w:w="11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1,717,502</w:t>
            </w:r>
          </w:p>
        </w:tc>
        <w:tc>
          <w:tcPr>
            <w:tcW w:w="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17,175</w:t>
            </w:r>
          </w:p>
        </w:tc>
        <w:tc>
          <w:tcPr>
            <w:tcW w:w="40" w:type="dxa"/>
            <w:vAlign w:val="bottom"/>
          </w:tcPr>
          <w:p>
            <w:pPr>
              <w:spacing w:after="0"/>
              <w:rPr>
                <w:sz w:val="23"/>
                <w:szCs w:val="23"/>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416,373,961</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(85,188)</w:t>
            </w:r>
          </w:p>
        </w:tc>
        <w:tc>
          <w:tcPr>
            <w:tcW w:w="24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 (413,646,098)</w:t>
            </w:r>
          </w:p>
        </w:tc>
        <w:tc>
          <w:tcPr>
            <w:tcW w:w="260" w:type="dxa"/>
            <w:vAlign w:val="bottom"/>
          </w:tcPr>
          <w:p>
            <w:pPr>
              <w:spacing w:after="0"/>
              <w:rPr>
                <w:sz w:val="23"/>
                <w:szCs w:val="23"/>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2,659,850</w:t>
            </w:r>
          </w:p>
        </w:tc>
        <w:tc>
          <w:tcPr>
            <w:tcW w:w="60" w:type="dxa"/>
            <w:vAlign w:val="bottom"/>
          </w:tcPr>
          <w:p>
            <w:pPr>
              <w:spacing w:after="0"/>
              <w:rPr>
                <w:sz w:val="23"/>
                <w:szCs w:val="23"/>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0"/>
        </w:trPr>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8"/>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20" w:type="dxa"/>
            <w:vAlign w:val="bottom"/>
            <w:gridSpan w:val="8"/>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gridSpan w:val="8"/>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60" w:type="dxa"/>
            <w:vAlign w:val="bottom"/>
          </w:tcPr>
          <w:p>
            <w:pPr>
              <w:spacing w:after="0"/>
              <w:rPr>
                <w:sz w:val="21"/>
                <w:szCs w:val="21"/>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21"/>
                <w:szCs w:val="21"/>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60" w:type="dxa"/>
            <w:vAlign w:val="bottom"/>
          </w:tcPr>
          <w:p>
            <w:pPr>
              <w:spacing w:after="0"/>
              <w:rPr>
                <w:sz w:val="19"/>
                <w:szCs w:val="19"/>
                <w:color w:val="auto"/>
              </w:rPr>
            </w:pPr>
          </w:p>
        </w:tc>
        <w:tc>
          <w:tcPr>
            <w:tcW w:w="13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8"/>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626,654</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6,266</w:t>
            </w:r>
          </w:p>
        </w:tc>
        <w:tc>
          <w:tcPr>
            <w:tcW w:w="14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$ 401,588,570</w:t>
            </w:r>
          </w:p>
        </w:tc>
        <w:tc>
          <w:tcPr>
            <w:tcW w:w="13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(85,188)</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60,796</w:t>
            </w:r>
          </w:p>
        </w:tc>
        <w:tc>
          <w:tcPr>
            <w:tcW w:w="14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(388,182,802)</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13,387,642</w:t>
            </w:r>
          </w:p>
        </w:tc>
        <w:tc>
          <w:tcPr>
            <w:tcW w:w="60" w:type="dxa"/>
            <w:vAlign w:val="bottom"/>
            <w:shd w:val="clear" w:color="auto" w:fill="CCEEFF"/>
          </w:tcPr>
          <w:p>
            <w:pPr>
              <w:spacing w:after="0"/>
              <w:rPr>
                <w:sz w:val="20"/>
                <w:szCs w:val="20"/>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(9,717,542)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(9,717,542)</w:t>
            </w:r>
          </w:p>
        </w:tc>
      </w:tr>
      <w:tr>
        <w:trPr>
          <w:trHeight w:val="198"/>
        </w:trPr>
        <w:tc>
          <w:tcPr>
            <w:tcW w:w="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upon exercise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restricted</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2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20"/>
                <w:szCs w:val="20"/>
                <w:color w:val="auto"/>
              </w:rPr>
            </w:pPr>
          </w:p>
        </w:tc>
      </w:tr>
      <w:tr>
        <w:trPr>
          <w:trHeight w:val="198"/>
        </w:trPr>
        <w:tc>
          <w:tcPr>
            <w:tcW w:w="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8"/>
              </w:rPr>
              <w:t>Realized and</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unrealized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gains (losses),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net, on</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(60,796)</w:t>
            </w:r>
          </w:p>
        </w:tc>
        <w:tc>
          <w:tcPr>
            <w:tcW w:w="14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(60,796)</w:t>
            </w:r>
          </w:p>
        </w:tc>
      </w:tr>
      <w:tr>
        <w:trPr>
          <w:trHeight w:val="198"/>
        </w:trPr>
        <w:tc>
          <w:tcPr>
            <w:tcW w:w="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8"/>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2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131,929</w:t>
            </w:r>
          </w:p>
        </w:tc>
        <w:tc>
          <w:tcPr>
            <w:tcW w:w="13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131,929</w:t>
            </w:r>
          </w:p>
        </w:tc>
        <w:tc>
          <w:tcPr>
            <w:tcW w:w="60" w:type="dxa"/>
            <w:vAlign w:val="bottom"/>
            <w:shd w:val="clear" w:color="auto" w:fill="CCEEFF"/>
          </w:tcPr>
          <w:p>
            <w:pPr>
              <w:spacing w:after="0"/>
              <w:rPr>
                <w:sz w:val="21"/>
                <w:szCs w:val="21"/>
                <w:color w:val="auto"/>
              </w:rPr>
            </w:pPr>
          </w:p>
        </w:tc>
      </w:tr>
      <w:tr>
        <w:trPr>
          <w:trHeight w:val="174"/>
        </w:trPr>
        <w:tc>
          <w:tcPr>
            <w:tcW w:w="9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3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2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65"/>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626,727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6,267</w:t>
            </w:r>
          </w:p>
        </w:tc>
        <w:tc>
          <w:tcPr>
            <w:tcW w:w="140" w:type="dxa"/>
            <w:vAlign w:val="bottom"/>
          </w:tcPr>
          <w:p>
            <w:pPr>
              <w:spacing w:after="0"/>
              <w:rPr>
                <w:sz w:val="23"/>
                <w:szCs w:val="23"/>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401,720,499</w:t>
            </w:r>
          </w:p>
        </w:tc>
        <w:tc>
          <w:tcPr>
            <w:tcW w:w="13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(85,188)</w:t>
            </w:r>
          </w:p>
        </w:tc>
        <w:tc>
          <w:tcPr>
            <w:tcW w:w="1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 (397,900,344)</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3,741,234</w:t>
            </w:r>
          </w:p>
        </w:tc>
        <w:tc>
          <w:tcPr>
            <w:tcW w:w="60" w:type="dxa"/>
            <w:vAlign w:val="bottom"/>
          </w:tcPr>
          <w:p>
            <w:pPr>
              <w:spacing w:after="0"/>
              <w:rPr>
                <w:sz w:val="23"/>
                <w:szCs w:val="23"/>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Inc. (“Imunon” or the “Company”)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that has completed multiple clinical trials including one Phase II clinical trial (OVATION 2). IMNN-001 works by instructing the body to produce safe and durable levels of powerful cancer-fighting molecules, such as interleukin-12 and interferon gamma, at the tumor site. Additionally, the Company has completed dosing in a first-in-human study of its COVID-19 booster vaccine (IMNN-101). The Company will continue to leverage these modalities and to advance, either directly or through partnership, the technological frontier of plasmid DNA to better serve patients with difficult-to-treat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accounts of the Company and its wholly owned subsidiaries, have been prepared in accordance with accounting principles generally accepted in the United States (“GAAP”) for interim financial information and with the instructions to Form 10-Q and Article 10 of Regulation S-X. All significant intercompany balances and transactions have been eliminated in consolidation. During the quarter ended June 30, 2025, there were no changes to the Company’s accounting policies. Certain information and disclosures normally included in financial statements prepared in accordance with GAAP have been condensed or omitted pursuant to such rules and regulations.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months ended June 30, 2025 and 2024 are not necessarily indicative of the results that may be expected for any other interim period(s) or for any full year. For further information, refer to the consolidated financial statements and notes thereto included in the Company’s Annual Report on Form 10-K for the fiscal year ended December 31, 2024, filed with the Securities and Exchange Commission on February 27, 2025.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amounts reported in the Company’s condensed consolidated financial statements and accompanying notes. Actual results could differ materially from those estimates. Events and conditions arising subsequent to the most recent balance sheet date have been evaluated for their possible impact on the condensed consolidated financial statements and accompanying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Uncertainty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FDA. The Company has not generated significant revenue and has incurred significant net losses in each year since inception. For the six months ended June 30, 2025, the Company had a net loss of $6.8 million and used $5.8 million to fund operations. As of June 30, 2025, the Company has incurred approximately $414 million of cumulative net losses. As of June 30, 2025, the Company had $4.7 million in cash and cash equivalents to fund its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recent tariff announcement by the U.S. federal government, the Russian invasion of Ukraine and the unrest in the Middle East. The Company continues to monitor its operating activities in light of these events, and it is possible that these events could result in a variety of risks to the business. The specific impact, if any, is not readily determinable as of the date of these condensed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 If the Company raises funds by selling additional shares of common stock or other securities convertible into common stock, the ownership interest of existing stockholders may be diluted.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progress of research activities; the number and scope of research programs; the progress of preclinical and clinical development activities; the progress of the development efforts of parties with whom the Company has entered into research and development agreements; the costs associated with additional clinical trials of drug candidates; the ability to maintain current research and development licensing arrangements and to establish new research and development and licensing arrangements; the ability to achieve milestones under licensing arrangements; the costs involved in prosecuting and enforcing patent claims and other intellectual property rights; and the costs and timing of regulatory approvals.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A fundamental component of the ability to continue as a going concern is the Company’s ability to raise capital as required, as to which no assurances can be provided. To address the additional funding requirements of the Company, management has undertaken the following initiatives:</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assessed its current expenditures and will reduce spending where necessary;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additional capital funding in the public and private markets through equity sales and/or debt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possible partnerships and collaborations;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potential out licensing for its drug candidates.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ability to continue as a going concern will depend on its ability to raise additional capital, attain further operating efficiencies, reduce expenditures, and, ultimately, to generate revenue. There are no assurances that these future funding and operating efforts will be successful. If management is unsuccessful in these efforts, the Company’s current capital is not expected to be sufficient to fund operations for the next twelve months.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plan includes private or public equity financings, collaborations, or other strategic transactions such as raising funds from outside investors via its ATM program and other potential funding sources. The Company may not be able to obtain funding on acceptable terms, or at all. The terms of any financing may adversely affect the holdings or the rights of the Company’s stockholders. The Company’s ability to raise additional funds will depend, among other factors, on financial, economic and market conditions, many of which are outside of its control, and it may be unable to raise financing when needed, or on terms favorable to the Company. If the Company is unable to obtain sufficient capital to fund its operations it may be required to evaluate alternatives. The Company’s condensed consolidated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New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and are adopted by the Company as of the specified effective date. Unless otherwise discussed, the Company believes that the impact of recently issued accounting pronouncements will not have a material impact on the Company’s condensed consolidated financial position, results of operations, and cash flows, or do not apply to its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No. 2023-09, “Improvements to Income Tax Disclosures”, which requires disclosure of disaggregated income taxes paid, prescribes standard categories for the components of the effective tax rate reconciliation, and modifies other income tax-related disclosures. ASU No. 2023-09 is effective for the Company’s Annual Report on Form 10-K for the year ended December 31, 2025. Early adoption is permitted. The Company is currently evaluating the impact of the ASU on the income tax disclosures within the condensed consolidated financial statements, the Company expects changes to the Company’s income tax disclosure.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Disaggregation of Income Statement Expenses” (“ASU 2024-03”). ASU 2024-03 will require more detailed information about the types of expenses in commonly presented income statement captions such as “Cost of sales” and “Selling, general and administrative expenses”. The new guidance is effective for annual reporting periods beginning after December 15, 2026, and interim reporting periods beginning after December 15, 2027 with early adoption permitted. The Company is currently evaluating the impact that this change will have on the Company’s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and diluted net loss per common share was computed by dividing net 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number of shares of common stock issuable upon exercise of warrants, stock option grants and equity awards was 1,198,176 and 102,169 shares for the six months ended June 30, 2025 and 2024, respectively. For the six-month periods ended June 30, 2025 and 2024,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 The Company did not pay any dividends during the first six months of 2025 or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Segment Performance Measures and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one segment for the research and development of our product candidates. The Company’s chief operating decision maker (“CODM”) has been identified as the Chief Executive Officer and President, who reviews operating results to make decisions about allocating resources and assessing performance for the entire Company based on condensed consolidated financial information. Consequently, we view the entire organization as one reportable segment and the strategic purpose of all operating activities (including general &amp; administrative expenses) is to support that one segment. As a pre-revenue research and development company, the CODM evaluates company-wide performance and allocates resources based on non-financial research and development milestones achieved, and to a lesser extent, financial measures of performance such as clinical development (research and development expenses) and general and administrative expenses incurred. Our CODM does not generally evaluate our performance using asset or historical cash flow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the significant expense categories and consolidated net loss details provided to the CODM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9"/>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6"/>
          </w:tcPr>
          <w:p>
            <w:pPr>
              <w:jc w:val="right"/>
              <w:ind w:right="870"/>
              <w:spacing w:after="0" w:line="188" w:lineRule="exact"/>
              <w:rPr>
                <w:sz w:val="20"/>
                <w:szCs w:val="20"/>
                <w:color w:val="auto"/>
              </w:rPr>
            </w:pPr>
            <w:r>
              <w:rPr>
                <w:rFonts w:ascii="Times New Roman" w:cs="Times New Roman" w:eastAsia="Times New Roman" w:hAnsi="Times New Roman"/>
                <w:sz w:val="18"/>
                <w:szCs w:val="18"/>
                <w:b w:val="1"/>
                <w:bCs w:val="1"/>
                <w:color w:val="auto"/>
              </w:rPr>
              <w:t>Change Increase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20" w:type="dxa"/>
            <w:vAlign w:val="bottom"/>
            <w:gridSpan w:val="6"/>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382</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721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(339)</w:t>
            </w:r>
          </w:p>
        </w:tc>
        <w:tc>
          <w:tcPr>
            <w:tcW w:w="1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Placcine Vaccine</w:t>
            </w:r>
          </w:p>
        </w:tc>
        <w:tc>
          <w:tcPr>
            <w:tcW w:w="320" w:type="dxa"/>
            <w:vAlign w:val="bottom"/>
          </w:tcPr>
          <w:p>
            <w:pPr>
              <w:spacing w:after="0"/>
              <w:rPr>
                <w:sz w:val="18"/>
                <w:szCs w:val="18"/>
                <w:color w:val="auto"/>
              </w:rPr>
            </w:pP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(856)</w:t>
            </w: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(149)</w:t>
            </w:r>
          </w:p>
        </w:tc>
        <w:tc>
          <w:tcPr>
            <w:tcW w:w="1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3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20" w:type="dxa"/>
            <w:vAlign w:val="bottom"/>
          </w:tcPr>
          <w:p>
            <w:pPr>
              <w:spacing w:after="0"/>
              <w:rPr>
                <w:sz w:val="18"/>
                <w:szCs w:val="18"/>
                <w:color w:val="auto"/>
              </w:rPr>
            </w:pP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1,485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652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833</w:t>
            </w:r>
          </w:p>
        </w:tc>
        <w:tc>
          <w:tcPr>
            <w:tcW w:w="1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1,956</w:t>
            </w:r>
          </w:p>
        </w:tc>
        <w:tc>
          <w:tcPr>
            <w:tcW w:w="2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8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320" w:type="dxa"/>
            <w:vAlign w:val="bottom"/>
          </w:tcPr>
          <w:p>
            <w:pPr>
              <w:spacing w:after="0"/>
              <w:rPr>
                <w:sz w:val="19"/>
                <w:szCs w:val="19"/>
                <w:color w:val="auto"/>
              </w:rPr>
            </w:pP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(255)</w:t>
            </w: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3,521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3,911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(390)</w:t>
            </w:r>
          </w:p>
        </w:tc>
        <w:tc>
          <w:tcPr>
            <w:tcW w:w="1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Other Accrued Liabilities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accrued liabilities at June 30, 2025 and December 31, 2024 include the following:</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contract research organizations and other contractual agreements</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843,003</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2,273,259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1,945,111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 and 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83,240</w:t>
            </w:r>
          </w:p>
        </w:tc>
        <w:tc>
          <w:tcPr>
            <w:tcW w:w="3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40,600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3,199,502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3,033,747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15, 2024, the Company filed with the U.S. Securities and Exchange Commission (“SEC”) a shelf registration statement on Form S-3 (the “2024 Registration Statement”) for the offer and sale of up to $75 million of its securities. The 2024 Registration Statement was declared effective on May 22, 2024. The 2024 Registration Statement is intended to provide the Company with flexibility to raise capital in the future for general corporate purposes. However, the Company’s ability to offer and sell its securities in a primary offering on the 2024 Registration Statement is limited by General Instruction I.B.6 of Form S-3 (the “Baby Shelf Limitation”), which limits the amount that the Company can offer to up to one-third of its public float during any trailing 12-month period. The Company would no longer be subject to the Baby Shelf Limitation if its public float exceeds $75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15, 2024, the Company amended the At the Market Offering Agreement, dated as of May 25, 2022 (the “ATM Agreement”) with H.C. Wainwright</w:t>
      </w:r>
    </w:p>
    <w:p>
      <w:pPr>
        <w:spacing w:after="0" w:line="39" w:lineRule="exact"/>
        <w:rPr>
          <w:sz w:val="20"/>
          <w:szCs w:val="20"/>
          <w:color w:val="auto"/>
        </w:rPr>
      </w:pPr>
    </w:p>
    <w:p>
      <w:pPr>
        <w:jc w:val="both"/>
        <w:ind w:firstLine="8"/>
        <w:spacing w:after="0" w:line="253" w:lineRule="auto"/>
        <w:tabs>
          <w:tab w:leader="none" w:pos="1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(“Wainwright”) as sales agent. Pursuant to the terms of the amended ATM Agreement, the Company may offer and sell, from time to time, through Wainwright, shares of the Company’s common stock having an aggregate offering price of up to $5,500,000. The Company intends to use the net proceeds from any offering under the amended ATM Agreement for general corporate purposes, including research and development activities, capital expenditures and working capital.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30, 2024, the Company notified Wainwright that it was suspending its use of and terminating the “at the market offering” sales agreement prospectus (the “ATM Prospectus”), related to the potential issuance from time to time of the Company’s common stock pursuant to the ATM Agreement, by and between the Company and Wainwright. Notwithstanding the termination of the ATM Prospectus, the ATM Agreement remains in full force and effect.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 2024, the Company filed a new prospectus supplement to the 2024 Registration Statement with the SEC for an aggregate offering price of up to $5,500,000 related to the potential issuance from time to time of the Company’s common stock pursuant to the ATM Agreement with Wainwright as sales agent.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On July 22, 2025, the Company filed a prospectus supplement (the “Prospectus Supplement”) to register an additional $4,500,000 of shares of the Company’s common stock, par value $0.01 per share issuable pursuant to the At the Market Offering Agreement, dated as of May 25, 2022, as amended by Amendment No. 1 to At the Market Offering Agreement, dated as of May 15, 2024 (as amended, the “Sales Agreement”), by and between the Company and H.C. Wainwright &amp; Co., LLC, as sales agent or principal (the “Sales Agent”). The Company previously registered the offer and sale of up to $5,500,000 of shares of Common Stock through the Sales Agent under the Sales Agreement. Prior to the date hereof, the Company has sold an aggregate of $1,815,267 shares of Common Stock through the Sales Agent under the Sales Agreement. Accordingly, the Prospectus Supplement covers an aggregate of $8,184,733 of Shares, consisting of $3,684,733 remaining of the amount originally registered and the additional $4,500,000 increase under the Prospectus Supplement.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sold 5,920 shares of common stock under the ATM Agreement for net proceeds of $99,506 during 2024. The Company sold 190,176 shares of common stock under the ATM Agreement for net proceeds of $1,648,831 through July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auto"/>
        </w:rPr>
        <w:t>July 2024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30, 2024, the Company entered into the July 2024 Purchase Agreement with the Purchasers, pursuant to which the Company issued, in a registered direct offering, an aggregate of 333,334 shares of the Company’s common stock at an offering price of $30.00 per share for gross proceeds of $10.0 million before the deduction of placement agent fees and offering expenses. In a concurrent private placement and also pursuant to the July 2024 Purchase Agreement, the Company issued to the Purchasers the Warrants to purchase an aggregate of 333,334 shares of its common stock at an exercise price of $30.00 per share.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Warrants became exercisable immediately after issuance for a term of five and one-half years following the date of issuance. The closing of the July 2024 Offering occurred on August 1,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12, 2025, the Company entered into an exchange agreement (the “Agreement”) with the holders (the “Warrant Holders”) of certain warrants of the Company issued on August 1, 2024, which are exercisable for an aggregate of 333,334 shares of the Company’s common stock, par value $0.01 per share. Pursuant to the terms of the Agreement, the Company will issue to the Warrant Holders an aggregate of 194,734 shares of Common Stock (the “Warrant Exchange Shares”), on a one-for-one basis, in exchange for shares issuable under the Warrants (the “Warrant Exchange”), in reliance on an exemption from registration provided by Section 3(a)(9) of the Securities Act of 1933, as amended (the “Securities Act”). Pursuant to the Agreement, the Warrant Holders also agreed to waive the Company’s compliance with the provisions of Section 4.12(b) of the Securities Purchase Agreement, dated July 30, 2024, with respect to any Company Variable Rate Transaction (as defined in the Purchase Agreement) for a period of forty-five (45) days from the date of the Agreement and agreed to a lock up period on the Warrant Exchange Shares ending on the opening of trading on May 14, 2025. The Warrant Exchange closed on May 13, 2025. The number of Warrant Exchange Shares that will be issued pursuant to the Agreement will represent 19.98% of the shares of Common Stock outstanding as of the date of the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May 2025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23, 2025, the Company entered into a Securities Purchase Agreement with certain institutional and accredited investors, for the issuance and sale in a private placement of: (i) 185,186 shares of the Company’s common stock, (ii) 296,297 of pre-funded warrants at an exercise price of $0.0001 per share and (iii) 962,964 warrants at an exercise price of $6.75 per share for gross proceeds of approximately $3.3 million before the deduction of placement agent fees and offering expenses.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Prefunded Warrants became exercisable immediately after issuance for a term of two and one-half years following the date of issuance. The Warrants will be exercisable upon receipt of such approval as may be required by the applicable rules and regulations of the Nasdaq Stock Market (or any successor entity) from the stockholders of the Company with respect to issuance of all of the Warrants and the shares of Common Stock upon the exercise thereof (“Stockholder Approval,” and such date, the “Stockholder Approval Date”) and have a term of three years. The prefunded warrants were exercised in full on June 16, 2025 and June 18,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issued to H.C. Wainwright &amp; Co., LLC warrants (the “Placement Agent Warrants”) to purchase up to an aggregate of 24,075 shares of common stock at an exercise price equal to $8.44 per share. The Placement Agent Warrants have substantially the same terms as the Warrants. The closing of the May 2025 Offering occurred on May 28, 2025. On July 11, 2025, the Company’s shareholders approved the issuance of the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2018, stockholders approved the Imunon, Inc. 2018 Stock Incentive Plan (the “2018 Plan”). The 2018 Plan, as amended, permits the granting of 131,334 shares of Imunon common stock as equity awards in the form of incentive stock options, nonqualified stock options, restricted stock, restricted stock units, stock appreciation rights, other stock awards, performance awards, or in any combination of the foregoing.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2025, there were a total of 130,691 shares of Imunon common stock reserved for issuance under the 2018 Plan, which were comprised of 112,424 shares of Imunon common stock subject to equity awards previously granted under the 2018 Plan and the Company’s 2007 Stock Incentive Plan and 18,267 shares of Imunon common stock available for future issuance under the 2018 Plan. At the 2025 Annual Stockholders Meeting of the Company held on July 11, 2025, stockholders approved an amendment to the 2018 Plan, as previously amended, whereby the Company increased the number of shares of common stock available by 133,333 to a total of 264,667 under the 2018 Plan, as amended. Prior to the adoption of the 2018 Plan, the Company had maintained the 2007 Stock Incentive Plan (the “2007 Plan”).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2025, the Compensation Committee of the Board of Directors approved the grant of inducement stock options (the “Inducement Option Grants”) to purchase a total of 15,366 shares of Imunon common stock. Each Inducement Option Grant has a weighted exercise price of $14.71 per share. Each Inducement Option Grant vests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was approximately $0.3 million and $0.1 million of expense for the six months ended June 30, 2025 and 2024, respectively. Of these amounts, approximately $0.1 million for the six months ended June 30, 2025 and 2024 were charged to research and development expenses and $0.2 million of expense for the six months ended June 30, 2025 and $17,000 reversal of expense for the six months ended June 30, 2024 were charged to general and administrative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906"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stock option awards and restricted stock grants, inclusive of awards granted under the 2018 Stock Plan and Inducement Option Grants for the six-months ended June 30, 2025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52"/>
        </w:trPr>
        <w:tc>
          <w:tcPr>
            <w:tcW w:w="4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66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187"/>
        </w:trPr>
        <w:tc>
          <w:tcPr>
            <w:tcW w:w="47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40" w:type="dxa"/>
            <w:vAlign w:val="bottom"/>
          </w:tcPr>
          <w:p>
            <w:pPr>
              <w:spacing w:after="0"/>
              <w:rPr>
                <w:sz w:val="16"/>
                <w:szCs w:val="16"/>
                <w:color w:val="auto"/>
              </w:rPr>
            </w:pPr>
          </w:p>
        </w:tc>
        <w:tc>
          <w:tcPr>
            <w:tcW w:w="110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1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Terms of</w:t>
            </w: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38"/>
        </w:trPr>
        <w:tc>
          <w:tcPr>
            <w:tcW w:w="4740" w:type="dxa"/>
            <w:vAlign w:val="bottom"/>
          </w:tcPr>
          <w:p>
            <w:pPr>
              <w:spacing w:after="0"/>
              <w:rPr>
                <w:sz w:val="20"/>
                <w:szCs w:val="20"/>
                <w:color w:val="auto"/>
              </w:rPr>
            </w:pP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January 1, 2025</w:t>
            </w: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109,725</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granted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21,449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12.96</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issued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14.85</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terminated</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27.88</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June 30, 2025</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126,124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26.59</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14.85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exercisable at June 30, 2025</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78,453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32.70</w:t>
            </w: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 equity awards exercisable at June</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there was $0.4 million of total unrecognized compensation cost related to non-vested stock-based compensation arrangements. That cost is expected to be recognized over a period of three to four years. The weighted average grant date fair value of the stock options granted was $0.81 during the six months ended June 30,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the Company’s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3420" w:type="dxa"/>
            <w:vAlign w:val="bottom"/>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6360" w:type="dxa"/>
            <w:vAlign w:val="bottom"/>
          </w:tcPr>
          <w:p>
            <w:pPr>
              <w:spacing w:after="0"/>
              <w:rPr>
                <w:sz w:val="20"/>
                <w:szCs w:val="20"/>
                <w:color w:val="auto"/>
              </w:rPr>
            </w:pPr>
          </w:p>
        </w:tc>
        <w:tc>
          <w:tcPr>
            <w:tcW w:w="3420" w:type="dxa"/>
            <w:vAlign w:val="bottom"/>
            <w:tcBorders>
              <w:bottom w:val="single" w:sz="8" w:color="auto"/>
            </w:tcBorders>
            <w:gridSpan w:val="3"/>
          </w:tcPr>
          <w:p>
            <w:pPr>
              <w:ind w:left="20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4.31 to 4.55%</w:t>
            </w:r>
          </w:p>
        </w:tc>
        <w:tc>
          <w:tcPr>
            <w:tcW w:w="8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42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110.74 to 115.63%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101.74 to 108.94%</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42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9.0 to 10.0</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 to 10.0</w:t>
            </w:r>
          </w:p>
        </w:tc>
      </w:t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w:t>
            </w:r>
          </w:p>
        </w:tc>
        <w:tc>
          <w:tcPr>
            <w:tcW w:w="82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Warrants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Following is a summary of all warrant activity for the six-month period ended June 30, 2025:</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0"/>
        </w:trPr>
        <w:tc>
          <w:tcPr>
            <w:tcW w:w="6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January 1, 2025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343,671</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37.65</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1,283,334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 – cashless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(194,734)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(361,888)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r>
      <w:tr>
        <w:trPr>
          <w:trHeight w:val="209"/>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June 30, 2025</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1,070,383</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 of outstanding warrants at June 30, 2025</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5,141,320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terms at June 30, 2025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 years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Leases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Lawrenceville, New Jersey Lease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the Company renewed its Lawrenceville office lease for a 24-month agreement for 9,850 square feet with monthly rent payments of approximately $22,983 to $23,394. In April 2025, the Company renewed its Lawrenceville office lease until November 30, 2028 for 4,359 square feet (to be reduced to 4,011 following April 1, 2026) with monthly rent payments of approximately $10,361 to $10,863.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Huntsville, Alabama Lease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renewed its Huntsville facility lease for a 60-month lease agreement for 11,420 square feet with monthly rent payments of approximately $28,550 to $30,903.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table of the lease payments and maturity of the Company’s operating lease liabilities as of June 30, 2025:</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60" w:type="dxa"/>
            <w:vAlign w:val="bottom"/>
            <w:gridSpan w:val="2"/>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240,391</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488,821</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498,086</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3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149,896</w:t>
            </w: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future lease payments</w:t>
            </w:r>
          </w:p>
        </w:tc>
        <w:tc>
          <w:tcPr>
            <w:tcW w:w="3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1,377,194</w:t>
            </w: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3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(183,787)</w:t>
            </w:r>
          </w:p>
        </w:tc>
      </w:tr>
      <w:tr>
        <w:trPr>
          <w:trHeight w:val="223"/>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4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1,193,407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7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57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six-month period ended June 30, 2025, operating lease expense was $283,813 and cash paid for operating leases included in operating cash flows was $283,083. For the six-month period ended June 30, 2024, operating lease expense was $314,457 and cash paid for operating leases included in operating cash flows was $325,091.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its subsequent events from June 30, 2025, through the date these condensed consolidated financial statements were issued.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a number of significant provisions, including the permanent extension of certain expiring provisions of the 2017 Tax Cuts and Jobs Act. Additionally, the OBBBA contains changes to the capitalization of research and development expenses, accelerated fixed asset depreciation, and limitations on deductions for interest expense, among other provisions. The Company is still evaluating the impact of the OBBBA.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25, 2025, the Company effected a 15-for-1 reverse stock split of its common stock which was made effective for trading purposes as of 12:01 a.m. ET on July 25, 2025. As of that date, each 15 shares of issued and outstanding common stock and equivalents were consolidated into one share of common</w:t>
      </w:r>
    </w:p>
    <w:p>
      <w:pPr>
        <w:sectPr>
          <w:pgSz w:w="11900" w:h="16838" w:orient="portrait"/>
          <w:cols w:equalWidth="0" w:num="1">
            <w:col w:w="11240"/>
          </w:cols>
          <w:pgMar w:left="320" w:top="684" w:right="339" w:bottom="0" w:gutter="0" w:footer="0" w:header="0"/>
        </w:sectPr>
      </w:pPr>
    </w:p>
    <w:bookmarkStart w:id="18" w:name="page19"/>
    <w:bookmarkEnd w:id="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All shares have been restated to reflect the effects of the 15-for-1 reverse stock split. In addition, at the market open on July 25, 2025, the Company’s common stock started trading under a new CUSIP number 15117N701 although the Company’s ticker symbol, IMNN, remained unchanged.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reverse stock split was previously approved by the Company’s stockholders at the 2025 Annual Meeting held on July 11, 2025, and the Company subsequently filed a Certificate of Amendment to its Certificate of Incorporation to effect the stock consolidation. The primary reasons for the reverse stock split and the amendment are:</w:t>
      </w:r>
    </w:p>
    <w:p>
      <w:pPr>
        <w:spacing w:after="0" w:line="176" w:lineRule="exact"/>
        <w:rPr>
          <w:sz w:val="20"/>
          <w:szCs w:val="20"/>
          <w:color w:val="auto"/>
        </w:rPr>
      </w:pPr>
    </w:p>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Company with the ability to support its future anticipated growth and would provide greater flexibility to consider and respond to future business opportunities and needs as they arise, including equity financings and stock-based acquisitions of new technology and product development candidates. The availability of additional shares of Common Stock would permit the Company to undertake certain of the foregoing actions without delay and expense associated with holding a Special Meeting of Stockholders to obtain stockholder approval each time such an opportunity arises that would require the issuance of shares of Common Stock;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continue listing on The NASDAQ Capital Market, which requires that the Company comply with the applicable listing requirements under NASDAQ Marketplace Rules, which requirements include, among others, a minimum bid price of at least $1.00 per share. On November 26, 2024, the Company received a letter from NASDAQ indicating that the closing bid price of the Company’s Common Stock fell below $1.00 per share for the previous 30 consecutive business days, and that the Company was therefore not in compliance with the minimum bid price requirement for continued inclusion on The NASDAQ Capital Market. The Company had 180 calendar days, until May 27, 2025, to regain compliance with this requirement, which occurs when the closing bid price of the Company’s Common Stock is at least $1.00 per share for a minimum of ten consecutive business days during the 180-day compliance period. As of May 27, 2025, we were not eligible for an additional 180 calendar day compliance period, as we did not meet the required Nasdaq initial listing standards, and, on May 28, 2025, we received a delisting notice from Nasdaq. We also received a notice from the Staff notifying us that, because our stockholders’ equity was below $2.5 million as reported on our Quarterly Report on Form 10-Q for the quarter ended March 31, 2025, we no longer meet the minimum stockholders’ equity requirement for continued listing on Nasdaq under Nasdaq Rule 5550(b)(1). </w:t>
      </w:r>
      <w:r>
        <w:rPr>
          <w:rFonts w:ascii="Times New Roman" w:cs="Times New Roman" w:eastAsia="Times New Roman" w:hAnsi="Times New Roman"/>
          <w:sz w:val="18"/>
          <w:szCs w:val="18"/>
          <w:color w:val="242424"/>
        </w:rPr>
        <w:t>On May 29, 2025, the Company requested a hearing before T</w:t>
      </w:r>
      <w:r>
        <w:rPr>
          <w:rFonts w:ascii="Times New Roman" w:cs="Times New Roman" w:eastAsia="Times New Roman" w:hAnsi="Times New Roman"/>
          <w:sz w:val="18"/>
          <w:szCs w:val="18"/>
          <w:color w:val="auto"/>
        </w:rPr>
        <w:t xml:space="preserve">he Nasdaq Hearings Panel (“Panel”). </w:t>
      </w:r>
      <w:r>
        <w:rPr>
          <w:rFonts w:ascii="Times New Roman" w:cs="Times New Roman" w:eastAsia="Times New Roman" w:hAnsi="Times New Roman"/>
          <w:sz w:val="18"/>
          <w:szCs w:val="18"/>
          <w:color w:val="242424"/>
        </w:rPr>
        <w:t>At this hearing, the Company requested an extension to meet the requirements and return to compliance.</w:t>
      </w:r>
      <w:r>
        <w:rPr>
          <w:rFonts w:ascii="Times New Roman" w:cs="Times New Roman" w:eastAsia="Times New Roman" w:hAnsi="Times New Roman"/>
          <w:sz w:val="18"/>
          <w:szCs w:val="18"/>
          <w:color w:val="auto"/>
        </w:rPr>
        <w:t xml:space="preserve"> A reverse stock split is a potentially effective means for the Company to regain and maintain compliance with Nasdaq Marketplace Rules and to avoid, or at least mitigate, the likely adverse consequences of common stock being delisted from The Nasdaq Capital Market by producing the immediate effect of increasing the bid price of common stock.</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prior to the reverse stock split, the Company had 31,828,425 shares of common stock outstanding which consolidated into 2,121,895 shares of the Company’s common stock. No fractional shares were issued in connection with the reverse stock split. All fractional shares will be rounded up to the nearest whole share. The reverse stock split did not impact the total authorized number of shares of common or preferred stock or the par value thereof. The number of outstanding options, stock awards and warrants were adjusted accordingly, with outstanding options and stock awards being reduced from approximately 1.9 million to approximately 0.1 million and outstanding warrants being reduced from approximately 12.7 million to approximately 0.8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 to Authorized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2025 Annual Meeting of Stockholders (the “Annual Meeting”) of the Company held on July 11, 2025, upon the recommendation of the Company’s board of directors, the Company’s stockholders voted on and approved an amendment to the Company’s Restated Certificate of Incorporation to increase the number of authorized shares of common stock from 112,500,000 shares to 350,000,000 shares, and to make a corresponding change to the number of authorized shares of capital stock. Such amendment became effective on July 11, 2025 upon filing with the Secretary of State of the State of Delaware.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Dividend</w:t>
      </w:r>
    </w:p>
    <w:p>
      <w:pPr>
        <w:spacing w:after="0" w:line="22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On July 28, 2025, the Company announced that the Company’s Board of Directors approved a 15% stock dividend, 0.15 shares of common stock (the “Stock Dividend”) per share of the Company’s issued and outstanding shares of common stock and per each common stock equivalent with dividend rights.</w:t>
      </w:r>
    </w:p>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August 7, 2025 as the record date (the “Record Date”) for the Stock Dividend, and the Stock Dividend will be payable on August 21, 2025 to stockholders of record as of the Record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and in Item 1A. Risk factors in our Annual Report on Form 10-K for the fiscal year ended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that has completed Phase II clinical development studies. IMNN-001 works by instructing the body to produce safe and durable levels of powerful cancer-fighting molecules, such as interleukin-12 and interferon gamma, at the tumor site. Additionally, the Company has entered into a first-in-human study of its COVID-19 booster vaccine (IMNN-101). We will continue to leverage these modalities and to advance the technological frontier of plasmid DNA to better serve patients with difficult-to-treat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Imunon’s technology platform is optimized for the delivery of DNA and mRNA therapeutics via synthetic non-viral carriers and is capable of providing cell transfection for double-stranded DNA plasmids and large therapeutic RNA segments such as mRNA. There are two components to the system, a backbone with plasmid DNA or mRNA payload encoding therapeutic proteins, or pathogen antigens or tumor associated antigens or cancer neoantigens and a delivery system. The delivery system is designed to protect the DNA or mRNA from degradation and promote trafficking into cells and through intracellular compartments. We designed the delivery system by chemically modifying the low molecular weight polymer to improve its gene transfer activity without increasing toxicity. We believe that our non-viral DNA technology may be a viable alternative to current approaches to gene delivery due to several distinguishing characteristics, including enhanced molecular versatility that allows for complex modifications to potentially improve activity and safety.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biocompatibility of these polymers reduces the risk of adverse immune response, thus allowing for repeated administration. Compared to naked DNA or cationic lipids, we believe that our delivery systems are generally more efficient, cost effective and have a more favorable safety profile. We believe that these advantages place Imunon in a position to capitalize on this technology platform.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THERAPLAS MODALITY: IMNN-001 DEVELOPMENT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Ovarian Cancer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Ovarian cancer is the most lethal of gynecological malignancies among women with more than 60% of women dying within five years of diagnosis. This poor outcome is due in part to the lack of effective prevention and early detection strategies. There were approximately 20,000 new cases of ovarian cancer in the U.S. in 2021 with an estimated 13,000 deaths. Mortality rates for ovarian cancer declined very little in the last 40 years due to the unavailability of detection tests and improved treatments. Most women with ovarian cancer are not diagnosed until Stages III or IV, when the disease has spread outside the pelvis to the abdomen and areas beyond, causing swelling and pain. With the five-year survival rates for Stages III and IV at 41% and 20%, respectively, there remains a need for a therapy that not only reduces the recurrence rate but also meaningfully improves overall survival.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 resistant group has a platinum-free interval of shorter than six months and is resistant to additional platinum-based treatments. Pegylated liposomal doxorubicin, topotecan, and bevacizumab are the only approved second-line therapies for platinum-resistant ovarian cancer. The overall response rate for these therapies is 10% to 20% with median overall survival (“OS”) of 11 to 12 months. Additionally, 10% to 15% of ovarian cancer cases nationwide are a result of germline or somatic BRCA mutations. With cognizance of tumor genetics, practice has shifted to include targeted agents in ovarian cancer treatment.</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Poly (ADP-ribose) polymerase (“PARP”) enzymes are responsible for detecting and repairing single-stranded and double-stranded DNA breaks during cell replication. BRCA1/2 mutations hinder the homologous recombination repair pathway, and tumor cells utilize PARP enzymes to repair DNA. For this reason, these tumors are particularly sensitive to the mechanism of PARP inhibitors. PARP inhibitors have expanded treatment options in ovarian cancer in maintenance following front-line treatment, but few treatment options are left for women who are not eligible to receive PARP inhibitors and no product has ever demonstrated an OS improvement in the front-line treatment of newly diagnosed patients with ovarian cancer.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Immunotherapy is an attractive, novel approach for the treatment of ovarian cancer particularly since ovarian cancers are considered immunogenic tumors. Interleukin-12 (“IL-12”) is one of the most active cytokines for the induction of potent anti-cancer immunity acting through the induction of T-lymphocyte and natural killer cell proliferation. The precedence for the therapeutic role of IL-12 in ovarian cancer is based on epidemiologic and clinical and preclinical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IMNN-001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IMNN-001 is a DNA-based immunotherapeutic drug candidate for the localized treatment of ovarian cancer by intraperitoneally administering an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IMNN-001 is based on the following:</w:t>
      </w:r>
    </w:p>
    <w:p>
      <w:pPr>
        <w:spacing w:after="0" w:line="187"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OVATION 1 Study</w:t>
      </w:r>
      <w:r>
        <w:rPr>
          <w:rFonts w:ascii="Times New Roman" w:cs="Times New Roman" w:eastAsia="Times New Roman" w:hAnsi="Times New Roman"/>
          <w:sz w:val="18"/>
          <w:szCs w:val="18"/>
          <w:color w:val="auto"/>
        </w:rPr>
        <w:t>. In February 2015, we announced that the FDA accepted the Phase I dose-escalation clinical trial of IMNN-001 in combination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of care in neoadjuvant ovarian cancer (the “OVATION 1 Study”). The OVATION 1 Study was designed to:</w:t>
      </w:r>
    </w:p>
    <w:p>
      <w:pPr>
        <w:spacing w:after="0" w:line="159" w:lineRule="exact"/>
        <w:rPr>
          <w:sz w:val="20"/>
          <w:szCs w:val="20"/>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tolerable and therapeutically active dose of IMNN-001 within certain safety parameters by recruiting and maximizing an immune response;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1 Study established a unique opportunity to assess how cytokine-based compounds such as IMNN-001 directly affect ovarian cancer cells and the tumor microenvironment in newly diagnosed ovarian cancer patients. The study was designed to characterize the nature of the immune response triggered by IMNN-001 at various levels of the patients’ immune system, including:</w:t>
      </w:r>
    </w:p>
    <w:p>
      <w:pPr>
        <w:spacing w:after="0" w:line="176"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immune-suppressive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IMNN-001-treated tumor tissue.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2016 and 2017, we announced data from the first 14 patients in the OVATION 1 Study. On October 3, 2017, we announced final translational research and clinical data from the OVATION 1 Study.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translational research findings from all evaluable patients were consistent with the earlier reports from analysis of the data and are summarized below:</w:t>
      </w:r>
    </w:p>
    <w:p>
      <w:pPr>
        <w:spacing w:after="0" w:line="225" w:lineRule="exact"/>
        <w:rPr>
          <w:sz w:val="20"/>
          <w:szCs w:val="20"/>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IMNN-001 in conjunction with standard-of-care neoadjuvant chemotherapy (“NACT”) resulted in dose-dependent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were consistent with an IL-12 based immune mechanism;</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previous analyses the effects observed in the immunohistochemistry analysis were pronounced decreases in the density of immunosuppressive T-cell signals (Foxp3, PD-1, PDL-1, IDO-1) and increases in CD8+ cells in the tumor microenvironment;</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w:t>
      </w:r>
    </w:p>
    <w:p>
      <w:pPr>
        <w:spacing w:after="0" w:line="27"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microenvironment from immunosuppressive to pro-immune stimulatory following treatment with IMNN-001. An increase in CD8+ to immunosuppressive T-cell populations was a leading indicator and believed to be a good predictor of improved OS; and</w:t>
      </w:r>
    </w:p>
    <w:p>
      <w:pPr>
        <w:spacing w:after="0" w:line="18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showed a treatment-related decrease in the percentage of immunosuppressive</w:t>
      </w:r>
    </w:p>
    <w:p>
      <w:pPr>
        <w:spacing w:after="0" w:line="27"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T-cell (Foxp3+), which was consistent with the reduction of Foxp3+ T-cells in the primary tumor tissue, and a shift in tumor naïve CD8+ cell population to more efficient tumor killing memory effector CD8+ cells.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2021, the Company announced final PFS results from the OVATION 1 Study published in the Journal of Clinical Cancer Research. Median PFS in patients treated per protocol (n=14) was 21 months and was 18.4 months for the ITT population (n=18) for all dose cohorts, including three patients who dropped out of the study after 13 days or less, and two patients who did not receive full NACT and IMNN-001 cycles. Under the current standard of care, in women with Stage III/IV ovarian cancer undergoing NACT, their disease progresses within about 12 months on average. The results from the OVATION 1 Study supported continued evaluation of IMNN-001 based on promising tumor response, as reported in the PFS data, and the ability for surgeons to completely remove visible tumors at the time of interval debulking surgery. IMNN-001 was well tolerated, and no dose-limiting toxicities were detected in the OVATION 1 Study. Intraperitoneal administration of IMNN-001 was feasible with broad patient acceptance.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1 Study to determine the next steps forward for our IMNN-001 immunotherapy program. On November 13, 2017, the Company filed its Phase I/II clinical trial protocol with the FDA for IMNN-001 for the localized treatment of ovarian cancer. The protocol was designed with a single dose escalation phase to 100 mg/m² to identify a tolerable dose of IMNN-001 within certain safety parameters while maximizing an immune response. The Phase I portion of the study would be followed by a continuation at the selected dose in approximately 110 patients randomized Phase II study.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OVATION 2 Study, patients in the IMNN-001 treatment arm would receive IMNN-001 plus chemotherapy pre- and post-interval debulking surgery (“IDS”). The OVATION 2 Study was designed to include up to 110 patients with Stage III/IV ovarian cancer, with 15 patients in the Phase I portion and up to 95 patients in Phase II. The sample size is consistent with a Phase II trial designed to inform the design of a Phase III trial comparing IMNN-001 with neoadjuvant + adjuvant chemotherapy versus neoadjuvant + adjuvant chemotherapy alone. As a Phase II study, the OVATION 2 Study was not powered for statistical significance. The primary endpoint is PFS and the primary analysis would be conducted after at least 80 events had been observed or after all patients had been followed for at least 16 months, whichever was later. Additional endpoints included objective response rate, chemotherapy response score, and surgical response.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(“COMP”) had recommended that IMNN-001 be designated as an orphan medicinal product for the treatment of ovarian cancer. IMNN-001 previously received orphan designation from the FDA.</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2021, the Company announced that it had received Fast Track designation from the FDA for IMNN-001 and also provided an update on the OVATION 2 Study.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2022, the Company announced that its Phase I/II OVATION 2 Study with IMNN-001 in advanced ovarian cancer had completed enrollment with 113 patients. In September 2023, the Company announced interim PFS and OS data with IMNN-001 in its Phase I/II OVATION 2 Study. Interim clinical data from the ITT population showed efficacy trends in PFS. Preliminary OS data followed a similar trend, showing an approximate 9-month improvement in the treatment arm over the control arm.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Subgroup analyses showed patients treated with a PARP inhibitor (“PARPi”) as maintenance therapy had longer PFS and OS if they were also treated with IMNN-001 compared with patients treated with NACT only. This was not a pre-specified subgroup when the protocol was initiated as PARP inhibitors were approved after the OVATION 2 Study was initiated. However given the change in the standard of care, this subgroup was pre-specified in the statistical analysis plan prior to the study read out.</w:t>
      </w:r>
    </w:p>
    <w:p>
      <w:pPr>
        <w:spacing w:after="0" w:line="180"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PFS in the PARPi + NACT group and the PARPi + NACT + IMNN-001 group was 15.7 months and 23.7 months, respectively.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OS in the PARPi + NACT group was 45.6 months and has not yet been reached in the PARPi + NACT + IMNN-001 group.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Imunon also continues to see benefits in other secondary endpoints including an approximately 20% higher R0 tumor resection score and a doubling of the CRS 3 chemotherapy response score to approximately 30% in the treatment arm versus 14% in the control arm. Chemotherapy response score is considered a good prognostic indicator in ovarian cancer. The DSMB determined that safety analyses continue to show good tolerability of IMNN-001 in this setting.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the Company announced database lock for the OVATION 2 Study. At that time, median OS and PFS had been reached, and all patients in the open-label study had achieved treatment observation duration of 16 months, as required by protocol to evaluate efficacy. On July 11, 2024, a scientific advisory board with DSMB members, principal investigators, and scientific experts was held to review efficacy and safety data from the OVATION 2 study.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30, 2024, the Company announced positive topline results from the Phase II OVATION 2 Study. Highlights from patients treated with IMNN-001 plus standard-of-care in a first-line treatment setting include:</w:t>
      </w:r>
    </w:p>
    <w:p>
      <w:pPr>
        <w:spacing w:after="0" w:line="16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11.1 month increase in median OS compared with standard-of-care alone in the ITT population.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hazard ratio in the ITT population of 0.74, which indicates a 35% improvement in survival.</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approximately 90% of trial participants who received at least 20% of specified treatments per-protocol in both study arms, patients in the IMNN-001 arm had a 15.7 month increase in median OS, representing a further extension of life with a hazard ratio of 0.64, a 56% improvement in survival.</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nearly 40% of trial participants treated with a PARP inhibitor, the hazard ratio decreased further to 0.41, with median OS in the IMNN-001 treatment arm not yet reached at the time of database lock, compared with median OS of 37.1 months in the standard-of-care treatment arm.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PFS results, the trial’s primary endpoint, support the OS results with:</w:t>
      </w:r>
    </w:p>
    <w:p>
      <w:pPr>
        <w:spacing w:after="0" w:line="225" w:lineRule="exact"/>
        <w:rPr>
          <w:sz w:val="20"/>
          <w:szCs w:val="20"/>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three-month improvement in PFS compared with standard-of-care alone. All patients treated with IMNN-001 remained progression free during the treatment period, while patients in the Standard of Care treatment arm progressed.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hazard ratio in the intent-to-treat population of 0.79, indicating a 27% improvement in delaying progression for the IMNN-001 treatment arm.</w:t>
      </w:r>
    </w:p>
    <w:p>
      <w:pPr>
        <w:spacing w:after="0" w:line="165"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These initial results from the OVATION 2 Study were presented in a late-breaking session at the Society for Immunotherapy of Cancer (SITC) 39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Meeting in November 2024.</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2024, the Company announced additional clinical data from ongoing analyses of results from the Phase 2 OVATION 2 Study. The updated results, based on an additional seven months of patient monitoring, showed the hazard ratio (HR) decreased from 0.74 to 0.69 in the ITT population, with an increase in median overall survival (OS) from 11.1 to 13 months following treatment with IMNN-001 plus standard-of-care (SoC) neoadjuvant and adjuvant chemotherapy (NACT) versus SoC alone. More than one-third of patients in the trial survived more than 36 months from the point of study enrollment, with 62% of those surviving patients from the IMNN-001 treatment arm and 38% from the SoC arm. Over 10% of trial participants have reached 48 months or beyond. In April 2025, the Company announced that an IMNN-001 abstract was accepted for oral presentation at the 2025 ASCO annual meeting. The Company also plans to submit the results for publication in a peer-reviewed medical journal.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color w:val="auto"/>
        </w:rPr>
        <w:t>In June 2025, the Company announced positive data from the Company’s Phase 2 OVATION 2 Study showing that treatment with IMNN-001 in women with newly diagnosed advanced ovarian cancer resulted in consistent, clinically meaningful improvements in several key endpoints across treatment groups, including overall survival (OS), progression-free survival (PFS), chemotherapy response score and surgical response. Treatment with IMNN-001 also showed a favorable safety profile, with no reports of serious immune-related adverse events. The full results were presented in an oral presentation at the 2025 American Society of Clinical Oncology (ASCO) Annual Meeting in Chicago, Illinois, and simultaneously published in the peer-reviewed journal Gynecologic Oncology. The data presented highlighted the consistent results achieved across all treatment groups, demonstrating: Median 13-month increase in OS (46 vs. 33 months) and median 3-month increase in PFS (14.9 vs. 11.9 months) in IMNN-001 treatment arm compared to standard of care alone. Better therapeutic effect observed with IMNN-001 treatment compared to the control arm (p=0.0375), as shown by mean 6.5-month extension of time free of progression or death (PFS + OS) captured in totality of treatment effect. Use of poly ADP-ribose polymerase (PARP) inhibitors as part of maintenance therapy further enhanced outcomes, with median OS not yet reached in IMNN-001 treatment arm after &gt;5 years compared to 37 months on standard of care. Chemotherapy response score highlights double the response rate of a complete or near complete histopathological response following treatment with 26.1% in the IMNN-001 treatment arm compared to 13.0% in the control arm. Surgical response rate of no macroscopic residual tumor left after surgery 64.6% in the IMNN-001 treatment arm compared to 52.1% in the control arm. Hazard ratio of 0.78 in study participants who are homologous recombination proficient (HRP) and hazard ratio of 0.42 in women positive for homologous recombination deficiency (HRD+), including BRCA1 or BRCA2 mutations, suggesting increased therapeutic activity. IMNN-001 was generally safe and well tolerated, with no reports of cytokine release syndrome, systemic toxicity or serious immune-related adverse events.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02022"/>
        </w:rPr>
        <w:t>On June 18, 2025, the Company announced the presentation of new positive translational data from the Phase 2 OVATION 2 Study of IMNN-001 at the ESMO Gynaecological Cancers Congress 2025, that took place on June 19-21, 2025, in Vienna, Austria. Results presented at the ESMO Congress showed that treatment with IMNN-001 induced substantial increases in IL-12 and interferon-gamma (IFN-γ) and tumor necrosis factor-alpha (TNF-α), key downstream anti-cancer immune cytokines. Increases in IL-12, IFN-γ and TNF-α levels in the peritoneal cavity were approximately 27-, 62- and 36-fold following treatment, respectively, demonstrating the tumor-localized effect of IMNN-001 in women with advanced ovarian cancer. IMNN-001 continues to show a favorable safety profile.</w:t>
      </w:r>
    </w:p>
    <w:p>
      <w:pPr>
        <w:spacing w:after="0" w:line="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3 Study. </w:t>
      </w:r>
      <w:r>
        <w:rPr>
          <w:rFonts w:ascii="Times New Roman" w:cs="Times New Roman" w:eastAsia="Times New Roman" w:hAnsi="Times New Roman"/>
          <w:sz w:val="18"/>
          <w:szCs w:val="18"/>
          <w:color w:val="auto"/>
        </w:rPr>
        <w:t>On September 11, 2024, a scientific advisory board was held with DSMB members, principal investigators, and scientific experts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discuss and seek input on the protocol synopsis for the Phase III trial. A protocol synopsis was submitted along with a briefing document for review and input at the End-of-Phase II (“EOP2”) meeting with the U.S. Food and Drug Administration focused on the Phase III study. The EOP2 meeting was conducted in the fourth quarter of 2024.</w:t>
      </w:r>
    </w:p>
    <w:p>
      <w:pPr>
        <w:spacing w:after="0" w:line="189" w:lineRule="exact"/>
        <w:rPr>
          <w:sz w:val="20"/>
          <w:szCs w:val="20"/>
          <w:color w:val="auto"/>
        </w:rPr>
      </w:pPr>
    </w:p>
    <w:p>
      <w:pPr>
        <w:jc w:val="both"/>
        <w:ind w:left="660" w:hanging="328"/>
        <w:spacing w:after="0" w:line="237"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outcome of the EOP2 in-person meeting with the U.S. Food and Drug Administration (FDA), supported the advancement of IMNN-001 for the treatment of advanced ovarian cancer into a Phase 3 pivotal study. The interaction with the FDA included an extensive review of data generated to date, including positive results from the recently completed Phase 2 OVATION 2 Study, which assessed IMNN-001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administered intraperitoneally weekly) plus neoadjuvant and adjuvant chemotherapy (NACT) of paclitaxel and carboplatin compared to standard-of-care NACT alone in 112 patients with newly diagnosed advanced ovarian cancer. Treatment was also generally well tolerated, with no reports of cytokine release syndrome or any other serious immune-related adverse events.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ind w:left="660" w:hanging="328"/>
        <w:spacing w:after="0" w:line="25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held a Type C Chemistry, Manufacturing, and Controls (CMC) meeting with the FDA regarding production of IMNN-001 for the treatment of women with newly diagnosed advanced ovarian cancer. The goal of the meeting was to seek alignment and agreement with the FDA on key CMC topics to support IMNN-001 production for the planned Phase 3 pivotal trial and a potential future new biologic license application (BLA) submission. The meeting with the FDA included a review of the Company’s current good manufacturing practice (cGMP) clinical-scale and commercial manufacturing process for IMNN-001, conducted at the company’s manufacturing facility based in Huntsville, Alabama. The Agency agreed that the Company’s potency assay which measures interferon-gamma (IFN-γ) is acceptable for the Phase 3 clinical study and for use in a commercial setting for release of drug product. The FDA also agreed with the Company’s strategy to establish comparability of the core components of IMNN-001 produced by the Company with product previously produced through an external contract development and manufacturing organization.</w:t>
      </w:r>
    </w:p>
    <w:p>
      <w:pPr>
        <w:spacing w:after="0" w:line="19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Phase 3 OVATION 3 trial will assess the safety and efficacy of IMNN-001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administered intraperitoneally weekly) plus neoadjuvant and adjuvant chemotherapy (NACT) of paclitaxel and carboplatin compared to standard of care (SoC) NACT alone. Study participants will be randomized 1:1 and include women with newly diagnosed advanced ovarian cancer (stage 3 or 4) who are eligible for neoadjuvant therapy, the intent-to-treat (ITT) population, with a sub-group of women positive for homologous recombination deficiency (HRD) including BRCA1 or BRCA2 mutations. Participants who are HRD positive will receive poly ADP-ribose polymerase (PARP) inhibitors as part of standard maintenance therapy. The primary endpoint of the study is overall survival (OS), and secondary endpoints are surgical response score, chemotherapy response score, clinical response and time to second-line treatment. The study will also assess several exploratory endpoints.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March 2025, the Company announced </w:t>
      </w:r>
      <w:r>
        <w:rPr>
          <w:rFonts w:ascii="Times New Roman" w:cs="Times New Roman" w:eastAsia="Times New Roman" w:hAnsi="Times New Roman"/>
          <w:sz w:val="18"/>
          <w:szCs w:val="18"/>
          <w:color w:val="202022"/>
        </w:rPr>
        <w:t>that the FDA is aligned with the protocol for the Phase 3 pivotal trial, called OVATION 3, of its lead candidate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022"/>
        </w:rPr>
        <w:t>IMNN-001 in development for the treatment of women with newly diagnosed advanced ovarian cancer. The Company is currently initiating trial sites and working with trial investigators to begin enrolling study participants.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Providence Sacred Heart Medical Center &amp; Children’s Hospital and Washington University School of Medicine in St. Louis are open to recruitment.</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IMNN-001 in Combination with bevacizumab. </w:t>
      </w:r>
      <w:r>
        <w:rPr>
          <w:rFonts w:ascii="Times New Roman" w:cs="Times New Roman" w:eastAsia="Times New Roman" w:hAnsi="Times New Roman"/>
          <w:sz w:val="18"/>
          <w:szCs w:val="18"/>
          <w:color w:val="auto"/>
        </w:rPr>
        <w:t>In February 2023, the Company and Break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a public foundation dedicated to supporting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translational research in the most difficult-to-treat cancers that partners with top cancer research centers, announced the commencement of patient enrollment in a collaboration to evaluate IMNN-001 in combination with bevacizumab in patients with advanced ovarian cancer in the frontline, neoadjuvant clinical setting.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This Phase I/II study, titled “Targeting Ovarian Cancer Minimal Residual Disease (MRD) Using Immune and DNA Repair Directed Therapies,” is expected to enroll 50 patients with Stage III/IV advanced ovarian cancer and is being led by principal investigator Amir Jazaeri, M.D., Vice Chair for Clinical Research and Director of the Gynecologic Cancer Immunotherapy Program in the Department of Gynecologic Oncology and Reproductive Medicine at MD Anderson. Dana-Farber Cancer Institute, The Sidney Kimmel Comprehensive Cancer Center at Johns Hopkins and Memorial Sloan Kettering Cancer Center will also be participating in the trial. In addition, The Koch Institute for Integrative Cancer Research at the Massachusetts Institute of Technology (MIT) will provide artificial intelligence services including biomarker and genomic analysis.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Patients are being randomized 1:1 in a two-arm trial. In October 2023, the first patient began treatment at University of Texas MD Anderson Cancer Center in the Phase I/II Clinical Trial Evaluating IMNN-001 in Combination with Bevacizumab in Advanced Ovarian Cancer. The trial’s primary endpoint is detection of minimal residual disease (MRD) by second look laparoscopy (SLL), and the secondary endpoint is PFS. SLL data are expected within one year following the completion of enrollment and final PFS data are expected approximately three years following the completion of enrollment. This trial will also include a wealth of translational endpoints aimed at understanding the clonal evolution and immunogenomic features of the MRD phase of ovarian cancer that is currently undetectable by imaging or tumor markers.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fifteen patients were enrolled and treated in the study at the University of Texas MD Anderson Cancer Center and Memorial Sloan Kettering Cancer Center. John Hopkins Medicine Sidney Kimmel Cancer Care Center is open to recruitment.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MODALITY: IMNN-101</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modality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Imunon’s PLACCINE DNA vaccine modality is characterized by a single mono-cistronic or multi-cistronic DNA plasmid vector expressing single or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need for new vaccine technologies is urgent. Since 1980, more than 80 pathogenic viruses have been discovered, yet fewer than 4% have a commercially available prophylactic vaccine. We have engaged with the Biomedical Advanced Research and Development Authority (“BARDA”), a division of the U.S. Department of Health and Human Services, to consider certain pathogens BARDA has identified as the most urgent and the most important.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development for the treatment of late-stage ovarian cancer with IMNN-001. Imunon’s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Imunon’s extensive experience with TheraPlas suggests that the PLACCINE-based nanoparticles are stable at storage temperatures of 4°C to 25°C, making vaccines developed on this platform easily suitable for broad world-wide distribution.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Imunon’s vaccine approach is designed to optimize the quality of the immune response dictating the efficiency of pathogen clearance and patient recovery. Imunon has taken a multivalent approach in an effort to generate an even more robust immune response that not only results in a strong neutralizing antibody response, but also a more robust and durable T-cell response. Delivered with Imunon’s synthetic polymeric system, the proprietary DNA plasmid is protected from degradation and its cellular uptake is facilitated.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COVID-19 Vaccine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Emerging data from the recent literature indicate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have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Most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Imunon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the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980" w:right="20" w:hanging="324"/>
        <w:spacing w:after="0" w:line="28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plasmid vector.</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could result in durable antigen exposure and a robust vaccine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to viral antigens.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viruses or special equipment to deliver its payload.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 2021, the Company announced results from preclinical in vivo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demonstrated the potential immunogenicity of Imunon’s PLACCINE DNA vaccine, which is intended to provide broad-spectrum protection and resistance against variants by incorporating multiple viral antigens, to improve vaccine stability at storage temperatures of 4°C and above, and to facilitate cheaper and easier manufacturing.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31, 2022, the Company announced the initiation of a nonhuman primate (“NHP”) challenge study with Imunon’s DNA-based approach for a SARS-CoV-2 vaccine. The NHP pilot study followed the generation of encouraging mouse data and will evaluate the Company’s lead vaccine formulations for safety, immunogenicity and protection against SARS-CoV-2. In completed preclinical studies, Imunon demonstrated a favorable safety profile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Imunon’s DNA-based vaccines have been based on a simple intramuscular injection that does not require viral encapsulation or special equipment for administration.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PLACCINE has demonstrated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six months.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provided an update on the progress made in the development of a DNA-based vaccine using its PLACCINE platform technology. The Company reported evidence of IgG, neutralizing antibody, and T-cell responses to its SARS-CoV-2 PLACCINE vaccines in normal mice. In this murine model, the Company’s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 data from its proof-of-concept (“PoC”) mouse challenge study confirmed that a PLACCINE DNA-based vaccine can produce robust levels of IgG, neutralizing antibodies, and T-cell responses. The data demonstrated the ability of the Company’s PLACCINE vaccine to protect a SARSCoV-2 mouse model in a live viral challenge. In the study, mice were vaccinated with a PLACCINE vaccine expressing the SARS-CoV-2 spike antigen from the D614G variant or the Delta variant, or a combination vaccine expressing both the D614G and Delta spike variants. The vaccination was administered by intramuscular injection on Day 0 and Day 14, followed by challenge with live SARS-CoV-2 virus on Day 42. All three vaccines, including the single and dual antigen vaccines, were found to have a favorable safety profile and elicited IgG responses and inhibited the viral load by 90-95%. The dual antigen vaccine was equally effective against both variants of the SARS CoV-2 virus.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2023, the Company announced final results from the non-human primate (NHP) study involving three vaccine-treated non-human primates. The final data were consistent with the earlier data and showed excellent immunological response and viral clearance. More specifically, in this NHP study, we examined PLACCINE activity against a more advanced SARS-CoV-2 variants and at a DNA dose that was not previously tested in NHP and demonstrated robust IgG responses, neutralizing antibody responses and complete clearance of virus following the challenge as seen in the previous study.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2023, the Company filed with the FDA a pre-IND package in advance of beginning human testing of a SARS-CoV-2 seasonal booster vaccine. In July 2023, the FDA confirmed in a written response our strategy agreeing that a platform approach to pre-clinical toxicology testing with reference to updated SARS-CoV-2 genes that align with current variant of concern may be used without additional need for toxicology studies. This demonstrated the flexibility and versatility of our platform, which allows for the rapid production and development of any vaccine by simply changing the antigen coding cassette.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18, 2024, the Company announced that it received clearance from the FDA to begin a Phase I clinical trial with a seasonal COVID-19 booster vaccine. The Company filed an Investigational New Drug (IND) application for IMNN-101 in late February. The primary objectives of the Phase I study are to evaluate safety, tolerability, neutralizing antibody response, and the vaccine’s durability (duration of immunogenicity) in healthy adults. Secondary objectives of the study include evaluating the ability of the IMNN-101 vaccine to elicit binding antibodies and cellular responses and their associated durability. The Phase I study enrolled 24 subjects to evaluate three escalating doses of IMNN-101. For this study, IMMN-101 has been designed to protect against the SARS-CoV-2 Omicron XBB1.5 variant, in accordance with the FDA’s Vaccines and Related Biological Products Advisory Committee’s June 2023 announcement of the framework for updated COVID-19 doses.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2025, the Company announced topline safety and immunogenicity data from ongoing analyses of results from the Company’s Phase 1 proof-of-concept clinical trial of IMNN-101. The Phase 1 study was conducted in 24 healthy volunteers as a seasonal COVID-19 vaccine, targeting the SARS-CoV-2 Omicron XBB1.5 spike antigen. IMNN-101 was administered as a single dose vaccine without a booster dose in study participants who were previously vaccinated against the Omicron XBB1.5 variant. Results demonstrated that IMNN-101 is safe and well-tolerated with no serious adverse effects. IMNN-101 induced a persistent 2- to 4-fold increase in serum neutralizing antibody (NAb) titers from baseline through Week 4, further increasing NAb titers between Week 2 and Week 4. The immune response was observed against the XBB1.5 variant and many newer variants following treatment, demonstrating the IMNN-101 vaccine’s cross-reactivity.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2025, the Company announced new data from its first Phase 1 proof-of-concept clinical trial of IMNN-101. Results in 24 healthy volunteers demonstrated IMNN-101’s durability of protection at six months after a single dose targeting the SARS-CoV-2 Omicron XBB1.5 spike antigen variant. IMNN-101 induced up to a 3-fold median increase in the serum neutralizing antibody (NAb) titers from baseline at six months, with initial evidence of a stronger immune response in two higher dose cohorts (2.0 mg and 1.0 mg) compared to a lower dose cohort (0.5 mg). The highest observed increase among the participating volunteers was 8-fold from baseline. IMNN-101 continues to be safe and well tolerated, with no serious adverse effects reported.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Phase 1 trial, designed to demonstrate the advantages of Imunon’s technology compared to approved messenger RNA (mRNA) vaccines, IMNN-101 was administered as a single dose vaccine without a booster dose in study participants who were previously vaccinated against the Omicron XBB1.5 variant. Study participants had high baseline immune characteristics, presumably from prior infection and multiple previous vaccinations against COVID-19, and ongoing infection. Modest increases in T-cell responses were observed in trial participants who received multiple immunizations prior to the study. Results from the Phase 1 trial build on data previously announced in February 2025, which showed IMNN-101 induced a persistent 2- to 4-fold increase in serum NAb titers from baseline through Week 4, further increasing NAb titers between Week 2 and Week 4. The immune response was also observed against the XBB1.5 variant and many newer variants following treatment, demonstrating the IMNN-101 vaccine’s cross-reactivity. The Phase 1 clinical data of IMNN-101 is consistent with strong evidence of immunogenicity and protection for the PlaCCine platform in rodents and non-human primates, with prior preclinical results showing comparable protection efficiency (&gt;95%) to a commercial mRNA vaccine in non-human primates.</w:t>
      </w:r>
    </w:p>
    <w:p>
      <w:pPr>
        <w:spacing w:after="0" w:line="18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202022"/>
        </w:rPr>
        <w:t>On June 17, 2025, the Company announced that an abstract highlighting Phase 1 proof-of-concept clinical trial results of IMNN-101 was accepted for oral presentation at the 10</w:t>
      </w:r>
      <w:r>
        <w:rPr>
          <w:rFonts w:ascii="Times New Roman" w:cs="Times New Roman" w:eastAsia="Times New Roman" w:hAnsi="Times New Roman"/>
          <w:sz w:val="29"/>
          <w:szCs w:val="29"/>
          <w:color w:val="202022"/>
          <w:vertAlign w:val="superscript"/>
        </w:rPr>
        <w:t>th</w:t>
      </w:r>
      <w:r>
        <w:rPr>
          <w:rFonts w:ascii="Times New Roman" w:cs="Times New Roman" w:eastAsia="Times New Roman" w:hAnsi="Times New Roman"/>
          <w:sz w:val="18"/>
          <w:szCs w:val="18"/>
          <w:color w:val="202022"/>
        </w:rPr>
        <w:t xml:space="preserve"> International Conference on Vaccines Research &amp; Development. The meeting is being held November 5-7, 2025, in Boston, MA.</w:t>
      </w:r>
    </w:p>
    <w:p>
      <w:pPr>
        <w:spacing w:after="0" w:line="3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participants in the Phase 1 trial had high baseline immune characteristics presumably from prior infection and multiple previous vaccinations against COVID-19 and ongoing infection as evidenced by the rise in viral nucleocapsid antigen during the study period. Modest increases in T cell responses were observed in this setting of trial participants having received multiple immunizations prior to the study.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Phase I trial was designed to establish PoC for IMNN-101 as an advancement in vaccine technology. Imunon intends to seek partnership and/or business development opportunities to develop the scientific and business case for IMNN-101 as a future vaccine to address viral mutations.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Plan and Going Concern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generated and do not expect to generate any revenue from product sales in the next several years, if at all. An element of our business strategy has been to pursue, as resources permit, the research and development of a range of drug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drug candidates, our dependence on the success of one or a few drug candidates would increase and would have a more significant impact on our financial prospects, financial condition, and market value. We may also consider and evaluate strategic alternatives, including investment in, or acquisition of, complementary businesses, technologies, or products.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business strategy includes the possibility of entering into collaborative arrangements with third parties to complete the development and commercialization of our drug candidates. In the event that third parties are contracted to manage the clinical trial process for one or more of our drug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 However, we cannot forecast with any degree of certainty whether we will be selected to receive any subsidy, grant or governmental funding.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2025, the Company had $4.7 million in cash and cash equivalents to fund its operations. The Company’s primary sources of cash have been proceeds from the issuance and sale of its common stock, including via its at-the-market (“ATM”) program and other potential funding transactions.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Based on the above, management has determined there is substantial doubt regarding our ability to continue as a going concern. The report of our independent registered public accounting firm for the year ended December 31, 2024, includes an explanatory paragraph which expresses substantial doubt about our ability to continue as a going concern. See also Note 2 to the Condensed Consolidated Financial Statements contained in this Quarterly Report on Form 10-Q.</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plan includes private or public equity financings, collaborations, or other strategic transactions such as raising funds from outside investors via its ATM program and other potential funding sources The Company may not be able to obtain funding on acceptable terms, or at all. The terms of any financing may adversely affect the holdings or the rights of the Company’s stockholders. The Company’s ability to raise additional funds will depend, among other factors, on financial, economic and market conditions, many of which are outside of its control, and it may be unable to raise financing when needed, or on terms favorable to the Company. If the Company is unable to obtain sufficient capital to fund its operations it may be required to evaluate alternatives.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the risks and uncertainties discussed in the 2024 Annual Report filed on February 27, 2025 with the SEC, among others, we are unable to estimate the duration and completion costs of our research and development projects or when, if ever, and to what extent we will receive cash inflows from the commercialization and sale of a product if one of our drug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progress our drug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Debt and Other Forms of Financing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2025 and 2024 through the date of this Quarterly Report on Form 10-Q, we issued a total of 1.1 million shares of common stock as discussed below for approximately $14.0 million in net proceeds.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2024, the Company filed with the SEC a shelf registration statement on Form S-3 (the “2024 Registration Statement”) for the offer and sale of up to $75 million of its securities. The 2024 Registration Statement was declared effective on May 22, 2024. The 2024 Registration Statement is intended to provide the Company with flexibility to raise capital in the future for general corporate purposes. However, the Company’s ability to offer and sell its securities in a primary offering on the 2024 Registration Statement is limited by General Instruction I.B.6 of Form S-3 (the “Baby Shelf Limitation”), which limits the amount that the Company can offer to up to one-third of its public float during any trailing 12-month period. The Company would no longer be subject to the Baby Shelf Limitation if its public float exceeds $75 million. In the first quarter of 2025, the Company sold 8,003 shares of common stock for net proceeds of $105,693. The Company did not sell any shares of common stock under the ATM program in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May 2025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23, 2025, the Company entered into a Securities Purchase Agreement with certain institutional and accredited investors, for the issuance and sale in a private placement of: (i) 185,186 shares of the Company’s common stock, (ii) 296,297 of pre-funded warrants at an exercise price of $0.0015 per share and (iii) 962,964 warrants at an exercise price of $6.75 per share for gross proceeds of approximately $3.3 million before the deduction of placement agent fees and offering expenses.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Prefunded Warrants became exercisable immediately after issuance for a term of two and one-half years following the date of issuance. The Warrants will be exercisable upon receipt of such approval as may be required by the applicable rules and regulations of the Nasdaq Stock Market (or any successor entity) from the stockholders of the Company with respect to issuance of all of the Warrants and the shares of Common Stock upon the exercise thereof (“Stockholder Approval,” and such date, the “Stockholder Approval Date”) and have a term of three years. The prefunded warrants were exercised in full on June 16, 2025 and June 18,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issued to H.C. Wainwright &amp; Co., LLC warrants (the “Placement Agent Warrants”) to purchase up to an aggregate of 24,075 shares of common stock at an exercise price equal to $8.44 per share. The Placement Agent Warrants have substantially the same terms as the Warrants. The closing of the May 2025 Offering occurred on May 28, 2025. On July 11, 2025, the Company’s shareholders approved the issuance of the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in our 2024 Annual Report on Form 10-K for the year ended December 31, 2024 filed with the SEC on February 27, 2025. See Note 3 to the Condensed Consolidated Financial Statements contained in this Quarterly Report on Form 10-Q.</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clinical-stage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FOR THE THREE MONTHS ENDED JUNE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2025, our net loss was $2.8 million compared to a net loss of $4.8 million for the same three-month period of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$4.7 million in cash and cash equivalents at June 30, 2025, such conditions raise substantial doubts about the Company’s ability to continue as a going concern. Based on the above, management has determined there is substantial doubt regarding our ability to continue a going concern.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168</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434</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(266)</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Vaccine</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318</w:t>
            </w:r>
          </w:p>
        </w:tc>
        <w:tc>
          <w:tcPr>
            <w:tcW w:w="30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(293)</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623</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(295)</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3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247</w:t>
            </w:r>
          </w:p>
        </w:tc>
        <w:tc>
          <w:tcPr>
            <w:tcW w:w="30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324</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741</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(741)</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456</w:t>
            </w:r>
          </w:p>
        </w:tc>
        <w:tc>
          <w:tcPr>
            <w:tcW w:w="30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(321)</w:t>
            </w:r>
          </w:p>
        </w:tc>
        <w:tc>
          <w:tcPr>
            <w:tcW w:w="9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2,194</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(653)</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9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were $1.2 million in the second quarter of 2025 compared to $2.8 million in same period of 2024. Clinical costs associated with the OVATION program were $0.2 million in the second quarter of 2025 compared to $0.4 million in the same period of 2024. Clinical costs associated with the PlaCCine vaccine trial were $25,000 in the second quarter of 2025 compared to $0.3 million in the second quarter of 2024. Other clinical and regulatory costs were $0.3 million the second quarter of 2025 compared to $0.6 million in the same period of 2024. R&amp;D costs associated with the development of IMNN-001 to support the OVATION program were $0.6 million in the second quarter of 2025 compared to $0.2 million in same period of 2024. The development of the PLACCINE DNA vaccine technology platform was $0.7 million in the second quarter of 2024. CMC costs were $0.1 million in the second quarter of 2025 compared to $0.5 million in the same period of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$1.5 million in the second quarter of 2025 compared to $2.2 million in the same period of 2024. The decrease was primarily attributable to lower employee-related expenses of $0.7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income from the Company’s short-term investments was $27,000 for the second quarter of 2025 compared to $225,000 for the same period in 2024 due to cash balance.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FOR THE SIX MONTHS ENDED JUNE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 our net loss was $6.9 million compared to a net loss of $9.7 million for the same six-month period of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$4.7 million in cash and cash equivalents at June 30, 2025, such conditions raise substantial doubts about the Company’s ability to continue as a going concern. Based on the above, management has determined there is substantial doubt regarding our ability to continue a going concern.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382</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721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(339)</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Vaccine</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889</w:t>
            </w:r>
          </w:p>
        </w:tc>
        <w:tc>
          <w:tcPr>
            <w:tcW w:w="30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(806)</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1,100</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(199)</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3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652</w:t>
            </w:r>
          </w:p>
        </w:tc>
        <w:tc>
          <w:tcPr>
            <w:tcW w:w="30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833</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1,956</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(1,956)</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796</w:t>
            </w:r>
          </w:p>
        </w:tc>
        <w:tc>
          <w:tcPr>
            <w:tcW w:w="30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(255)</w:t>
            </w:r>
          </w:p>
        </w:tc>
        <w:tc>
          <w:tcPr>
            <w:tcW w:w="9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3,521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3,911</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(390)</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were $3.4 million in the first half of 2025 compared to $6.1 million in same period of 2024. Clinical costs associated with the OVATION program were $0.4 million in the first half of 2025 compared to $0.7 million in 2024. Clinical costs associated with the PlaCCine vaccine trial were $83,000 in the first half of 2025 compared to $0.9 million in the first half of 2024. Other clinical and regulatory costs were $0.9 million the first half of 2025 compared to $1.1 million in the same period of 2024. R&amp;D costs associated with the development of IMNN-001 to support the OVATION program were $1.5 million in the first half of 2025 compared to $0.7 million in same period of 2024. The development of the PLACCINE DNA vaccine technology platform was $2.0 million in the first half of 2024. CMC costs were $0.5 million in the first half of 2025 compared to $0.8 million in the same period of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$3.5 million in the first half of 2025 compared to $3.9 million in the same period of 2024. The decrease was primarily attributable to lower employee-related expenses of $0.2 million and lower legal expenses and travel costs of $0.2 million.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 income from the Company’s short-term investments was $70,000 for the first half of 2025 compared to $307,000 for the same period in 2024 due to cash balance.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We have financed our operations primarily through the net proceeds from the sales of equity, credit facilities and amounts received under product licensing agreements. The process of developing IMNN-001 and other drug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income, and we had an accumulated deficit of $414 million at June 30,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2025, we had total current assets of $6.9 million and current liabilities of $5.3 million, resulting in a net working capital of $1.6 million. At June 30, 2025, we had cash and cash equivalents of $4.7 million. At December 31, 2024, we had total current assets of $8.0 million and current liabilities of $4.8 million, resulting in net working capital of $3.2 million. We have substantial future capital requirements to continue our research and development activities and advance our drug candidates through various development stages. The Company believes these expenditures are essential for the commercialization of its technologies.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first six months of 2025 was $5.8 million. Net cash used by investing activities was $0.3 million during the first six months of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3" w:name="page34"/>
    <w:bookmarkEnd w:id="33"/>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continue to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drug candidates, or products we would otherwise seek to develop or commercialize on our own, or to license the rights to our technologies, drug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drug candidates, or products on terms not favorable to 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June 30, 2025,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exception of the changes described and set forth below, there have been no material changes to our risk factors from those disclosed under “Risk Factors” in Part I, Item 1A of our 2024 Annual Report on Form 10-K. The risks and uncertainties described in our 2024 Annual Report on Form 10-K, as supplemented by this Form 10-Q, are not the only ones we face. Additional risks and uncertainties not presently known to us or that we currently deem immaterial may also materially adversely affect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Investing in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market activity involving short selling or other market making activities could result in negative impact to the market price for our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Short selling is a method used to capitalize on an expected decline in the market price of a security and could depress the price of our Common Stock, which could further increase the potential for future short sales. Sales of our Common Stock could encourage short sales by market participants, which could create negative market momentum. Continued short selling may bring about a temporary, or possibly long term, decline in the market price of our Common Stock. The Company cannot predict the size of future issuances or sales of Common Stock or the effect, if any, that future issuances and sales of Common Stock will have on its market price or the activities of short sellers. Sales involving significant amounts of Common Stock, including issuances made in the ordinary course of the Company’s business, or the perception that such sales could occur, may materially and adversely affect prevailing market prices of the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Nasdaq if we fail to comply with continued listing standards.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Common Stock is currently traded on Nasdaq under the symbol “IMNN.” If we fail to comply with Nasdaq’s continued listing standards, we may be delisted and our Common Stock will trade, if at all, only on the over-the-counter market, such as the OTC Bulletin Board or OTCQX market, and then only if one or more registered broker-dealer market makers comply with quotation requirements. In addition, delisting of our Common Stock could depress our stock price, substantially limit liquidity of our Common Stock and materially adversely affect our ability to raise capital on terms acceptable to us, or at all. Further, delisting of our Common Stock would likely result in our Common Stock becoming a “penny stock” under the Exchange Act.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26, 2024, we received a notice from the Staff notifying us that, based upon the closing bid price of our Common Stock, for the 30 consecutive business days prior to the notice, we no longer met the requirement to maintain a minimum closing bid price of $1.00 per share, as set forth in Nasdaq Listing Rule 5550(a)(2). In accordance with Nasdaq Listing Rule 5810(c)(3)(A), we were granted 180 calendar days, or until May 27, 2025, to regain compliance with the minimum bid price rule. To regain compliance, the closing bid price of our Common Stock was required to be $1.00 per share or more for a minimum of ten (10) consecutive business days at any time before May 27, 2025. As of May 27, 2025, we were not eligible for an additional 180 calendar day compliance period, as we did not meet the required Nasdaq initial listing standards, and, on May 28, 2025, we received a delisting notice from Nasdaq. We also received a notice from the Staff notifying us that, because our stockholders’ equity was below $2.5 million as reported on our Quarterly Report on Form 10-Q for the quarter ended March 31, 2025, we no longer meet the minimum stockholders’ equity requirement for continued listing on Nasdaq under Nasdaq Rule 5550(b)(1). On May 29, 2025, we requested a hearing before a Nasdaq Hearing Panel, at which we requested a suspension of delisting pending our return to compliance. Pursuant to Nasdaq Listing Rule 5815(a)(1)(B), the hearing request stayed the suspension of trading and delisting of our common stock pending the conclusion of the hearing process. There can be no assurance the Staff or the Hearings Panel will grant our request for continued listing. We have timely submitted a plan to regain compliance with the foregoing deficiencies. Although we intend to use all reasonable efforts to achieve compliance with all Nasdaq listing standards, there can be no assurance that we will be able to regain compliance with the listing standards or that we will otherwise be in compliance with other applicable Nasdaq listing criteria. Furthermore, Nasdaq may delist our Common Stock for public interest concerns, even if we are able to regain compliance for continued listing on Nasdaq under the minimum closing bid price and stockholders’ equity listing requirements.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both"/>
        <w:spacing w:after="0" w:line="256" w:lineRule="auto"/>
        <w:rPr>
          <w:sz w:val="20"/>
          <w:szCs w:val="20"/>
          <w:color w:val="auto"/>
        </w:rPr>
      </w:pPr>
      <w:r>
        <w:rPr>
          <w:rFonts w:ascii="Times New Roman" w:cs="Times New Roman" w:eastAsia="Times New Roman" w:hAnsi="Times New Roman"/>
          <w:sz w:val="18"/>
          <w:szCs w:val="18"/>
          <w:color w:val="auto"/>
        </w:rPr>
        <w:t>If our Common Stock were to be delisted by Nasdaq, it may be eligible for quotation on an over-the-counter quotation system or on the pink sheets. Upon any such delisting, our Common Stock would become subject to the regulations of the SEC relating to the market for penny stocks. A penny stock is any equity security not traded on a national securities exchange that has a market price of less than $5.00 per share. The regulations applicable to penny stocks may severely affect the market liquidity for our Common Stock and could limit the ability of stockholders to sell securities in the secondary market. In such a case, an investor may find it more difficult to dispose of or obtain accurate quotations as to the market value of our Common Stock, and there can be no assurance that our Common Stock will be eligible for trading or quotation on any alternative exchanges or markets.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Delisting from Nasdaq could adversely affect our ability to raise additional financing through public or private sales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capital to fund our planned future operations, and we may be unable to secure such capital without significant dilutive financing transactions, or at all. If we are not able to raise additional capital, we may not be able to complete the development, testing and commercialization of our drug candidates and will not be able to continue as a going concern.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generated significant revenue and have incurred significant net losses in each year since our inception. For the six months ended June 30, 2025 and the year ended December 31, 2024, we incurred a net loss of $6.8 million and $18.6 million, respectively, and used $5.8 million and $18.9 million, respectively, to fund operations. As of June 30, 2025, we have incurred approximately $414 million of cumulative net losses. As of June 30, 2025 and December 31, 2024, we had cash and cash equivalents of $4.7 million and $5.9 million, respectively.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substantial future capital requirements, including to continue our research and development activities and advance our drug candidates through various development stages, including the Phase 3 registrational trial of IMNN-001 in advanced ovarian cancer.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drug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 directors or executive officers entered into, modified or terminated, contracts, instructions or written plans for the sale or purchase of the Company’s securities that were intended to satisfy the affirmative defense conditions of Rule 10b5-1.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52">
        <w:r>
          <w:rPr>
            <w:rFonts w:ascii="Times New Roman" w:cs="Times New Roman" w:eastAsia="Times New Roman" w:hAnsi="Times New Roman"/>
            <w:sz w:val="18"/>
            <w:szCs w:val="18"/>
            <w:u w:val="single" w:color="auto"/>
            <w:color w:val="0000EE"/>
          </w:rPr>
          <w:t>Certificate of Amendment to the Restated Certificate of Incorporation effective and filed on July 11, 2025, incorporated therein by reference to</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Exhibit 3.1 to the Current Report on Form 8-K of the Company filed on July 11, 2025</w:t>
        </w:r>
      </w:hyperlink>
    </w:p>
    <w:p>
      <w:pPr>
        <w:spacing w:after="0" w:line="162"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53">
        <w:r>
          <w:rPr>
            <w:rFonts w:ascii="Times New Roman" w:cs="Times New Roman" w:eastAsia="Times New Roman" w:hAnsi="Times New Roman"/>
            <w:sz w:val="18"/>
            <w:szCs w:val="18"/>
            <w:u w:val="single" w:color="auto"/>
            <w:color w:val="0000EE"/>
          </w:rPr>
          <w:t>Certificate of Amendment to the Restated Certificate of Incorporation, as amended, effective and filed on July 21, 2025, incorporated therein by</w:t>
        </w:r>
      </w:hyperlink>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reference to Exhibit 3.1 to the Current Report on Form 8-K of the Company filed on July 23, 2025</w:t>
        </w:r>
      </w:hyperlink>
    </w:p>
    <w:p>
      <w:pPr>
        <w:spacing w:after="0" w:line="162" w:lineRule="exact"/>
        <w:rPr>
          <w:sz w:val="20"/>
          <w:szCs w:val="20"/>
          <w:color w:val="auto"/>
        </w:rPr>
      </w:pPr>
    </w:p>
    <w:p>
      <w:pPr>
        <w:spacing w:after="0"/>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54">
        <w:r>
          <w:rPr>
            <w:rFonts w:ascii="Times New Roman" w:cs="Times New Roman" w:eastAsia="Times New Roman" w:hAnsi="Times New Roman"/>
            <w:sz w:val="18"/>
            <w:szCs w:val="18"/>
            <w:u w:val="single" w:color="auto"/>
            <w:color w:val="0000EE"/>
          </w:rPr>
          <w:t>Form of Pre-Funded Warrant, incorporated therein by reference to Exhibit 4.1 to the Current Report on Form 8-K of the Company filed on May</w:t>
        </w:r>
      </w:hyperlink>
    </w:p>
    <w:p>
      <w:pPr>
        <w:spacing w:after="0" w:line="27" w:lineRule="exact"/>
        <w:rPr>
          <w:sz w:val="20"/>
          <w:szCs w:val="20"/>
          <w:color w:val="auto"/>
        </w:rPr>
      </w:pPr>
    </w:p>
    <w:p>
      <w:pPr>
        <w:ind w:left="660"/>
        <w:spacing w:after="0"/>
        <w:rPr>
          <w:rFonts w:ascii="Times New Roman" w:cs="Times New Roman" w:eastAsia="Times New Roman" w:hAnsi="Times New Roman"/>
          <w:sz w:val="18"/>
          <w:szCs w:val="18"/>
          <w:u w:val="single" w:color="auto"/>
          <w:color w:val="0000EE"/>
        </w:rPr>
      </w:pPr>
      <w:hyperlink r:id="rId54">
        <w:r>
          <w:rPr>
            <w:rFonts w:ascii="Times New Roman" w:cs="Times New Roman" w:eastAsia="Times New Roman" w:hAnsi="Times New Roman"/>
            <w:sz w:val="18"/>
            <w:szCs w:val="18"/>
            <w:u w:val="single" w:color="auto"/>
            <w:color w:val="0000EE"/>
          </w:rPr>
          <w:t>27, 2025</w:t>
        </w:r>
      </w:hyperlink>
    </w:p>
    <w:p>
      <w:pPr>
        <w:spacing w:after="0" w:line="207"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55">
        <w:r>
          <w:rPr>
            <w:rFonts w:ascii="Times New Roman" w:cs="Times New Roman" w:eastAsia="Times New Roman" w:hAnsi="Times New Roman"/>
            <w:sz w:val="17"/>
            <w:szCs w:val="17"/>
            <w:u w:val="single" w:color="auto"/>
            <w:color w:val="0000EE"/>
          </w:rPr>
          <w:t>Form of Warrant, incorporated therein by reference to Exhibit 4.2 to the Current Report on Form 8-K of the Company filed on May 27, 2025</w:t>
        </w:r>
      </w:hyperlink>
    </w:p>
    <w:p>
      <w:pPr>
        <w:spacing w:after="0" w:line="225"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56">
        <w:r>
          <w:rPr>
            <w:rFonts w:ascii="Times New Roman" w:cs="Times New Roman" w:eastAsia="Times New Roman" w:hAnsi="Times New Roman"/>
            <w:sz w:val="18"/>
            <w:szCs w:val="18"/>
            <w:u w:val="single" w:color="auto"/>
            <w:color w:val="0000EE"/>
          </w:rPr>
          <w:t>Form of Placement Agent Warrant, incorporated therein by reference to Exhibit 4.3 to the Current Report on Form 8-K of the Company filed on</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May 27, 2025</w:t>
        </w:r>
      </w:hyperlink>
    </w:p>
    <w:p>
      <w:pPr>
        <w:spacing w:after="0" w:line="162"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57">
        <w:r>
          <w:rPr>
            <w:rFonts w:ascii="Times New Roman" w:cs="Times New Roman" w:eastAsia="Times New Roman" w:hAnsi="Times New Roman"/>
            <w:sz w:val="18"/>
            <w:szCs w:val="18"/>
            <w:u w:val="single" w:color="auto"/>
            <w:color w:val="0000EE"/>
          </w:rPr>
          <w:t>Form of Exchange Agreement, dated May 12, 2025, incorporated therein by reference to Exhibit 10.1 to the Current Report on Form 8-K of the</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Company filed on May 13, 2025</w:t>
        </w:r>
      </w:hyperlink>
    </w:p>
    <w:p>
      <w:pPr>
        <w:spacing w:after="0" w:line="162" w:lineRule="exact"/>
        <w:rPr>
          <w:sz w:val="20"/>
          <w:szCs w:val="20"/>
          <w:color w:val="auto"/>
        </w:rPr>
      </w:pPr>
    </w:p>
    <w:p>
      <w:pPr>
        <w:jc w:val="both"/>
        <w:ind w:left="660" w:right="20" w:hanging="647"/>
        <w:spacing w:after="0" w:line="282"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58">
        <w:r>
          <w:rPr>
            <w:rFonts w:ascii="Times New Roman" w:cs="Times New Roman" w:eastAsia="Times New Roman" w:hAnsi="Times New Roman"/>
            <w:sz w:val="18"/>
            <w:szCs w:val="18"/>
            <w:u w:val="single" w:color="auto"/>
            <w:color w:val="0000EE"/>
          </w:rPr>
          <w:t>Form of Securities Purchase Agreement, incorporated therein by reference to Exhibit 10.1 to the Current Report on Form 8-K of the Company</w:t>
        </w:r>
      </w:hyperlink>
      <w:r>
        <w:rPr>
          <w:rFonts w:ascii="Times New Roman" w:cs="Times New Roman" w:eastAsia="Times New Roman" w:hAnsi="Times New Roman"/>
          <w:sz w:val="18"/>
          <w:szCs w:val="18"/>
          <w:u w:val="single" w:color="auto"/>
          <w:color w:val="0000EE"/>
        </w:rPr>
        <w:t xml:space="preserve"> </w:t>
      </w:r>
      <w:hyperlink r:id="rId58">
        <w:r>
          <w:rPr>
            <w:rFonts w:ascii="Times New Roman" w:cs="Times New Roman" w:eastAsia="Times New Roman" w:hAnsi="Times New Roman"/>
            <w:sz w:val="18"/>
            <w:szCs w:val="18"/>
            <w:u w:val="single" w:color="auto"/>
            <w:color w:val="0000EE"/>
          </w:rPr>
          <w:t>filed on May 27, 2025</w:t>
        </w:r>
      </w:hyperlink>
    </w:p>
    <w:p>
      <w:pPr>
        <w:spacing w:after="0" w:line="162"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59">
        <w:r>
          <w:rPr>
            <w:rFonts w:ascii="Times New Roman" w:cs="Times New Roman" w:eastAsia="Times New Roman" w:hAnsi="Times New Roman"/>
            <w:sz w:val="18"/>
            <w:szCs w:val="18"/>
            <w:u w:val="single" w:color="auto"/>
            <w:color w:val="0000EE"/>
          </w:rPr>
          <w:t>Form of Registration Rights Agreement, incorporated therein by reference to Exhibit 10.2 to the Current Report on Form 8-K of the Company</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filed on May 27, 2025</w:t>
        </w:r>
      </w:hyperlink>
    </w:p>
    <w:p>
      <w:pPr>
        <w:spacing w:after="0" w:line="162" w:lineRule="exact"/>
        <w:rPr>
          <w:sz w:val="20"/>
          <w:szCs w:val="20"/>
          <w:color w:val="auto"/>
        </w:rPr>
      </w:pPr>
    </w:p>
    <w:p>
      <w:pPr>
        <w:jc w:val="both"/>
        <w:ind w:left="660" w:hanging="647"/>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10.4++ </w:t>
      </w:r>
      <w:hyperlink r:id="rId60">
        <w:r>
          <w:rPr>
            <w:rFonts w:ascii="Times New Roman" w:cs="Times New Roman" w:eastAsia="Times New Roman" w:hAnsi="Times New Roman"/>
            <w:sz w:val="18"/>
            <w:szCs w:val="18"/>
            <w:u w:val="single" w:color="auto"/>
            <w:color w:val="0000EE"/>
          </w:rPr>
          <w:t>Imunon, Inc. 2018 Stock Incentive Plan, as amended as of July 11, 2025, incorporated herein by reference to Exhibit 10.1 to the Current Report on</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Form 8-K of the Company, filed with the Commission on July 14, 2025 (SEC File 001-15911).</w:t>
        </w:r>
      </w:hyperlink>
    </w:p>
    <w:p>
      <w:pPr>
        <w:spacing w:after="0" w:line="162" w:lineRule="exact"/>
        <w:rPr>
          <w:sz w:val="20"/>
          <w:szCs w:val="20"/>
          <w:color w:val="auto"/>
        </w:rPr>
      </w:pPr>
    </w:p>
    <w:p>
      <w:pPr>
        <w:jc w:val="both"/>
        <w:ind w:left="660" w:right="20" w:hanging="647"/>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10.5++ </w:t>
      </w:r>
      <w:hyperlink r:id="rId61">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Offer Letter, dated September 20, 2022, between the Company and Kimberly Graper, incorporated therein by reference to Exhibit 10.1 to the</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Current Report on Form 8-K of the Company filed on June 13, 2025</w:t>
        </w:r>
      </w:hyperlink>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Rule 13a-14(a)/15d-14(a), as adopted pursuant to Section 302 of the Sarbanes-Oxley Act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Rule 13a-14(a)/15d-14(a), as adopted pursuant to Section 302 of the Sarbanes-Oxley Act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EE"/>
        </w:rPr>
        <w:t>Certification pursuant to 18 U.S.C. Section 1350, as adopted pursuant to Section 906 of the Sarbanes-Oxley Act of 2002.</w:t>
      </w:r>
    </w:p>
    <w:p>
      <w:pPr>
        <w:spacing w:after="0" w:line="225" w:lineRule="exact"/>
        <w:rPr>
          <w:sz w:val="20"/>
          <w:szCs w:val="20"/>
          <w:color w:val="auto"/>
        </w:rPr>
      </w:pPr>
    </w:p>
    <w:p>
      <w:pPr>
        <w:jc w:val="both"/>
        <w:ind w:left="660" w:hanging="65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101**</w:t>
        <w:tab/>
        <w:t>The following materials from the Company’s Quarterly Report on Form 10-Q for the quarter ended March 31, 2025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0"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jc w:val="both"/>
        <w:ind w:left="660" w:hanging="652"/>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0"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filed herewith.</w:t>
      </w:r>
    </w:p>
    <w:p>
      <w:pPr>
        <w:spacing w:after="0" w:line="225" w:lineRule="exact"/>
        <w:rPr>
          <w:sz w:val="20"/>
          <w:szCs w:val="20"/>
          <w:color w:val="auto"/>
        </w:rPr>
      </w:pPr>
    </w:p>
    <w:p>
      <w:pPr>
        <w:ind w:left="5540" w:right="4800" w:hanging="5532"/>
        <w:spacing w:after="0" w:line="409" w:lineRule="auto"/>
        <w:tabs>
          <w:tab w:leader="none" w:pos="66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August 5, 2025</w:t>
      </w:r>
      <w:r>
        <w:rPr>
          <w:sz w:val="20"/>
          <w:szCs w:val="20"/>
          <w:color w:val="auto"/>
        </w:rPr>
        <w:tab/>
      </w: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Stacy R. Lindborg, Ph.D.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Kimberly Graper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Kimberly Graper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Stacy R. Lindborg Ph.D., certify that:</w:t>
      </w:r>
    </w:p>
    <w:p>
      <w:pPr>
        <w:spacing w:after="0" w:line="225" w:lineRule="exact"/>
        <w:rPr>
          <w:sz w:val="20"/>
          <w:szCs w:val="20"/>
          <w:color w:val="auto"/>
        </w:rPr>
      </w:pPr>
    </w:p>
    <w:p>
      <w:pPr>
        <w:ind w:left="660" w:hanging="39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Imunon, Inc.;</w:t>
      </w:r>
    </w:p>
    <w:p>
      <w:pPr>
        <w:spacing w:after="0" w:line="225" w:lineRule="exact"/>
        <w:rPr>
          <w:rFonts w:ascii="Times New Roman" w:cs="Times New Roman" w:eastAsia="Times New Roman" w:hAnsi="Times New Roman"/>
          <w:sz w:val="18"/>
          <w:szCs w:val="18"/>
          <w:color w:val="auto"/>
        </w:rPr>
      </w:pPr>
    </w:p>
    <w:p>
      <w:pPr>
        <w:jc w:val="both"/>
        <w:ind w:left="660" w:hanging="396"/>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96"/>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Imunon, Inc.</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August 5, 2025</w:t>
            </w: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 Ph.D.</w:t>
            </w:r>
          </w:p>
        </w:tc>
      </w:tr>
      <w:tr>
        <w:trPr>
          <w:trHeight w:val="191"/>
        </w:trPr>
        <w:tc>
          <w:tcPr>
            <w:tcW w:w="33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Stacy R. Lindborg Ph.D.</w:t>
            </w:r>
          </w:p>
        </w:tc>
      </w:tr>
      <w:tr>
        <w:trPr>
          <w:trHeight w:val="234"/>
        </w:trPr>
        <w:tc>
          <w:tcPr>
            <w:tcW w:w="33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3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Kimberly Graper, certify that:</w:t>
      </w:r>
    </w:p>
    <w:p>
      <w:pPr>
        <w:spacing w:after="0" w:line="225" w:lineRule="exact"/>
        <w:rPr>
          <w:sz w:val="20"/>
          <w:szCs w:val="20"/>
          <w:color w:val="auto"/>
        </w:rPr>
      </w:pPr>
    </w:p>
    <w:p>
      <w:pPr>
        <w:ind w:left="660" w:hanging="39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Imunon, Inc.;</w:t>
      </w:r>
    </w:p>
    <w:p>
      <w:pPr>
        <w:spacing w:after="0" w:line="225" w:lineRule="exact"/>
        <w:rPr>
          <w:rFonts w:ascii="Times New Roman" w:cs="Times New Roman" w:eastAsia="Times New Roman" w:hAnsi="Times New Roman"/>
          <w:sz w:val="18"/>
          <w:szCs w:val="18"/>
          <w:color w:val="auto"/>
        </w:rPr>
      </w:pPr>
    </w:p>
    <w:p>
      <w:pPr>
        <w:jc w:val="both"/>
        <w:ind w:left="660" w:hanging="396"/>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96"/>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Imunon, Inc.</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August 5, 2025</w:t>
            </w: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Kimberly Graper</w:t>
            </w:r>
          </w:p>
        </w:tc>
      </w:tr>
      <w:tr>
        <w:trPr>
          <w:trHeight w:val="191"/>
        </w:trPr>
        <w:tc>
          <w:tcPr>
            <w:tcW w:w="33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Kimberly Graper</w:t>
            </w:r>
          </w:p>
        </w:tc>
      </w:tr>
      <w:tr>
        <w:trPr>
          <w:trHeight w:val="234"/>
        </w:trPr>
        <w:tc>
          <w:tcPr>
            <w:tcW w:w="33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3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June 30, 2025 of Imunon, Inc.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August 5, 2025</w:t>
            </w: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 Ph. D.</w:t>
            </w:r>
          </w:p>
        </w:tc>
      </w:tr>
      <w:tr>
        <w:trPr>
          <w:trHeight w:val="191"/>
        </w:trPr>
        <w:tc>
          <w:tcPr>
            <w:tcW w:w="33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Stacy R. Lindborg Ph.D.</w:t>
            </w:r>
          </w:p>
        </w:tc>
      </w:tr>
      <w:tr>
        <w:trPr>
          <w:trHeight w:val="234"/>
        </w:trPr>
        <w:tc>
          <w:tcPr>
            <w:tcW w:w="33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August 5, 2025</w:t>
            </w: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Kimberly Graper</w:t>
            </w:r>
          </w:p>
        </w:tc>
      </w:tr>
      <w:tr>
        <w:trPr>
          <w:trHeight w:val="191"/>
        </w:trPr>
        <w:tc>
          <w:tcPr>
            <w:tcW w:w="33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Kimberly Graper</w:t>
            </w:r>
          </w:p>
        </w:tc>
      </w:tr>
      <w:tr>
        <w:trPr>
          <w:trHeight w:val="234"/>
        </w:trPr>
        <w:tc>
          <w:tcPr>
            <w:tcW w:w="33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firstLine="8"/>
        <w:spacing w:after="0" w:line="266" w:lineRule="auto"/>
        <w:tabs>
          <w:tab w:leader="none" w:pos="1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amp;"/>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52" Type="http://schemas.openxmlformats.org/officeDocument/2006/relationships/hyperlink" Target="https://www.sec.gov/Archives/edgar/data/749647/000164117225018797/ex3-1.htm" TargetMode="External"/><Relationship Id="rId53" Type="http://schemas.openxmlformats.org/officeDocument/2006/relationships/hyperlink" Target="https://www.sec.gov/Archives/edgar/data/749647/000164117225020652/ex3-1.htm" TargetMode="External"/><Relationship Id="rId54" Type="http://schemas.openxmlformats.org/officeDocument/2006/relationships/hyperlink" Target="https://www.sec.gov/Archives/edgar/data/749647/000164117225012395/ex4-1.htm" TargetMode="External"/><Relationship Id="rId55" Type="http://schemas.openxmlformats.org/officeDocument/2006/relationships/hyperlink" Target="https://www.sec.gov/Archives/edgar/data/749647/000164117225012395/ex4-2.htm" TargetMode="External"/><Relationship Id="rId56" Type="http://schemas.openxmlformats.org/officeDocument/2006/relationships/hyperlink" Target="https://www.sec.gov/Archives/edgar/data/749647/000164117225012395/ex4-3.htm" TargetMode="External"/><Relationship Id="rId57" Type="http://schemas.openxmlformats.org/officeDocument/2006/relationships/hyperlink" Target="https://www.sec.gov/Archives/edgar/data/749647/000164117225009775/ex10-1.htm" TargetMode="External"/><Relationship Id="rId58" Type="http://schemas.openxmlformats.org/officeDocument/2006/relationships/hyperlink" Target="https://www.sec.gov/Archives/edgar/data/749647/000164117225012395/ex10-1.htm" TargetMode="External"/><Relationship Id="rId59" Type="http://schemas.openxmlformats.org/officeDocument/2006/relationships/hyperlink" Target="https://www.sec.gov/Archives/edgar/data/749647/000164117225012395/ex10-2.htm" TargetMode="External"/><Relationship Id="rId60" Type="http://schemas.openxmlformats.org/officeDocument/2006/relationships/hyperlink" Target="https://www.sec.gov/Archives/edgar/data/749647/000164117225019541/ex10-1.htm" TargetMode="External"/><Relationship Id="rId61" Type="http://schemas.openxmlformats.org/officeDocument/2006/relationships/hyperlink" Target="https://www.sec.gov/Archives/edgar/data/749647/000164117225015124/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2025-08-05T08:07:45Z</dcterms:created>
  <dcterms:modified xsi:type="dcterms:W3CDTF">2025-08-05T08:07:45Z</dcterms:modified>
</cp:coreProperties>
</file>