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3780" w:right="2240" w:hanging="3735"/>
        <w:spacing w:after="0" w:line="500" w:lineRule="auto"/>
        <w:tabs>
          <w:tab w:leader="none" w:pos="327"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2020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4300" w:right="2220" w:hanging="4235"/>
        <w:spacing w:after="0" w:line="485" w:lineRule="auto"/>
        <w:tabs>
          <w:tab w:leader="none" w:pos="219"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Commission file number: 001-15911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CELSION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20" w:type="dxa"/>
            <w:vAlign w:val="bottom"/>
          </w:tcPr>
          <w:p>
            <w:pPr>
              <w:jc w:val="center"/>
              <w:ind w:left="1410"/>
              <w:spacing w:after="0"/>
              <w:rPr>
                <w:sz w:val="20"/>
                <w:szCs w:val="20"/>
                <w:color w:val="auto"/>
              </w:rPr>
            </w:pPr>
            <w:r>
              <w:rPr>
                <w:rFonts w:ascii="Arial" w:cs="Arial" w:eastAsia="Arial" w:hAnsi="Arial"/>
                <w:sz w:val="18"/>
                <w:szCs w:val="18"/>
                <w:b w:val="1"/>
                <w:bCs w:val="1"/>
                <w:color w:val="auto"/>
                <w:w w:val="91"/>
              </w:rPr>
              <w:t>Delaware</w:t>
            </w:r>
          </w:p>
        </w:tc>
        <w:tc>
          <w:tcPr>
            <w:tcW w:w="7220" w:type="dxa"/>
            <w:vAlign w:val="bottom"/>
            <w:gridSpan w:val="3"/>
          </w:tcPr>
          <w:p>
            <w:pPr>
              <w:jc w:val="center"/>
              <w:ind w:left="1630"/>
              <w:spacing w:after="0"/>
              <w:rPr>
                <w:sz w:val="20"/>
                <w:szCs w:val="20"/>
                <w:color w:val="auto"/>
              </w:rPr>
            </w:pPr>
            <w:r>
              <w:rPr>
                <w:rFonts w:ascii="Arial" w:cs="Arial" w:eastAsia="Arial" w:hAnsi="Arial"/>
                <w:sz w:val="18"/>
                <w:szCs w:val="18"/>
                <w:b w:val="1"/>
                <w:bCs w:val="1"/>
                <w:color w:val="auto"/>
                <w:w w:val="89"/>
              </w:rPr>
              <w:t>52-1256615</w:t>
            </w:r>
          </w:p>
        </w:tc>
      </w:tr>
      <w:tr>
        <w:trPr>
          <w:trHeight w:val="202"/>
        </w:trPr>
        <w:tc>
          <w:tcPr>
            <w:tcW w:w="4020" w:type="dxa"/>
            <w:vAlign w:val="bottom"/>
            <w:tcBorders>
              <w:top w:val="single" w:sz="8" w:color="auto"/>
            </w:tcBorders>
          </w:tcPr>
          <w:p>
            <w:pPr>
              <w:jc w:val="center"/>
              <w:ind w:left="1410"/>
              <w:spacing w:after="0" w:line="201" w:lineRule="exact"/>
              <w:rPr>
                <w:sz w:val="20"/>
                <w:szCs w:val="20"/>
                <w:color w:val="auto"/>
              </w:rPr>
            </w:pPr>
            <w:r>
              <w:rPr>
                <w:rFonts w:ascii="Arial" w:cs="Arial" w:eastAsia="Arial" w:hAnsi="Arial"/>
                <w:sz w:val="18"/>
                <w:szCs w:val="18"/>
                <w:color w:val="auto"/>
                <w:w w:val="92"/>
              </w:rPr>
              <w:t>(State or other jurisdiction of</w:t>
            </w:r>
          </w:p>
        </w:tc>
        <w:tc>
          <w:tcPr>
            <w:tcW w:w="1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020" w:type="dxa"/>
            <w:vAlign w:val="bottom"/>
          </w:tcPr>
          <w:p>
            <w:pPr>
              <w:jc w:val="center"/>
              <w:ind w:left="1410"/>
              <w:spacing w:after="0"/>
              <w:rPr>
                <w:sz w:val="20"/>
                <w:szCs w:val="20"/>
                <w:color w:val="auto"/>
              </w:rPr>
            </w:pPr>
            <w:r>
              <w:rPr>
                <w:rFonts w:ascii="Arial" w:cs="Arial" w:eastAsia="Arial" w:hAnsi="Arial"/>
                <w:sz w:val="18"/>
                <w:szCs w:val="18"/>
                <w:color w:val="auto"/>
                <w:w w:val="92"/>
              </w:rPr>
              <w:t>incorporation or organization)</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4020" w:type="dxa"/>
            <w:vAlign w:val="bottom"/>
          </w:tcPr>
          <w:p>
            <w:pPr>
              <w:spacing w:after="0"/>
              <w:rPr>
                <w:sz w:val="24"/>
                <w:szCs w:val="24"/>
                <w:color w:val="auto"/>
              </w:rPr>
            </w:pPr>
          </w:p>
        </w:tc>
        <w:tc>
          <w:tcPr>
            <w:tcW w:w="7220" w:type="dxa"/>
            <w:vAlign w:val="bottom"/>
            <w:gridSpan w:val="3"/>
          </w:tcPr>
          <w:p>
            <w:pPr>
              <w:jc w:val="center"/>
              <w:ind w:right="3930"/>
              <w:spacing w:after="0"/>
              <w:rPr>
                <w:sz w:val="20"/>
                <w:szCs w:val="20"/>
                <w:color w:val="auto"/>
              </w:rPr>
            </w:pPr>
            <w:r>
              <w:rPr>
                <w:rFonts w:ascii="Arial" w:cs="Arial" w:eastAsia="Arial" w:hAnsi="Arial"/>
                <w:sz w:val="18"/>
                <w:szCs w:val="18"/>
                <w:b w:val="1"/>
                <w:bCs w:val="1"/>
                <w:color w:val="auto"/>
                <w:w w:val="91"/>
              </w:rPr>
              <w:t>997 Lenox Drive, Suite 100,</w:t>
            </w:r>
          </w:p>
        </w:tc>
      </w:tr>
      <w:tr>
        <w:trPr>
          <w:trHeight w:val="220"/>
        </w:trPr>
        <w:tc>
          <w:tcPr>
            <w:tcW w:w="4020" w:type="dxa"/>
            <w:vAlign w:val="bottom"/>
          </w:tcPr>
          <w:p>
            <w:pPr>
              <w:spacing w:after="0"/>
              <w:rPr>
                <w:sz w:val="19"/>
                <w:szCs w:val="19"/>
                <w:color w:val="auto"/>
              </w:rPr>
            </w:pPr>
          </w:p>
        </w:tc>
        <w:tc>
          <w:tcPr>
            <w:tcW w:w="7220" w:type="dxa"/>
            <w:vAlign w:val="bottom"/>
            <w:gridSpan w:val="3"/>
          </w:tcPr>
          <w:p>
            <w:pPr>
              <w:jc w:val="center"/>
              <w:ind w:right="3930"/>
              <w:spacing w:after="0"/>
              <w:rPr>
                <w:sz w:val="20"/>
                <w:szCs w:val="20"/>
                <w:color w:val="auto"/>
              </w:rPr>
            </w:pPr>
            <w:r>
              <w:rPr>
                <w:rFonts w:ascii="Arial" w:cs="Arial" w:eastAsia="Arial" w:hAnsi="Arial"/>
                <w:sz w:val="18"/>
                <w:szCs w:val="18"/>
                <w:b w:val="1"/>
                <w:bCs w:val="1"/>
                <w:color w:val="auto"/>
                <w:w w:val="91"/>
              </w:rPr>
              <w:t>Lawrenceville</w:t>
            </w:r>
            <w:r>
              <w:rPr>
                <w:rFonts w:ascii="Arial" w:cs="Arial" w:eastAsia="Arial" w:hAnsi="Arial"/>
                <w:sz w:val="18"/>
                <w:szCs w:val="18"/>
                <w:color w:val="auto"/>
                <w:w w:val="91"/>
              </w:rPr>
              <w:t>,</w:t>
            </w:r>
            <w:r>
              <w:rPr>
                <w:rFonts w:ascii="Arial" w:cs="Arial" w:eastAsia="Arial" w:hAnsi="Arial"/>
                <w:sz w:val="18"/>
                <w:szCs w:val="18"/>
                <w:b w:val="1"/>
                <w:bCs w:val="1"/>
                <w:color w:val="auto"/>
                <w:w w:val="91"/>
              </w:rPr>
              <w:t xml:space="preserve"> NJ 08648</w:t>
            </w:r>
          </w:p>
        </w:tc>
      </w:tr>
      <w:tr>
        <w:trPr>
          <w:trHeight w:val="230"/>
        </w:trPr>
        <w:tc>
          <w:tcPr>
            <w:tcW w:w="4020" w:type="dxa"/>
            <w:vAlign w:val="bottom"/>
          </w:tcPr>
          <w:p>
            <w:pPr>
              <w:spacing w:after="0"/>
              <w:rPr>
                <w:sz w:val="20"/>
                <w:szCs w:val="20"/>
                <w:color w:val="auto"/>
              </w:rPr>
            </w:pPr>
          </w:p>
        </w:tc>
        <w:tc>
          <w:tcPr>
            <w:tcW w:w="7220" w:type="dxa"/>
            <w:vAlign w:val="bottom"/>
            <w:gridSpan w:val="3"/>
          </w:tcPr>
          <w:p>
            <w:pPr>
              <w:jc w:val="center"/>
              <w:ind w:right="3910"/>
              <w:spacing w:after="0"/>
              <w:rPr>
                <w:sz w:val="20"/>
                <w:szCs w:val="20"/>
                <w:color w:val="auto"/>
              </w:rPr>
            </w:pPr>
            <w:r>
              <w:rPr>
                <w:rFonts w:ascii="Arial" w:cs="Arial" w:eastAsia="Arial" w:hAnsi="Arial"/>
                <w:sz w:val="18"/>
                <w:szCs w:val="18"/>
                <w:color w:val="auto"/>
                <w:w w:val="92"/>
              </w:rPr>
              <w:t>(Address of principal executive offices)</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896-9100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2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20" w:type="dxa"/>
            <w:vAlign w:val="bottom"/>
          </w:tcPr>
          <w:p>
            <w:pPr>
              <w:spacing w:after="0"/>
              <w:rPr>
                <w:sz w:val="20"/>
                <w:szCs w:val="20"/>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CLSN</w:t>
            </w:r>
          </w:p>
        </w:tc>
        <w:tc>
          <w:tcPr>
            <w:tcW w:w="2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18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46" w:right="339" w:bottom="1440" w:gutter="0" w:footer="0" w:header="0"/>
        </w:sectPr>
      </w:pPr>
    </w:p>
    <w:p>
      <w:pPr>
        <w:spacing w:after="0" w:line="184"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Large accelerated filer [ ]</w:t>
      </w:r>
    </w:p>
    <w:p>
      <w:pPr>
        <w:spacing w:after="0" w:line="3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Non-accelerated filer [ ]</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31" w:lineRule="exact"/>
        <w:rPr>
          <w:sz w:val="24"/>
          <w:szCs w:val="24"/>
          <w:color w:val="auto"/>
        </w:rPr>
      </w:pPr>
    </w:p>
    <w:p>
      <w:pPr>
        <w:sectPr>
          <w:pgSz w:w="11900" w:h="16838" w:orient="portrait"/>
          <w:cols w:equalWidth="0" w:num="2">
            <w:col w:w="5480" w:space="720"/>
            <w:col w:w="5040"/>
          </w:cols>
          <w:pgMar w:left="320" w:top="746" w:right="33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Emerging growth company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4"/>
          <w:szCs w:val="24"/>
          <w:color w:val="auto"/>
        </w:rPr>
      </w:pPr>
    </w:p>
    <w:p>
      <w:pPr>
        <w:sectPr>
          <w:pgSz w:w="11900" w:h="16838" w:orient="portrait"/>
          <w:cols w:equalWidth="0" w:num="2">
            <w:col w:w="3220" w:space="80"/>
            <w:col w:w="7940"/>
          </w:cols>
          <w:pgMar w:left="320" w:top="746" w:right="33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13, 2020, Celsion Corporation had 37,417,716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20" w:type="dxa"/>
            <w:vAlign w:val="bottom"/>
            <w:tcBorders>
              <w:bottom w:val="single" w:sz="8" w:color="CCEEFF"/>
            </w:tcBorders>
          </w:tcPr>
          <w:p>
            <w:pPr>
              <w:spacing w:after="0"/>
              <w:rPr>
                <w:sz w:val="20"/>
                <w:szCs w:val="20"/>
                <w:color w:val="auto"/>
              </w:rPr>
            </w:pPr>
          </w:p>
        </w:tc>
        <w:tc>
          <w:tcPr>
            <w:tcW w:w="97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89"/>
              </w:rPr>
              <w:t>Page(s)</w:t>
            </w:r>
          </w:p>
        </w:tc>
      </w:tr>
      <w:tr>
        <w:trPr>
          <w:trHeight w:val="216"/>
        </w:trPr>
        <w:tc>
          <w:tcPr>
            <w:tcW w:w="10600" w:type="dxa"/>
            <w:vAlign w:val="bottom"/>
            <w:gridSpan w:val="2"/>
            <w:shd w:val="clear" w:color="auto" w:fill="CCEEFF"/>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FINANCIAL INFORMATION</w:t>
              </w:r>
            </w:hyperlink>
          </w:p>
        </w:tc>
        <w:tc>
          <w:tcPr>
            <w:tcW w:w="64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820" w:type="dxa"/>
            <w:vAlign w:val="bottom"/>
          </w:tcPr>
          <w:p>
            <w:pPr>
              <w:spacing w:after="0"/>
              <w:rPr>
                <w:sz w:val="18"/>
                <w:szCs w:val="18"/>
                <w:color w:val="auto"/>
              </w:rPr>
            </w:pPr>
          </w:p>
        </w:tc>
        <w:tc>
          <w:tcPr>
            <w:tcW w:w="9780" w:type="dxa"/>
            <w:vAlign w:val="bottom"/>
          </w:tcPr>
          <w:p>
            <w:pPr>
              <w:ind w:left="1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820" w:type="dxa"/>
            <w:vAlign w:val="bottom"/>
            <w:shd w:val="clear" w:color="auto" w:fill="CCEEFF"/>
          </w:tcPr>
          <w:p>
            <w:pPr>
              <w:spacing w:after="0"/>
              <w:rPr>
                <w:sz w:val="18"/>
                <w:szCs w:val="18"/>
                <w:color w:val="auto"/>
              </w:rPr>
            </w:pP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Operations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820" w:type="dxa"/>
            <w:vAlign w:val="bottom"/>
          </w:tcPr>
          <w:p>
            <w:pPr>
              <w:spacing w:after="0"/>
              <w:rPr>
                <w:sz w:val="18"/>
                <w:szCs w:val="18"/>
                <w:color w:val="auto"/>
              </w:rPr>
            </w:pPr>
          </w:p>
        </w:tc>
        <w:tc>
          <w:tcPr>
            <w:tcW w:w="9780" w:type="dxa"/>
            <w:vAlign w:val="bottom"/>
          </w:tcPr>
          <w:p>
            <w:pPr>
              <w:ind w:left="1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Comprehensive Loss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820" w:type="dxa"/>
            <w:vAlign w:val="bottom"/>
            <w:shd w:val="clear" w:color="auto" w:fill="CCEEFF"/>
          </w:tcPr>
          <w:p>
            <w:pPr>
              <w:spacing w:after="0"/>
              <w:rPr>
                <w:sz w:val="18"/>
                <w:szCs w:val="18"/>
                <w:color w:val="auto"/>
              </w:rPr>
            </w:pP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820" w:type="dxa"/>
            <w:vAlign w:val="bottom"/>
          </w:tcPr>
          <w:p>
            <w:pPr>
              <w:spacing w:after="0"/>
              <w:rPr>
                <w:sz w:val="18"/>
                <w:szCs w:val="18"/>
                <w:color w:val="auto"/>
              </w:rPr>
            </w:pPr>
          </w:p>
        </w:tc>
        <w:tc>
          <w:tcPr>
            <w:tcW w:w="9780" w:type="dxa"/>
            <w:vAlign w:val="bottom"/>
          </w:tcPr>
          <w:p>
            <w:pPr>
              <w:ind w:left="1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Condensed Consolidated Statements of Changes in Stockholders’ Equity</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216"/>
        </w:trPr>
        <w:tc>
          <w:tcPr>
            <w:tcW w:w="820" w:type="dxa"/>
            <w:vAlign w:val="bottom"/>
            <w:shd w:val="clear" w:color="auto" w:fill="CCEEFF"/>
          </w:tcPr>
          <w:p>
            <w:pPr>
              <w:spacing w:after="0"/>
              <w:rPr>
                <w:sz w:val="18"/>
                <w:szCs w:val="18"/>
                <w:color w:val="auto"/>
              </w:rPr>
            </w:pP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Notes to the Condensed Consolidated Financial Statements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Management’s Discussion and Analysis of Financial Condition and Results of Operations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Quantitative and Qualitative Disclosures about Market Risk</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r>
      <w:tr>
        <w:trPr>
          <w:trHeight w:val="216"/>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Controls and Procedures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r>
      <w:tr>
        <w:trPr>
          <w:trHeight w:val="216"/>
        </w:trPr>
        <w:tc>
          <w:tcPr>
            <w:tcW w:w="106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PART II: OTHER INFORMATION</w:t>
              </w:r>
            </w:hyperlink>
          </w:p>
        </w:tc>
        <w:tc>
          <w:tcPr>
            <w:tcW w:w="64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Legal Proceedings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r>
      <w:tr>
        <w:trPr>
          <w:trHeight w:val="216"/>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Risk Factors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r>
      <w:tr>
        <w:trPr>
          <w:trHeight w:val="216"/>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Unregistered Sales of Equity Securities and Use of Proceeds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78</w:t>
            </w:r>
          </w:p>
        </w:tc>
      </w:tr>
      <w:tr>
        <w:trPr>
          <w:trHeight w:val="216"/>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Defaults Upon Senior Securities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78</w:t>
            </w:r>
          </w:p>
        </w:tc>
      </w:tr>
      <w:tr>
        <w:trPr>
          <w:trHeight w:val="216"/>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Mine Safety Disclosures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78</w:t>
            </w:r>
          </w:p>
        </w:tc>
      </w:tr>
      <w:tr>
        <w:trPr>
          <w:trHeight w:val="216"/>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Other Information</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78</w:t>
            </w:r>
          </w:p>
        </w:tc>
      </w:tr>
      <w:tr>
        <w:trPr>
          <w:trHeight w:val="216"/>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780" w:type="dxa"/>
            <w:vAlign w:val="bottom"/>
            <w:shd w:val="clear" w:color="auto" w:fill="CCEEFF"/>
          </w:tcPr>
          <w:p>
            <w:pPr>
              <w:ind w:left="16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Exhibits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79</w:t>
            </w:r>
          </w:p>
        </w:tc>
      </w:tr>
      <w:tr>
        <w:trPr>
          <w:trHeight w:val="216"/>
        </w:trPr>
        <w:tc>
          <w:tcPr>
            <w:tcW w:w="106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2"/>
            <w:shd w:val="clear" w:color="auto" w:fill="CCEEFF"/>
          </w:tcPr>
          <w:p>
            <w:pPr>
              <w:spacing w:after="0"/>
              <w:rPr>
                <w:rFonts w:ascii="Arial" w:cs="Arial" w:eastAsia="Arial" w:hAnsi="Arial"/>
                <w:sz w:val="18"/>
                <w:szCs w:val="18"/>
                <w:b w:val="1"/>
                <w:bCs w:val="1"/>
                <w:u w:val="single" w:color="auto"/>
                <w:color w:val="0000EE"/>
              </w:rPr>
            </w:pPr>
            <w:hyperlink w:anchor="page82">
              <w:r>
                <w:rPr>
                  <w:rFonts w:ascii="Arial" w:cs="Arial" w:eastAsia="Arial" w:hAnsi="Arial"/>
                  <w:sz w:val="18"/>
                  <w:szCs w:val="18"/>
                  <w:b w:val="1"/>
                  <w:bCs w:val="1"/>
                  <w:u w:val="single" w:color="auto"/>
                  <w:color w:val="0000EE"/>
                </w:rPr>
                <w:t>SIGNATURES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80</w:t>
            </w:r>
          </w:p>
        </w:tc>
      </w:tr>
      <w:tr>
        <w:trPr>
          <w:trHeight w:val="439"/>
        </w:trPr>
        <w:tc>
          <w:tcPr>
            <w:tcW w:w="82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ind w:left="4780"/>
              <w:spacing w:after="0"/>
              <w:rPr>
                <w:sz w:val="20"/>
                <w:szCs w:val="20"/>
                <w:color w:val="auto"/>
              </w:rPr>
            </w:pPr>
            <w:r>
              <w:rPr>
                <w:rFonts w:ascii="Arial" w:cs="Arial" w:eastAsia="Arial" w:hAnsi="Arial"/>
                <w:sz w:val="18"/>
                <w:szCs w:val="18"/>
                <w:color w:val="auto"/>
              </w:rPr>
              <w:t>i</w:t>
            </w: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report includes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uncertainties and assumptions regarding the impact of the COVID-19 pandemic on our business, operations, clinical trials, supply chain, strategy, goals and anticipated timelines, any statements concerning proposed drug candidates, potential therapeutic benefits,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any changes in approaches to medical treatment, any introduction of new products by others, any possible licenses or acquisitions of other technologies, assets or businesses, our ability to realize the full extent of the anticipated benefits of our acquisition of the assets of EGEN, Inc., including achieving operational cost savings and synergies in light of any delays we may encounter in the integration process and additional unforeseen expenses, any possible actions by customers, suppliers, partners, competitors and regulatory authorities, compliance with listing standards of The Nasdaq Capital Market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future financial condition and results of operations, as well as any forward-looking statements, are subject to inherent risks and uncertainties, including, but not limited to, the risk factors set forth in Part II, Item 1A “Risk Factors” below and for the reasons described elsewhere in this Quarterly Report on Form 10-Q. All forward-looking statements and reasons why results may differ included in this report are made as of the date hereof and we do not intend to update any forward-looking statements, except as required by law or applicable regulations. The discussion of risks and uncertainties set forth in this Quarterly Report on Form 10-Q is not necessarily a complete or exhaustive list of all risks facing us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where the context otherwise requires, in this Quarterly Report on Form 10-Q, the “Company,” “Celsion,” “we,” “us,” and “our” refer to Celsion Corporation, a Delaware corporation and its wholly-owned subsidiary CLSN Laboratories, Inc., also a Delaware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3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Celsion brand and product names, including but not limited to Celsion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contained in this document are trademarks, registered trademarks or service marks of Celsion Corporation or its subsidiary in the United States (U.S.) and certain other countries. This document also contains references to trademarks and service marks of other companies that are the property of their respective owners.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180" w:type="dxa"/>
            <w:vAlign w:val="bottom"/>
            <w:gridSpan w:val="3"/>
          </w:tcPr>
          <w:p>
            <w:pPr>
              <w:jc w:val="center"/>
              <w:ind w:left="3970"/>
              <w:spacing w:after="0"/>
              <w:rPr>
                <w:sz w:val="20"/>
                <w:szCs w:val="20"/>
                <w:color w:val="auto"/>
              </w:rPr>
            </w:pPr>
            <w:r>
              <w:rPr>
                <w:rFonts w:ascii="Arial" w:cs="Arial" w:eastAsia="Arial" w:hAnsi="Arial"/>
                <w:sz w:val="18"/>
                <w:szCs w:val="18"/>
                <w:b w:val="1"/>
                <w:bCs w:val="1"/>
                <w:color w:val="auto"/>
              </w:rPr>
              <w:t>PART I: FINANCIAL INFORMATION</w:t>
            </w: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9"/>
              </w:rPr>
              <w:t>CELSION CORPORATION</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9"/>
              </w:rPr>
              <w:t>CONDENSED CONSOLIDATED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8"/>
              </w:rPr>
              <w:t>BALANCE SHEETS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September 30, 2020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2019</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(Unaudited)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18,339,728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6,875,273</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Investment in debt securities - available for sale, at fair value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7,985,886</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receivable on investment securities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21,369</w:t>
            </w:r>
          </w:p>
        </w:tc>
      </w:tr>
      <w:tr>
        <w:trPr>
          <w:trHeight w:val="237"/>
        </w:trPr>
        <w:tc>
          <w:tcPr>
            <w:tcW w:w="6960" w:type="dxa"/>
            <w:vAlign w:val="bottom"/>
          </w:tcPr>
          <w:p>
            <w:pPr>
              <w:ind w:left="360"/>
              <w:spacing w:after="0"/>
              <w:rPr>
                <w:sz w:val="20"/>
                <w:szCs w:val="20"/>
                <w:color w:val="auto"/>
              </w:rPr>
            </w:pPr>
            <w:r>
              <w:rPr>
                <w:rFonts w:ascii="Arial" w:cs="Arial" w:eastAsia="Arial" w:hAnsi="Arial"/>
                <w:sz w:val="18"/>
                <w:szCs w:val="18"/>
                <w:color w:val="auto"/>
              </w:rPr>
              <w:t>Advances and deposits on clinical programs and other current assets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1,565,651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1,352,670</w:t>
            </w:r>
          </w:p>
        </w:tc>
      </w:tr>
      <w:tr>
        <w:trPr>
          <w:trHeight w:val="223"/>
        </w:trPr>
        <w:tc>
          <w:tcPr>
            <w:tcW w:w="69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19,905,379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16,235,198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960" w:type="dxa"/>
            <w:vAlign w:val="bottom"/>
            <w:shd w:val="clear" w:color="auto" w:fill="CCEEFF"/>
          </w:tcPr>
          <w:p>
            <w:pPr>
              <w:ind w:left="180"/>
              <w:spacing w:after="0" w:line="198" w:lineRule="exact"/>
              <w:rPr>
                <w:sz w:val="20"/>
                <w:szCs w:val="20"/>
                <w:color w:val="auto"/>
              </w:rPr>
            </w:pPr>
            <w:r>
              <w:rPr>
                <w:rFonts w:ascii="Arial" w:cs="Arial" w:eastAsia="Arial" w:hAnsi="Arial"/>
                <w:sz w:val="18"/>
                <w:szCs w:val="18"/>
                <w:b w:val="1"/>
                <w:bCs w:val="1"/>
                <w:color w:val="auto"/>
                <w:w w:val="96"/>
              </w:rPr>
              <w:t>Property and equipment (at cost, less accumulated depreciation of $3,213,681 and</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5"/>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$3,096,681, respectively)</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302,281</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405,363</w:t>
            </w:r>
          </w:p>
        </w:tc>
      </w:tr>
      <w:tr>
        <w:trPr>
          <w:trHeight w:val="216"/>
        </w:trPr>
        <w:tc>
          <w:tcPr>
            <w:tcW w:w="6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Other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Deferred tax asset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1,819,324</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In-process research and development,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13,366,234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15,736,491</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1,976,101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1,976,101</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1,147,062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1,431,640</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Other intangible assets,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170,489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340,976</w:t>
            </w:r>
          </w:p>
        </w:tc>
      </w:tr>
      <w:tr>
        <w:trPr>
          <w:trHeight w:val="250"/>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 and other assets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407,284</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333,274</w:t>
            </w:r>
          </w:p>
        </w:tc>
      </w:tr>
      <w:tr>
        <w:trPr>
          <w:trHeight w:val="210"/>
        </w:trPr>
        <w:tc>
          <w:tcPr>
            <w:tcW w:w="696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Total other assets</w:t>
            </w:r>
          </w:p>
        </w:tc>
        <w:tc>
          <w:tcPr>
            <w:tcW w:w="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17,067,170</w:t>
            </w: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21,637,806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6960" w:type="dxa"/>
            <w:vAlign w:val="bottom"/>
          </w:tcPr>
          <w:p>
            <w:pPr>
              <w:ind w:left="18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w:t>
            </w:r>
          </w:p>
        </w:tc>
        <w:tc>
          <w:tcPr>
            <w:tcW w:w="1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37,274,830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38,278,367</w:t>
            </w:r>
          </w:p>
        </w:tc>
      </w:tr>
      <w:tr>
        <w:trPr>
          <w:trHeight w:val="20"/>
        </w:trPr>
        <w:tc>
          <w:tcPr>
            <w:tcW w:w="6980" w:type="dxa"/>
            <w:vAlign w:val="bottom"/>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060" w:type="dxa"/>
            <w:vAlign w:val="bottom"/>
            <w:gridSpan w:val="5"/>
          </w:tcPr>
          <w:p>
            <w:pPr>
              <w:jc w:val="center"/>
              <w:ind w:left="211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60" w:type="dxa"/>
            <w:vAlign w:val="bottom"/>
            <w:tcBorders>
              <w:bottom w:val="single" w:sz="8" w:color="auto"/>
            </w:tcBorders>
          </w:tcPr>
          <w:p>
            <w:pPr>
              <w:jc w:val="center"/>
              <w:ind w:left="4210"/>
              <w:spacing w:after="0"/>
              <w:rPr>
                <w:sz w:val="20"/>
                <w:szCs w:val="20"/>
                <w:color w:val="auto"/>
              </w:rPr>
            </w:pPr>
            <w:r>
              <w:rPr>
                <w:rFonts w:ascii="Arial" w:cs="Arial" w:eastAsia="Arial" w:hAnsi="Arial"/>
                <w:sz w:val="18"/>
                <w:szCs w:val="18"/>
                <w:color w:val="auto"/>
                <w:w w:val="99"/>
              </w:rPr>
              <w:t>2</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9"/>
              </w:rPr>
              <w:t>CELSION CORPORATION</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9"/>
              </w:rPr>
              <w:t>CONDENSED CONSOLIDATED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960" w:type="dxa"/>
            <w:vAlign w:val="bottom"/>
          </w:tcPr>
          <w:p>
            <w:pPr>
              <w:jc w:val="center"/>
              <w:ind w:left="4210"/>
              <w:spacing w:after="0"/>
              <w:rPr>
                <w:sz w:val="20"/>
                <w:szCs w:val="20"/>
                <w:color w:val="auto"/>
              </w:rPr>
            </w:pPr>
            <w:r>
              <w:rPr>
                <w:rFonts w:ascii="Arial" w:cs="Arial" w:eastAsia="Arial" w:hAnsi="Arial"/>
                <w:sz w:val="18"/>
                <w:szCs w:val="18"/>
                <w:b w:val="1"/>
                <w:bCs w:val="1"/>
                <w:color w:val="auto"/>
                <w:w w:val="98"/>
              </w:rPr>
              <w:t>BALANCE SHEETS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960" w:type="dxa"/>
            <w:vAlign w:val="bottom"/>
          </w:tcPr>
          <w:p>
            <w:pPr>
              <w:jc w:val="center"/>
              <w:ind w:left="4190"/>
              <w:spacing w:after="0"/>
              <w:rPr>
                <w:sz w:val="20"/>
                <w:szCs w:val="20"/>
                <w:color w:val="auto"/>
              </w:rPr>
            </w:pPr>
            <w:r>
              <w:rPr>
                <w:rFonts w:ascii="Arial" w:cs="Arial" w:eastAsia="Arial" w:hAnsi="Arial"/>
                <w:sz w:val="18"/>
                <w:szCs w:val="18"/>
                <w:b w:val="1"/>
                <w:bCs w:val="1"/>
                <w:color w:val="auto"/>
                <w:w w:val="91"/>
              </w:rPr>
              <w:t>(Continued)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September 30, 2020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 2019</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 trade</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2,168,076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2,862,949</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1,919,779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2,303,547</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 current portion, net of deferred financing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416,476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1,840,228</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Operating lease liability - current portion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421,564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387,733</w:t>
            </w:r>
          </w:p>
        </w:tc>
      </w:tr>
      <w:tr>
        <w:trPr>
          <w:trHeight w:val="250"/>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 current portion</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r>
      <w:tr>
        <w:trPr>
          <w:trHeight w:val="203"/>
        </w:trPr>
        <w:tc>
          <w:tcPr>
            <w:tcW w:w="6960" w:type="dxa"/>
            <w:vAlign w:val="bottom"/>
            <w:tcBorders>
              <w:top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5,425,895</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7,894,457</w:t>
            </w:r>
          </w:p>
        </w:tc>
        <w:tc>
          <w:tcPr>
            <w:tcW w:w="100" w:type="dxa"/>
            <w:vAlign w:val="bottom"/>
            <w:tcBorders>
              <w:top w:val="single" w:sz="8" w:color="CCEEFF"/>
            </w:tcBorders>
          </w:tcPr>
          <w:p>
            <w:pPr>
              <w:spacing w:after="0"/>
              <w:rPr>
                <w:sz w:val="17"/>
                <w:szCs w:val="17"/>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Earn-out milestone liability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7,115,000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5,717,709</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 non-current portion, net of deferred financing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4,626,987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7,963,449</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Operating lease liability - non-current portion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823,147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1,143,717</w:t>
            </w:r>
          </w:p>
        </w:tc>
      </w:tr>
      <w:tr>
        <w:trPr>
          <w:trHeight w:val="250"/>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 non-current portion</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r>
      <w:tr>
        <w:trPr>
          <w:trHeight w:val="210"/>
        </w:trPr>
        <w:tc>
          <w:tcPr>
            <w:tcW w:w="696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Total liabilities</w:t>
            </w:r>
          </w:p>
        </w:tc>
        <w:tc>
          <w:tcPr>
            <w:tcW w:w="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18,616,029</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23,719,332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960" w:type="dxa"/>
            <w:vAlign w:val="bottom"/>
          </w:tcPr>
          <w:p>
            <w:pPr>
              <w:ind w:left="180"/>
              <w:spacing w:after="0" w:line="201" w:lineRule="exact"/>
              <w:rPr>
                <w:sz w:val="20"/>
                <w:szCs w:val="20"/>
                <w:color w:val="auto"/>
              </w:rPr>
            </w:pPr>
            <w:r>
              <w:rPr>
                <w:rFonts w:ascii="Arial" w:cs="Arial" w:eastAsia="Arial" w:hAnsi="Arial"/>
                <w:sz w:val="18"/>
                <w:szCs w:val="18"/>
                <w:color w:val="auto"/>
                <w:w w:val="98"/>
              </w:rPr>
              <w:t>Preferred stock - $0.01 par value (100,000 shares authorized, and no shares issued or</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960" w:type="dxa"/>
            <w:vAlign w:val="bottom"/>
          </w:tcPr>
          <w:p>
            <w:pPr>
              <w:ind w:left="180"/>
              <w:spacing w:after="0"/>
              <w:rPr>
                <w:sz w:val="20"/>
                <w:szCs w:val="20"/>
                <w:color w:val="auto"/>
              </w:rPr>
            </w:pPr>
            <w:r>
              <w:rPr>
                <w:rFonts w:ascii="Arial" w:cs="Arial" w:eastAsia="Arial" w:hAnsi="Arial"/>
                <w:sz w:val="18"/>
                <w:szCs w:val="18"/>
                <w:color w:val="auto"/>
              </w:rPr>
              <w:t>outstanding at September 30, 2020 and December 31, 2019)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960" w:type="dxa"/>
            <w:vAlign w:val="bottom"/>
          </w:tcPr>
          <w:p>
            <w:pPr>
              <w:ind w:left="180"/>
              <w:spacing w:after="0" w:line="201" w:lineRule="exact"/>
              <w:rPr>
                <w:sz w:val="20"/>
                <w:szCs w:val="20"/>
                <w:color w:val="auto"/>
              </w:rPr>
            </w:pPr>
            <w:r>
              <w:rPr>
                <w:rFonts w:ascii="Arial" w:cs="Arial" w:eastAsia="Arial" w:hAnsi="Arial"/>
                <w:sz w:val="18"/>
                <w:szCs w:val="18"/>
                <w:color w:val="auto"/>
              </w:rPr>
              <w:t>Common stock - $0.01 par value (112,500,000 shares authorized; 36,160,114 and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w w:val="91"/>
              </w:rPr>
              <w:t>23,256,152 shares issued at September 30, 2020 and December 31, 2019, respectively, and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w w:val="94"/>
              </w:rPr>
              <w:t>36,159,780 and 23,255,818 shares outstanding at September 30, 2020 and December 31,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960" w:type="dxa"/>
            <w:vAlign w:val="bottom"/>
          </w:tcPr>
          <w:p>
            <w:pPr>
              <w:ind w:left="180"/>
              <w:spacing w:after="0"/>
              <w:rPr>
                <w:sz w:val="20"/>
                <w:szCs w:val="20"/>
                <w:color w:val="auto"/>
              </w:rPr>
            </w:pPr>
            <w:r>
              <w:rPr>
                <w:rFonts w:ascii="Arial" w:cs="Arial" w:eastAsia="Arial" w:hAnsi="Arial"/>
                <w:sz w:val="18"/>
                <w:szCs w:val="18"/>
                <w:color w:val="auto"/>
              </w:rPr>
              <w:t>2019, respectively)</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361,601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232,562</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327,370,577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304,885,663</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Accumulated other comprehensive gain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42,778</w:t>
            </w:r>
          </w:p>
        </w:tc>
      </w:tr>
      <w:tr>
        <w:trPr>
          <w:trHeight w:val="250"/>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(308,988,189)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(290,516,780)</w:t>
            </w:r>
          </w:p>
        </w:tc>
      </w:tr>
      <w:tr>
        <w:trPr>
          <w:trHeight w:val="203"/>
        </w:trPr>
        <w:tc>
          <w:tcPr>
            <w:tcW w:w="696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b w:val="1"/>
                <w:bCs w:val="1"/>
                <w:color w:val="auto"/>
              </w:rPr>
              <w:t>Total stockholders’ equity before treasury stock</w:t>
            </w: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18,743,989</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14,644,223</w:t>
            </w:r>
          </w:p>
        </w:tc>
        <w:tc>
          <w:tcPr>
            <w:tcW w:w="100" w:type="dxa"/>
            <w:vAlign w:val="bottom"/>
            <w:tcBorders>
              <w:top w:val="single" w:sz="8" w:color="CCEEFF"/>
            </w:tcBorders>
          </w:tcPr>
          <w:p>
            <w:pPr>
              <w:spacing w:after="0"/>
              <w:rPr>
                <w:sz w:val="17"/>
                <w:szCs w:val="17"/>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Treasury stock, at cost (334 shares at September 30, 2020 and December 31, 2019)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140"/>
              <w:spacing w:after="0"/>
              <w:rPr>
                <w:sz w:val="20"/>
                <w:szCs w:val="20"/>
                <w:color w:val="auto"/>
              </w:rPr>
            </w:pPr>
            <w:r>
              <w:rPr>
                <w:rFonts w:ascii="Arial" w:cs="Arial" w:eastAsia="Arial" w:hAnsi="Arial"/>
                <w:sz w:val="18"/>
                <w:szCs w:val="18"/>
                <w:color w:val="auto"/>
              </w:rPr>
              <w:t>(85,188)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(85,188)</w:t>
            </w:r>
          </w:p>
        </w:tc>
      </w:tr>
      <w:tr>
        <w:trPr>
          <w:trHeight w:val="223"/>
        </w:trPr>
        <w:tc>
          <w:tcPr>
            <w:tcW w:w="69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18,658,801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14,559,035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w:t>
            </w: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37,274,830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38,278,367</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100" w:type="dxa"/>
            <w:vAlign w:val="bottom"/>
            <w:gridSpan w:val="5"/>
          </w:tcPr>
          <w:p>
            <w:pPr>
              <w:jc w:val="center"/>
              <w:ind w:left="207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60" w:type="dxa"/>
            <w:vAlign w:val="bottom"/>
            <w:tcBorders>
              <w:bottom w:val="single" w:sz="8" w:color="auto"/>
            </w:tcBorders>
          </w:tcPr>
          <w:p>
            <w:pPr>
              <w:jc w:val="center"/>
              <w:ind w:left="4210"/>
              <w:spacing w:after="0"/>
              <w:rPr>
                <w:sz w:val="20"/>
                <w:szCs w:val="20"/>
                <w:color w:val="auto"/>
              </w:rPr>
            </w:pPr>
            <w:r>
              <w:rPr>
                <w:rFonts w:ascii="Arial" w:cs="Arial" w:eastAsia="Arial" w:hAnsi="Arial"/>
                <w:sz w:val="18"/>
                <w:szCs w:val="18"/>
                <w:color w:val="auto"/>
                <w:w w:val="99"/>
              </w:rPr>
              <w:t>3</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244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9"/>
              </w:rPr>
              <w:t>CELSION CORPORATION</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40" w:type="dxa"/>
            <w:vAlign w:val="bottom"/>
            <w:gridSpan w:val="7"/>
          </w:tcPr>
          <w:p>
            <w:pPr>
              <w:jc w:val="center"/>
              <w:ind w:left="4230"/>
              <w:spacing w:after="0"/>
              <w:rPr>
                <w:sz w:val="20"/>
                <w:szCs w:val="20"/>
                <w:color w:val="auto"/>
              </w:rPr>
            </w:pPr>
            <w:r>
              <w:rPr>
                <w:rFonts w:ascii="Arial" w:cs="Arial" w:eastAsia="Arial" w:hAnsi="Arial"/>
                <w:sz w:val="18"/>
                <w:szCs w:val="18"/>
                <w:b w:val="1"/>
                <w:bCs w:val="1"/>
                <w:color w:val="auto"/>
                <w:w w:val="99"/>
              </w:rPr>
              <w:t>CONDENSED CONSOLIDATED</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140" w:type="dxa"/>
            <w:vAlign w:val="bottom"/>
            <w:gridSpan w:val="9"/>
          </w:tcPr>
          <w:p>
            <w:pPr>
              <w:jc w:val="center"/>
              <w:ind w:left="3010"/>
              <w:spacing w:after="0"/>
              <w:rPr>
                <w:sz w:val="20"/>
                <w:szCs w:val="20"/>
                <w:color w:val="auto"/>
              </w:rPr>
            </w:pPr>
            <w:r>
              <w:rPr>
                <w:rFonts w:ascii="Arial" w:cs="Arial" w:eastAsia="Arial" w:hAnsi="Arial"/>
                <w:sz w:val="18"/>
                <w:szCs w:val="18"/>
                <w:b w:val="1"/>
                <w:bCs w:val="1"/>
                <w:color w:val="auto"/>
                <w:w w:val="98"/>
              </w:rPr>
              <w:t>STATEMENTS OF OPERATIONS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gridSpan w:val="6"/>
          </w:tcPr>
          <w:p>
            <w:pPr>
              <w:jc w:val="right"/>
              <w:ind w:right="961"/>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82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4"/>
              </w:rPr>
              <w:t>2019</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0"/>
                <w:szCs w:val="20"/>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125,000</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125,000</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375,000</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375,000</w:t>
            </w:r>
          </w:p>
        </w:tc>
      </w:tr>
      <w:tr>
        <w:trPr>
          <w:trHeight w:val="216"/>
        </w:trPr>
        <w:tc>
          <w:tcPr>
            <w:tcW w:w="45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21"/>
              <w:spacing w:after="0"/>
              <w:rPr>
                <w:sz w:val="20"/>
                <w:szCs w:val="20"/>
                <w:color w:val="auto"/>
              </w:rPr>
            </w:pPr>
            <w:r>
              <w:rPr>
                <w:rFonts w:ascii="Arial" w:cs="Arial" w:eastAsia="Arial" w:hAnsi="Arial"/>
                <w:sz w:val="18"/>
                <w:szCs w:val="18"/>
                <w:color w:val="auto"/>
              </w:rPr>
              <w:t>2,491,696</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241"/>
              <w:spacing w:after="0"/>
              <w:rPr>
                <w:sz w:val="20"/>
                <w:szCs w:val="20"/>
                <w:color w:val="auto"/>
              </w:rPr>
            </w:pPr>
            <w:r>
              <w:rPr>
                <w:rFonts w:ascii="Arial" w:cs="Arial" w:eastAsia="Arial" w:hAnsi="Arial"/>
                <w:sz w:val="18"/>
                <w:szCs w:val="18"/>
                <w:color w:val="auto"/>
              </w:rPr>
              <w:t>3,674,239</w:t>
            </w:r>
          </w:p>
        </w:tc>
        <w:tc>
          <w:tcPr>
            <w:tcW w:w="28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8,534,606</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9,999,972</w:t>
            </w:r>
          </w:p>
        </w:tc>
      </w:tr>
      <w:tr>
        <w:trPr>
          <w:trHeight w:val="249"/>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1,792,904</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1,838,287</w:t>
            </w: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5,532,946</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6,192,835</w:t>
            </w:r>
          </w:p>
        </w:tc>
      </w:tr>
      <w:tr>
        <w:trPr>
          <w:trHeight w:val="210"/>
        </w:trPr>
        <w:tc>
          <w:tcPr>
            <w:tcW w:w="45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4,284,600</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5,512,526</w:t>
            </w:r>
          </w:p>
        </w:tc>
        <w:tc>
          <w:tcPr>
            <w:tcW w:w="3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14,067,552</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16,192,807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4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450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61"/>
              <w:spacing w:after="0"/>
              <w:rPr>
                <w:sz w:val="20"/>
                <w:szCs w:val="20"/>
                <w:color w:val="auto"/>
              </w:rPr>
            </w:pPr>
            <w:r>
              <w:rPr>
                <w:rFonts w:ascii="Arial" w:cs="Arial" w:eastAsia="Arial" w:hAnsi="Arial"/>
                <w:sz w:val="18"/>
                <w:szCs w:val="18"/>
                <w:color w:val="auto"/>
              </w:rPr>
              <w:t>(4,159,600)</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gridSpan w:val="2"/>
          </w:tcPr>
          <w:p>
            <w:pPr>
              <w:jc w:val="right"/>
              <w:ind w:right="181"/>
              <w:spacing w:after="0"/>
              <w:rPr>
                <w:sz w:val="20"/>
                <w:szCs w:val="20"/>
                <w:color w:val="auto"/>
              </w:rPr>
            </w:pPr>
            <w:r>
              <w:rPr>
                <w:rFonts w:ascii="Arial" w:cs="Arial" w:eastAsia="Arial" w:hAnsi="Arial"/>
                <w:sz w:val="18"/>
                <w:szCs w:val="18"/>
                <w:color w:val="auto"/>
                <w:w w:val="99"/>
              </w:rPr>
              <w:t>(5,387,526)</w:t>
            </w:r>
          </w:p>
        </w:tc>
        <w:tc>
          <w:tcPr>
            <w:tcW w:w="280" w:type="dxa"/>
            <w:vAlign w:val="bottom"/>
          </w:tcPr>
          <w:p>
            <w:pPr>
              <w:spacing w:after="0"/>
              <w:rPr>
                <w:sz w:val="20"/>
                <w:szCs w:val="20"/>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(13,692,552)</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(15,817,807)</w:t>
            </w:r>
          </w:p>
        </w:tc>
      </w:tr>
      <w:tr>
        <w:trPr>
          <w:trHeight w:val="216"/>
        </w:trPr>
        <w:tc>
          <w:tcPr>
            <w:tcW w:w="4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5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(Loss) gain from change in valuation of earn-out milestone</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(1,099,721)</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85,882</w:t>
            </w: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(1,397,291)</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3,088,821</w:t>
            </w: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Impairment of in-process research and development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61"/>
              <w:spacing w:after="0"/>
              <w:rPr>
                <w:sz w:val="20"/>
                <w:szCs w:val="20"/>
                <w:color w:val="auto"/>
              </w:rPr>
            </w:pPr>
            <w:r>
              <w:rPr>
                <w:rFonts w:ascii="Arial" w:cs="Arial" w:eastAsia="Arial" w:hAnsi="Arial"/>
                <w:sz w:val="18"/>
                <w:szCs w:val="18"/>
                <w:color w:val="auto"/>
              </w:rPr>
              <w:t>(2,370,257)</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(2,370,257)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45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Fair value of warrants issued in connection with</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amendment to modify GEN-1 earn-out milestone payments</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(400,000)</w:t>
            </w: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Investment income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21"/>
              <w:spacing w:after="0"/>
              <w:rPr>
                <w:sz w:val="20"/>
                <w:szCs w:val="20"/>
                <w:color w:val="auto"/>
              </w:rPr>
            </w:pPr>
            <w:r>
              <w:rPr>
                <w:rFonts w:ascii="Arial" w:cs="Arial" w:eastAsia="Arial" w:hAnsi="Arial"/>
                <w:sz w:val="18"/>
                <w:szCs w:val="18"/>
                <w:color w:val="auto"/>
              </w:rPr>
              <w:t>10,114</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241"/>
              <w:spacing w:after="0"/>
              <w:rPr>
                <w:sz w:val="20"/>
                <w:szCs w:val="20"/>
                <w:color w:val="auto"/>
              </w:rPr>
            </w:pPr>
            <w:r>
              <w:rPr>
                <w:rFonts w:ascii="Arial" w:cs="Arial" w:eastAsia="Arial" w:hAnsi="Arial"/>
                <w:sz w:val="18"/>
                <w:szCs w:val="18"/>
                <w:color w:val="auto"/>
              </w:rPr>
              <w:t>174,439</w:t>
            </w:r>
          </w:p>
        </w:tc>
        <w:tc>
          <w:tcPr>
            <w:tcW w:w="28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119,383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432,832</w:t>
            </w: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(450,732)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(349,602)</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(1,130,699)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(1,049,797)</w:t>
            </w:r>
          </w:p>
        </w:tc>
      </w:tr>
      <w:tr>
        <w:trPr>
          <w:trHeight w:val="236"/>
        </w:trPr>
        <w:tc>
          <w:tcPr>
            <w:tcW w:w="4500" w:type="dxa"/>
            <w:vAlign w:val="bottom"/>
          </w:tcPr>
          <w:p>
            <w:pPr>
              <w:ind w:left="180"/>
              <w:spacing w:after="0"/>
              <w:rPr>
                <w:sz w:val="20"/>
                <w:szCs w:val="20"/>
                <w:color w:val="auto"/>
              </w:rPr>
            </w:pPr>
            <w:r>
              <w:rPr>
                <w:rFonts w:ascii="Arial" w:cs="Arial" w:eastAsia="Arial" w:hAnsi="Arial"/>
                <w:sz w:val="18"/>
                <w:szCs w:val="18"/>
                <w:color w:val="auto"/>
              </w:rPr>
              <w:t>Other (expense) income</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61"/>
              <w:spacing w:after="0"/>
              <w:rPr>
                <w:sz w:val="20"/>
                <w:szCs w:val="20"/>
                <w:color w:val="auto"/>
              </w:rPr>
            </w:pPr>
            <w:r>
              <w:rPr>
                <w:rFonts w:ascii="Arial" w:cs="Arial" w:eastAsia="Arial" w:hAnsi="Arial"/>
                <w:sz w:val="18"/>
                <w:szCs w:val="18"/>
                <w:color w:val="auto"/>
              </w:rPr>
              <w:t>(1,400)</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(2,823)</w:t>
            </w:r>
          </w:p>
        </w:tc>
      </w:tr>
      <w:tr>
        <w:trPr>
          <w:trHeight w:val="223"/>
        </w:trPr>
        <w:tc>
          <w:tcPr>
            <w:tcW w:w="45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other (expense) income, net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(3,911,996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(89,281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(4,778,857</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2,069,033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(8,071,596)</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9"/>
              </w:rPr>
              <w:t>(5,476,807)</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(18,471,409)</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(13,748,774)</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loss per common share</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4500" w:type="dxa"/>
            <w:vAlign w:val="bottom"/>
          </w:tcPr>
          <w:p>
            <w:pPr>
              <w:ind w:left="360"/>
              <w:spacing w:after="0"/>
              <w:rPr>
                <w:sz w:val="20"/>
                <w:szCs w:val="20"/>
                <w:color w:val="auto"/>
              </w:rPr>
            </w:pPr>
            <w:r>
              <w:rPr>
                <w:rFonts w:ascii="Arial" w:cs="Arial" w:eastAsia="Arial" w:hAnsi="Arial"/>
                <w:sz w:val="18"/>
                <w:szCs w:val="18"/>
                <w:b w:val="1"/>
                <w:bCs w:val="1"/>
                <w:color w:val="auto"/>
              </w:rPr>
              <w:t>Basic and diluted</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1"/>
              <w:spacing w:after="0"/>
              <w:rPr>
                <w:sz w:val="20"/>
                <w:szCs w:val="20"/>
                <w:color w:val="auto"/>
              </w:rPr>
            </w:pPr>
            <w:r>
              <w:rPr>
                <w:rFonts w:ascii="Arial" w:cs="Arial" w:eastAsia="Arial" w:hAnsi="Arial"/>
                <w:sz w:val="18"/>
                <w:szCs w:val="18"/>
                <w:color w:val="auto"/>
              </w:rPr>
              <w:t>(0.24)</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1"/>
              <w:spacing w:after="0"/>
              <w:rPr>
                <w:sz w:val="20"/>
                <w:szCs w:val="20"/>
                <w:color w:val="auto"/>
              </w:rPr>
            </w:pPr>
            <w:r>
              <w:rPr>
                <w:rFonts w:ascii="Arial" w:cs="Arial" w:eastAsia="Arial" w:hAnsi="Arial"/>
                <w:sz w:val="18"/>
                <w:szCs w:val="18"/>
                <w:color w:val="auto"/>
              </w:rPr>
              <w:t>(0.25)</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1"/>
              <w:spacing w:after="0"/>
              <w:rPr>
                <w:sz w:val="20"/>
                <w:szCs w:val="20"/>
                <w:color w:val="auto"/>
              </w:rPr>
            </w:pPr>
            <w:r>
              <w:rPr>
                <w:rFonts w:ascii="Arial" w:cs="Arial" w:eastAsia="Arial" w:hAnsi="Arial"/>
                <w:sz w:val="18"/>
                <w:szCs w:val="18"/>
                <w:color w:val="auto"/>
              </w:rPr>
              <w:t>(0.62)</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(0.67)</w:t>
            </w:r>
          </w:p>
        </w:tc>
      </w:tr>
      <w:tr>
        <w:trPr>
          <w:trHeight w:val="197"/>
        </w:trPr>
        <w:tc>
          <w:tcPr>
            <w:tcW w:w="45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b w:val="1"/>
                <w:bCs w:val="1"/>
                <w:color w:val="auto"/>
              </w:rPr>
              <w:t>Weighted average shares outstanding</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Basic and diluted</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34,112,254</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5"/>
              </w:rPr>
              <w:t>21,662,824</w:t>
            </w: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29,934,764</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20,524,799</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3380" w:type="dxa"/>
            <w:vAlign w:val="bottom"/>
            <w:gridSpan w:val="6"/>
          </w:tcPr>
          <w:p>
            <w:pPr>
              <w:jc w:val="center"/>
              <w:ind w:left="650"/>
              <w:spacing w:after="0"/>
              <w:rPr>
                <w:sz w:val="20"/>
                <w:szCs w:val="20"/>
                <w:color w:val="auto"/>
              </w:rPr>
            </w:pPr>
            <w:r>
              <w:rPr>
                <w:rFonts w:ascii="Arial" w:cs="Arial" w:eastAsia="Arial" w:hAnsi="Arial"/>
                <w:sz w:val="18"/>
                <w:szCs w:val="18"/>
                <w:b w:val="1"/>
                <w:bCs w:val="1"/>
                <w:color w:val="auto"/>
                <w:w w:val="99"/>
              </w:rPr>
              <w:t>CELSION CORPORATION</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560" w:type="dxa"/>
            <w:vAlign w:val="bottom"/>
          </w:tcPr>
          <w:p>
            <w:pPr>
              <w:spacing w:after="0"/>
              <w:rPr>
                <w:sz w:val="24"/>
                <w:szCs w:val="24"/>
                <w:color w:val="auto"/>
              </w:rPr>
            </w:pPr>
          </w:p>
        </w:tc>
        <w:tc>
          <w:tcPr>
            <w:tcW w:w="3380" w:type="dxa"/>
            <w:vAlign w:val="bottom"/>
            <w:gridSpan w:val="6"/>
          </w:tcPr>
          <w:p>
            <w:pPr>
              <w:jc w:val="center"/>
              <w:ind w:left="670"/>
              <w:spacing w:after="0"/>
              <w:rPr>
                <w:sz w:val="20"/>
                <w:szCs w:val="20"/>
                <w:color w:val="auto"/>
              </w:rPr>
            </w:pPr>
            <w:r>
              <w:rPr>
                <w:rFonts w:ascii="Arial" w:cs="Arial" w:eastAsia="Arial" w:hAnsi="Arial"/>
                <w:sz w:val="18"/>
                <w:szCs w:val="18"/>
                <w:b w:val="1"/>
                <w:bCs w:val="1"/>
                <w:color w:val="auto"/>
                <w:w w:val="99"/>
              </w:rPr>
              <w:t>CONDENSED CONSOLIDATED</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560" w:type="dxa"/>
            <w:vAlign w:val="bottom"/>
          </w:tcPr>
          <w:p>
            <w:pPr>
              <w:spacing w:after="0"/>
              <w:rPr>
                <w:sz w:val="18"/>
                <w:szCs w:val="18"/>
                <w:color w:val="auto"/>
              </w:rPr>
            </w:pPr>
          </w:p>
        </w:tc>
        <w:tc>
          <w:tcPr>
            <w:tcW w:w="4580" w:type="dxa"/>
            <w:vAlign w:val="bottom"/>
            <w:gridSpan w:val="8"/>
          </w:tcPr>
          <w:p>
            <w:pPr>
              <w:jc w:val="center"/>
              <w:ind w:right="440"/>
              <w:spacing w:after="0"/>
              <w:rPr>
                <w:sz w:val="20"/>
                <w:szCs w:val="20"/>
                <w:color w:val="auto"/>
              </w:rPr>
            </w:pPr>
            <w:r>
              <w:rPr>
                <w:rFonts w:ascii="Arial" w:cs="Arial" w:eastAsia="Arial" w:hAnsi="Arial"/>
                <w:sz w:val="18"/>
                <w:szCs w:val="18"/>
                <w:b w:val="1"/>
                <w:bCs w:val="1"/>
                <w:color w:val="auto"/>
                <w:w w:val="99"/>
              </w:rPr>
              <w:t>STATEMENTS OF COMPREHENSIVE LOSS</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gridSpan w:val="6"/>
          </w:tcPr>
          <w:p>
            <w:pPr>
              <w:jc w:val="right"/>
              <w:ind w:right="104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4"/>
                <w:szCs w:val="24"/>
                <w:color w:val="auto"/>
              </w:rPr>
            </w:pPr>
          </w:p>
        </w:tc>
        <w:tc>
          <w:tcPr>
            <w:tcW w:w="268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3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56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4"/>
              </w:rPr>
              <w:t>2019</w:t>
            </w:r>
          </w:p>
        </w:tc>
        <w:tc>
          <w:tcPr>
            <w:tcW w:w="3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gain</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000" w:type="dxa"/>
            <w:vAlign w:val="bottom"/>
            <w:gridSpan w:val="3"/>
          </w:tcPr>
          <w:p>
            <w:pPr>
              <w:spacing w:after="0" w:line="201" w:lineRule="exact"/>
              <w:rPr>
                <w:sz w:val="20"/>
                <w:szCs w:val="20"/>
                <w:color w:val="auto"/>
              </w:rPr>
            </w:pPr>
            <w:r>
              <w:rPr>
                <w:rFonts w:ascii="Arial" w:cs="Arial" w:eastAsia="Arial" w:hAnsi="Arial"/>
                <w:sz w:val="18"/>
                <w:szCs w:val="18"/>
                <w:color w:val="auto"/>
              </w:rPr>
              <w:t>Realized (gains) losses on investment securities recognized in</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investment income, net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(7,257)</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(58,068)</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(53,354)</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(68,418)</w:t>
            </w:r>
          </w:p>
        </w:tc>
      </w:tr>
      <w:tr>
        <w:trPr>
          <w:trHeight w:val="237"/>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w w:val="96"/>
              </w:rPr>
              <w:t>Unrealized gains on investment securities, net</w:t>
            </w:r>
          </w:p>
        </w:tc>
        <w:tc>
          <w:tcPr>
            <w:tcW w:w="1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(609)</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(2,433)</w:t>
            </w:r>
          </w:p>
        </w:tc>
        <w:tc>
          <w:tcPr>
            <w:tcW w:w="4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10,576</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72,621</w:t>
            </w:r>
          </w:p>
        </w:tc>
      </w:tr>
      <w:tr>
        <w:trPr>
          <w:trHeight w:val="216"/>
        </w:trPr>
        <w:tc>
          <w:tcPr>
            <w:tcW w:w="35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50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Change in unrealized gains (losses) on available for sale</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securities, net</w:t>
            </w:r>
          </w:p>
        </w:tc>
        <w:tc>
          <w:tcPr>
            <w:tcW w:w="1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(7,866)</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(60,501)</w:t>
            </w:r>
          </w:p>
        </w:tc>
        <w:tc>
          <w:tcPr>
            <w:tcW w:w="4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(42,778)</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4,203</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(8,071,596)</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(5,476,807)</w:t>
            </w:r>
          </w:p>
        </w:tc>
        <w:tc>
          <w:tcPr>
            <w:tcW w:w="4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(18,471,409)</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(13,748,774)</w:t>
            </w:r>
          </w:p>
        </w:tc>
      </w:tr>
      <w:tr>
        <w:trPr>
          <w:trHeight w:val="216"/>
        </w:trPr>
        <w:tc>
          <w:tcPr>
            <w:tcW w:w="35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(8,079,462)</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(5,537,308)</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(18,514,187)</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(13,744,571)</w:t>
            </w:r>
          </w:p>
        </w:tc>
      </w:tr>
      <w:tr>
        <w:trPr>
          <w:trHeight w:val="20"/>
        </w:trPr>
        <w:tc>
          <w:tcPr>
            <w:tcW w:w="474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8560" w:type="dxa"/>
            <w:vAlign w:val="bottom"/>
            <w:gridSpan w:val="10"/>
          </w:tcPr>
          <w:p>
            <w:pPr>
              <w:jc w:val="center"/>
              <w:ind w:left="261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5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9"/>
              </w:rPr>
              <w:t>5</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jc w:val="center"/>
              <w:ind w:left="3830"/>
              <w:spacing w:after="0"/>
              <w:rPr>
                <w:sz w:val="20"/>
                <w:szCs w:val="20"/>
                <w:color w:val="auto"/>
              </w:rPr>
            </w:pPr>
            <w:r>
              <w:rPr>
                <w:rFonts w:ascii="Arial" w:cs="Arial" w:eastAsia="Arial" w:hAnsi="Arial"/>
                <w:sz w:val="18"/>
                <w:szCs w:val="18"/>
                <w:b w:val="1"/>
                <w:bCs w:val="1"/>
                <w:color w:val="auto"/>
                <w:w w:val="99"/>
              </w:rPr>
              <w:t>CELSION CORPORATION</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320" w:type="dxa"/>
            <w:vAlign w:val="bottom"/>
          </w:tcPr>
          <w:p>
            <w:pPr>
              <w:jc w:val="center"/>
              <w:ind w:left="3850"/>
              <w:spacing w:after="0"/>
              <w:rPr>
                <w:sz w:val="20"/>
                <w:szCs w:val="20"/>
                <w:color w:val="auto"/>
              </w:rPr>
            </w:pPr>
            <w:r>
              <w:rPr>
                <w:rFonts w:ascii="Arial" w:cs="Arial" w:eastAsia="Arial" w:hAnsi="Arial"/>
                <w:sz w:val="18"/>
                <w:szCs w:val="18"/>
                <w:b w:val="1"/>
                <w:bCs w:val="1"/>
                <w:color w:val="auto"/>
                <w:w w:val="99"/>
              </w:rPr>
              <w:t>CONDENSED CONSOLIDATED</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320" w:type="dxa"/>
            <w:vAlign w:val="bottom"/>
          </w:tcPr>
          <w:p>
            <w:pPr>
              <w:jc w:val="center"/>
              <w:ind w:left="3850"/>
              <w:spacing w:after="0"/>
              <w:rPr>
                <w:sz w:val="20"/>
                <w:szCs w:val="20"/>
                <w:color w:val="auto"/>
              </w:rPr>
            </w:pPr>
            <w:r>
              <w:rPr>
                <w:rFonts w:ascii="Arial" w:cs="Arial" w:eastAsia="Arial" w:hAnsi="Arial"/>
                <w:sz w:val="18"/>
                <w:szCs w:val="18"/>
                <w:b w:val="1"/>
                <w:bCs w:val="1"/>
                <w:color w:val="auto"/>
                <w:w w:val="98"/>
              </w:rPr>
              <w:t>STATEMENTS OF CASH FLOWS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7320" w:type="dxa"/>
            <w:vAlign w:val="bottom"/>
          </w:tcPr>
          <w:p>
            <w:pPr>
              <w:jc w:val="center"/>
              <w:ind w:left="3830"/>
              <w:spacing w:after="0"/>
              <w:rPr>
                <w:sz w:val="20"/>
                <w:szCs w:val="20"/>
                <w:color w:val="auto"/>
              </w:rPr>
            </w:pPr>
            <w:r>
              <w:rPr>
                <w:rFonts w:ascii="Arial" w:cs="Arial" w:eastAsia="Arial" w:hAnsi="Arial"/>
                <w:sz w:val="18"/>
                <w:szCs w:val="18"/>
                <w:b w:val="1"/>
                <w:bCs w:val="1"/>
                <w:color w:val="auto"/>
                <w:w w:val="91"/>
              </w:rPr>
              <w:t>(Unaudited)</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 Ended</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1"/>
        </w:trPr>
        <w:tc>
          <w:tcPr>
            <w:tcW w:w="7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(18,471,409)</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(13,748,774)</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572,065</w:t>
            </w:r>
          </w:p>
        </w:tc>
        <w:tc>
          <w:tcPr>
            <w:tcW w:w="6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537,211</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Change in fair value of earn-out milestone liability</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1,397,291</w:t>
            </w:r>
          </w:p>
        </w:tc>
        <w:tc>
          <w:tcPr>
            <w:tcW w:w="60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(3,088,821)</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in-process research and development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2,370,257</w:t>
            </w:r>
          </w:p>
        </w:tc>
        <w:tc>
          <w:tcPr>
            <w:tcW w:w="6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320" w:type="dxa"/>
            <w:vAlign w:val="bottom"/>
          </w:tcPr>
          <w:p>
            <w:pPr>
              <w:ind w:left="180"/>
              <w:spacing w:after="0" w:line="201" w:lineRule="exact"/>
              <w:rPr>
                <w:sz w:val="20"/>
                <w:szCs w:val="20"/>
                <w:color w:val="auto"/>
              </w:rPr>
            </w:pPr>
            <w:r>
              <w:rPr>
                <w:rFonts w:ascii="Arial" w:cs="Arial" w:eastAsia="Arial" w:hAnsi="Arial"/>
                <w:sz w:val="18"/>
                <w:szCs w:val="18"/>
                <w:color w:val="auto"/>
                <w:w w:val="99"/>
              </w:rPr>
              <w:t>Fair value of warrants issued in connection with amendment to modify the GEN-1 earn-out</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milestone payments</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20"/>
                <w:szCs w:val="20"/>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Recognition of deferred revenue</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(375,000)</w:t>
            </w:r>
          </w:p>
        </w:tc>
        <w:tc>
          <w:tcPr>
            <w:tcW w:w="6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(375,000)</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Stock-based compensation costs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1,448,202</w:t>
            </w:r>
          </w:p>
        </w:tc>
        <w:tc>
          <w:tcPr>
            <w:tcW w:w="6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1,762,172</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and warrants issued in exchange for services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44,798</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Deferred income tax asset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1,819,324</w:t>
            </w:r>
          </w:p>
        </w:tc>
        <w:tc>
          <w:tcPr>
            <w:tcW w:w="6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Amortization of deferred finance charges and debt discount associated with notes payable</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439,786</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289,182</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Net changes in:</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receivable on investment securities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21,369</w:t>
            </w:r>
          </w:p>
        </w:tc>
        <w:tc>
          <w:tcPr>
            <w:tcW w:w="6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41,338</w:t>
            </w: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Advances and deposits on clinical programs and other current assets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(286,991)</w:t>
            </w:r>
          </w:p>
        </w:tc>
        <w:tc>
          <w:tcPr>
            <w:tcW w:w="60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(951,877)</w:t>
            </w:r>
          </w:p>
        </w:tc>
      </w:tr>
      <w:tr>
        <w:trPr>
          <w:trHeight w:val="25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trade and other accrued liabilities</w:t>
            </w: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(866,748)</w:t>
            </w:r>
          </w:p>
        </w:tc>
        <w:tc>
          <w:tcPr>
            <w:tcW w:w="6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486,857</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3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(11,887,056</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9"/>
              </w:rPr>
              <w:t>(14,642,362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7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investment securities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(9,956,892)</w:t>
            </w:r>
          </w:p>
        </w:tc>
        <w:tc>
          <w:tcPr>
            <w:tcW w:w="6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(19,338,177)</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Proceeds from sale and maturity of investment securities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17,900,000</w:t>
            </w:r>
          </w:p>
        </w:tc>
        <w:tc>
          <w:tcPr>
            <w:tcW w:w="6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23,310,000</w:t>
            </w:r>
          </w:p>
        </w:tc>
      </w:tr>
      <w:tr>
        <w:trPr>
          <w:trHeight w:val="25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(13,918)</w:t>
            </w:r>
          </w:p>
        </w:tc>
        <w:tc>
          <w:tcPr>
            <w:tcW w:w="6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(336,445)</w:t>
            </w:r>
          </w:p>
        </w:tc>
      </w:tr>
      <w:tr>
        <w:trPr>
          <w:trHeight w:val="210"/>
        </w:trPr>
        <w:tc>
          <w:tcPr>
            <w:tcW w:w="732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Net cash provided by investing activities</w:t>
            </w:r>
          </w:p>
        </w:tc>
        <w:tc>
          <w:tcPr>
            <w:tcW w:w="3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7,929,190</w:t>
            </w:r>
          </w:p>
        </w:tc>
        <w:tc>
          <w:tcPr>
            <w:tcW w:w="320" w:type="dxa"/>
            <w:vAlign w:val="bottom"/>
            <w:tcBorders>
              <w:top w:val="single" w:sz="8" w:color="CCEEFF"/>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3,635,378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common stock equity, net of issuance costs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20,250,426</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6,175,527</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Proceeds from issuance of common stock upon conversion of stock options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371,895</w:t>
            </w:r>
          </w:p>
        </w:tc>
        <w:tc>
          <w:tcPr>
            <w:tcW w:w="6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on notes payable including end-of-term fees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5,200,000</w:t>
            </w:r>
          </w:p>
        </w:tc>
        <w:tc>
          <w:tcPr>
            <w:tcW w:w="6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Proceeds from Payroll Protection Program (PPP) loans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1,324,750</w:t>
            </w:r>
          </w:p>
        </w:tc>
        <w:tc>
          <w:tcPr>
            <w:tcW w:w="6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on Payroll Protection Program (PPP) loans</w:t>
            </w: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(1,324,750)</w:t>
            </w:r>
          </w:p>
        </w:tc>
        <w:tc>
          <w:tcPr>
            <w:tcW w:w="6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32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Net cash provided by financing activities</w:t>
            </w:r>
          </w:p>
        </w:tc>
        <w:tc>
          <w:tcPr>
            <w:tcW w:w="3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15,422,321</w:t>
            </w:r>
          </w:p>
        </w:tc>
        <w:tc>
          <w:tcPr>
            <w:tcW w:w="320" w:type="dxa"/>
            <w:vAlign w:val="bottom"/>
            <w:tcBorders>
              <w:top w:val="single" w:sz="8" w:color="CCEEFF"/>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6,175,527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11,464,455</w:t>
            </w:r>
          </w:p>
        </w:tc>
        <w:tc>
          <w:tcPr>
            <w:tcW w:w="60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(4,831,457)</w:t>
            </w: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6,875,273</w:t>
            </w:r>
          </w:p>
        </w:tc>
        <w:tc>
          <w:tcPr>
            <w:tcW w:w="6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13,353,543</w:t>
            </w:r>
          </w:p>
        </w:tc>
      </w:tr>
      <w:tr>
        <w:trPr>
          <w:trHeight w:val="216"/>
        </w:trPr>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18,339,728</w:t>
            </w: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8,522,086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7560" w:type="dxa"/>
            <w:vAlign w:val="bottom"/>
          </w:tcPr>
          <w:p>
            <w:pPr>
              <w:jc w:val="center"/>
              <w:ind w:left="3590"/>
              <w:spacing w:after="0"/>
              <w:rPr>
                <w:sz w:val="20"/>
                <w:szCs w:val="20"/>
                <w:color w:val="auto"/>
              </w:rPr>
            </w:pPr>
            <w:r>
              <w:rPr>
                <w:rFonts w:ascii="Arial" w:cs="Arial" w:eastAsia="Arial" w:hAnsi="Arial"/>
                <w:sz w:val="18"/>
                <w:szCs w:val="18"/>
                <w:b w:val="1"/>
                <w:bCs w:val="1"/>
                <w:color w:val="auto"/>
                <w:w w:val="99"/>
              </w:rPr>
              <w:t>CELSION CORPORATION</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560" w:type="dxa"/>
            <w:vAlign w:val="bottom"/>
          </w:tcPr>
          <w:p>
            <w:pPr>
              <w:jc w:val="center"/>
              <w:ind w:left="3610"/>
              <w:spacing w:after="0"/>
              <w:rPr>
                <w:sz w:val="20"/>
                <w:szCs w:val="20"/>
                <w:color w:val="auto"/>
              </w:rPr>
            </w:pPr>
            <w:r>
              <w:rPr>
                <w:rFonts w:ascii="Arial" w:cs="Arial" w:eastAsia="Arial" w:hAnsi="Arial"/>
                <w:sz w:val="18"/>
                <w:szCs w:val="18"/>
                <w:b w:val="1"/>
                <w:bCs w:val="1"/>
                <w:color w:val="auto"/>
                <w:w w:val="99"/>
              </w:rPr>
              <w:t>CONDENSED CONSOLIDATED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560" w:type="dxa"/>
            <w:vAlign w:val="bottom"/>
          </w:tcPr>
          <w:p>
            <w:pPr>
              <w:jc w:val="center"/>
              <w:ind w:left="3610"/>
              <w:spacing w:after="0"/>
              <w:rPr>
                <w:sz w:val="20"/>
                <w:szCs w:val="20"/>
                <w:color w:val="auto"/>
              </w:rPr>
            </w:pPr>
            <w:r>
              <w:rPr>
                <w:rFonts w:ascii="Arial" w:cs="Arial" w:eastAsia="Arial" w:hAnsi="Arial"/>
                <w:sz w:val="18"/>
                <w:szCs w:val="18"/>
                <w:b w:val="1"/>
                <w:bCs w:val="1"/>
                <w:color w:val="auto"/>
                <w:w w:val="96"/>
              </w:rPr>
              <w:t>STATEMENTS OF CASH FLOWS (continued)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560" w:type="dxa"/>
            <w:vAlign w:val="bottom"/>
          </w:tcPr>
          <w:p>
            <w:pPr>
              <w:jc w:val="center"/>
              <w:ind w:left="359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9"/>
        </w:trPr>
        <w:tc>
          <w:tcPr>
            <w:tcW w:w="7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37"/>
        </w:trPr>
        <w:tc>
          <w:tcPr>
            <w:tcW w:w="7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7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756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(685,913)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(760,615)</w:t>
            </w:r>
          </w:p>
        </w:tc>
      </w:tr>
      <w:tr>
        <w:trPr>
          <w:trHeight w:val="197"/>
        </w:trPr>
        <w:tc>
          <w:tcPr>
            <w:tcW w:w="7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cash flows from lease payments</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393,947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355,216</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7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and investing activities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560" w:type="dxa"/>
            <w:vAlign w:val="bottom"/>
          </w:tcPr>
          <w:p>
            <w:pPr>
              <w:ind w:left="180"/>
              <w:spacing w:after="0" w:line="201" w:lineRule="exact"/>
              <w:rPr>
                <w:sz w:val="20"/>
                <w:szCs w:val="20"/>
                <w:color w:val="auto"/>
              </w:rPr>
            </w:pPr>
            <w:r>
              <w:rPr>
                <w:rFonts w:ascii="Arial" w:cs="Arial" w:eastAsia="Arial" w:hAnsi="Arial"/>
                <w:sz w:val="18"/>
                <w:szCs w:val="18"/>
                <w:color w:val="auto"/>
              </w:rPr>
              <w:t>Fair value of warrants issued in connection with amendment to modify the GEN-1 earn-out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97"/>
        </w:trPr>
        <w:tc>
          <w:tcPr>
            <w:tcW w:w="7560" w:type="dxa"/>
            <w:vAlign w:val="bottom"/>
          </w:tcPr>
          <w:p>
            <w:pPr>
              <w:ind w:left="180"/>
              <w:spacing w:after="0"/>
              <w:rPr>
                <w:sz w:val="20"/>
                <w:szCs w:val="20"/>
                <w:color w:val="auto"/>
              </w:rPr>
            </w:pPr>
            <w:r>
              <w:rPr>
                <w:rFonts w:ascii="Arial" w:cs="Arial" w:eastAsia="Arial" w:hAnsi="Arial"/>
                <w:sz w:val="18"/>
                <w:szCs w:val="18"/>
                <w:color w:val="auto"/>
              </w:rPr>
              <w:t>milestone payments</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r>
      <w:tr>
        <w:trPr>
          <w:trHeight w:val="197"/>
        </w:trPr>
        <w:tc>
          <w:tcPr>
            <w:tcW w:w="7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Right of use assets obtained in exchange for lease liabilities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 of use assets</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1,797,561</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7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Stock issued in lieu of cash bonus payments</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498,632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7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(gains) losses, net, on investment securities</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(42,778)</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4,203</w:t>
            </w:r>
          </w:p>
        </w:tc>
      </w:tr>
      <w:tr>
        <w:trPr>
          <w:trHeight w:val="20"/>
        </w:trPr>
        <w:tc>
          <w:tcPr>
            <w:tcW w:w="7660" w:type="dxa"/>
            <w:vAlign w:val="bottom"/>
            <w:tcBorders>
              <w:top w:val="single" w:sz="8" w:color="CCEEFF"/>
            </w:tcBorders>
            <w:gridSpan w:val="2"/>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560" w:type="dxa"/>
            <w:vAlign w:val="bottom"/>
            <w:gridSpan w:val="5"/>
          </w:tcPr>
          <w:p>
            <w:pPr>
              <w:jc w:val="center"/>
              <w:ind w:left="161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560" w:type="dxa"/>
            <w:vAlign w:val="bottom"/>
            <w:tcBorders>
              <w:bottom w:val="single" w:sz="8" w:color="auto"/>
            </w:tcBorders>
          </w:tcPr>
          <w:p>
            <w:pPr>
              <w:jc w:val="center"/>
              <w:ind w:left="3610"/>
              <w:spacing w:after="0"/>
              <w:rPr>
                <w:sz w:val="20"/>
                <w:szCs w:val="20"/>
                <w:color w:val="auto"/>
              </w:rPr>
            </w:pPr>
            <w:r>
              <w:rPr>
                <w:rFonts w:ascii="Arial" w:cs="Arial" w:eastAsia="Arial" w:hAnsi="Arial"/>
                <w:sz w:val="18"/>
                <w:szCs w:val="18"/>
                <w:color w:val="auto"/>
                <w:w w:val="99"/>
              </w:rPr>
              <w:t>7</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4"/>
            <w:vMerge w:val="restart"/>
          </w:tcPr>
          <w:p>
            <w:pPr>
              <w:jc w:val="center"/>
              <w:ind w:right="240"/>
              <w:spacing w:after="0"/>
              <w:rPr>
                <w:sz w:val="20"/>
                <w:szCs w:val="20"/>
                <w:color w:val="auto"/>
              </w:rPr>
            </w:pPr>
            <w:r>
              <w:rPr>
                <w:rFonts w:ascii="Arial" w:cs="Arial" w:eastAsia="Arial" w:hAnsi="Arial"/>
                <w:sz w:val="18"/>
                <w:szCs w:val="18"/>
                <w:b w:val="1"/>
                <w:bCs w:val="1"/>
                <w:color w:val="auto"/>
                <w:w w:val="90"/>
              </w:rPr>
              <w:t>Common Stock</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4"/>
            <w:vMerge w:val="continue"/>
          </w:tcPr>
          <w:p>
            <w:pPr>
              <w:spacing w:after="0"/>
              <w:rPr>
                <w:sz w:val="17"/>
                <w:szCs w:val="17"/>
                <w:color w:val="auto"/>
              </w:rPr>
            </w:pPr>
          </w:p>
        </w:tc>
        <w:tc>
          <w:tcPr>
            <w:tcW w:w="126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3"/>
              </w:rPr>
              <w:t>Additional</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480"/>
              <w:spacing w:after="0" w:line="202" w:lineRule="exact"/>
              <w:rPr>
                <w:sz w:val="20"/>
                <w:szCs w:val="20"/>
                <w:color w:val="auto"/>
              </w:rPr>
            </w:pPr>
            <w:r>
              <w:rPr>
                <w:rFonts w:ascii="Arial" w:cs="Arial" w:eastAsia="Arial" w:hAnsi="Arial"/>
                <w:sz w:val="18"/>
                <w:szCs w:val="18"/>
                <w:b w:val="1"/>
                <w:bCs w:val="1"/>
                <w:color w:val="auto"/>
                <w:w w:val="95"/>
              </w:rPr>
              <w:t>Other</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Three Months Ended</w:t>
            </w:r>
          </w:p>
        </w:tc>
        <w:tc>
          <w:tcPr>
            <w:tcW w:w="20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Paid in</w:t>
            </w:r>
          </w:p>
        </w:tc>
        <w:tc>
          <w:tcPr>
            <w:tcW w:w="17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Treasury Stock</w:t>
            </w:r>
          </w:p>
        </w:tc>
        <w:tc>
          <w:tcPr>
            <w:tcW w:w="1540" w:type="dxa"/>
            <w:vAlign w:val="bottom"/>
            <w:gridSpan w:val="4"/>
          </w:tcPr>
          <w:p>
            <w:pPr>
              <w:ind w:left="80"/>
              <w:spacing w:after="0"/>
              <w:rPr>
                <w:sz w:val="20"/>
                <w:szCs w:val="20"/>
                <w:color w:val="auto"/>
              </w:rPr>
            </w:pPr>
            <w:r>
              <w:rPr>
                <w:rFonts w:ascii="Arial" w:cs="Arial" w:eastAsia="Arial" w:hAnsi="Arial"/>
                <w:sz w:val="18"/>
                <w:szCs w:val="18"/>
                <w:b w:val="1"/>
                <w:bCs w:val="1"/>
                <w:color w:val="auto"/>
              </w:rPr>
              <w:t>Comprehensive</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September 30, 2020</w:t>
            </w:r>
          </w:p>
        </w:tc>
        <w:tc>
          <w:tcPr>
            <w:tcW w:w="11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7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4"/>
              </w:rPr>
              <w:t>Amount</w:t>
            </w:r>
          </w:p>
        </w:tc>
        <w:tc>
          <w:tcPr>
            <w:tcW w:w="24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Capital</w:t>
            </w:r>
          </w:p>
        </w:tc>
        <w:tc>
          <w:tcPr>
            <w:tcW w:w="7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93"/>
              </w:rPr>
              <w:t>Shares</w:t>
            </w: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Income</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Deficit</w:t>
            </w:r>
          </w:p>
        </w:tc>
        <w:tc>
          <w:tcPr>
            <w:tcW w:w="10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July 1, 2020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33,229,380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$ 332,297</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$324,869,780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(85,188)</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7,866</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 (300,916,593)</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$24,208,162</w:t>
            </w: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(8,071,596)</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(8,071,596)</w:t>
            </w:r>
          </w:p>
        </w:tc>
        <w:tc>
          <w:tcPr>
            <w:tcW w:w="0" w:type="dxa"/>
            <w:vAlign w:val="bottom"/>
          </w:tcPr>
          <w:p>
            <w:pPr>
              <w:spacing w:after="0"/>
              <w:rPr>
                <w:sz w:val="1"/>
                <w:szCs w:val="1"/>
                <w:color w:val="auto"/>
              </w:rPr>
            </w:pPr>
          </w:p>
        </w:tc>
      </w:tr>
      <w:tr>
        <w:trPr>
          <w:trHeight w:val="202"/>
        </w:trPr>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Sale of equity through</w:t>
            </w: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facilities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2,927,400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29,274</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2,038,553</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2,067,827</w:t>
            </w:r>
          </w:p>
        </w:tc>
        <w:tc>
          <w:tcPr>
            <w:tcW w:w="0" w:type="dxa"/>
            <w:vAlign w:val="bottom"/>
          </w:tcPr>
          <w:p>
            <w:pPr>
              <w:spacing w:after="0"/>
              <w:rPr>
                <w:sz w:val="1"/>
                <w:szCs w:val="1"/>
                <w:color w:val="auto"/>
              </w:rPr>
            </w:pPr>
          </w:p>
        </w:tc>
      </w:tr>
      <w:tr>
        <w:trPr>
          <w:trHeight w:val="202"/>
        </w:trPr>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rPr>
              <w:t>Common stock warrants</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issued in exchange for</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gridSpan w:val="2"/>
          </w:tcPr>
          <w:p>
            <w:pPr>
              <w:spacing w:after="0"/>
              <w:rPr>
                <w:sz w:val="20"/>
                <w:szCs w:val="20"/>
                <w:color w:val="auto"/>
              </w:rPr>
            </w:pPr>
            <w:r>
              <w:rPr>
                <w:rFonts w:ascii="Arial" w:cs="Arial" w:eastAsia="Arial" w:hAnsi="Arial"/>
                <w:sz w:val="18"/>
                <w:szCs w:val="18"/>
                <w:color w:val="auto"/>
              </w:rPr>
              <w:t>services</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44,798</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44,798</w:t>
            </w: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w w:val="95"/>
              </w:rPr>
              <w:t>Realized and unrealized gains</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and losses, net, on</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gridSpan w:val="2"/>
          </w:tcPr>
          <w:p>
            <w:pPr>
              <w:spacing w:after="0"/>
              <w:rPr>
                <w:sz w:val="20"/>
                <w:szCs w:val="20"/>
                <w:color w:val="auto"/>
              </w:rPr>
            </w:pPr>
            <w:r>
              <w:rPr>
                <w:rFonts w:ascii="Arial" w:cs="Arial" w:eastAsia="Arial" w:hAnsi="Arial"/>
                <w:sz w:val="18"/>
                <w:szCs w:val="18"/>
                <w:color w:val="auto"/>
              </w:rPr>
              <w:t>investments securities</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(7,866)</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(7,866)</w:t>
            </w:r>
          </w:p>
        </w:tc>
        <w:tc>
          <w:tcPr>
            <w:tcW w:w="0" w:type="dxa"/>
            <w:vAlign w:val="bottom"/>
          </w:tcPr>
          <w:p>
            <w:pPr>
              <w:spacing w:after="0"/>
              <w:rPr>
                <w:sz w:val="1"/>
                <w:szCs w:val="1"/>
                <w:color w:val="auto"/>
              </w:rPr>
            </w:pPr>
          </w:p>
        </w:tc>
      </w:tr>
      <w:tr>
        <w:trPr>
          <w:trHeight w:val="202"/>
        </w:trPr>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417,476</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417,476</w:t>
            </w:r>
          </w:p>
        </w:tc>
        <w:tc>
          <w:tcPr>
            <w:tcW w:w="0" w:type="dxa"/>
            <w:vAlign w:val="bottom"/>
          </w:tcPr>
          <w:p>
            <w:pPr>
              <w:spacing w:after="0"/>
              <w:rPr>
                <w:sz w:val="1"/>
                <w:szCs w:val="1"/>
                <w:color w:val="auto"/>
              </w:rPr>
            </w:pPr>
          </w:p>
        </w:tc>
      </w:tr>
      <w:tr>
        <w:trPr>
          <w:trHeight w:val="171"/>
        </w:trPr>
        <w:tc>
          <w:tcPr>
            <w:tcW w:w="2320" w:type="dxa"/>
            <w:vAlign w:val="bottom"/>
            <w:tcBorders>
              <w:top w:val="single" w:sz="8" w:color="CCEEFF"/>
            </w:tcBorders>
            <w:gridSpan w:val="2"/>
          </w:tcPr>
          <w:p>
            <w:pPr>
              <w:spacing w:after="0" w:line="171" w:lineRule="exact"/>
              <w:rPr>
                <w:sz w:val="20"/>
                <w:szCs w:val="20"/>
                <w:color w:val="auto"/>
              </w:rPr>
            </w:pPr>
            <w:r>
              <w:rPr>
                <w:rFonts w:ascii="Arial" w:cs="Arial" w:eastAsia="Arial" w:hAnsi="Arial"/>
                <w:sz w:val="18"/>
                <w:szCs w:val="18"/>
                <w:b w:val="1"/>
                <w:bCs w:val="1"/>
                <w:color w:val="auto"/>
              </w:rPr>
              <w:t>Balance at September 30,</w:t>
            </w: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16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36,159,780</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$ 361,601</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327,370,577</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334</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 (85,188)</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 (308,988,189)</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18,658,801</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20" w:type="dxa"/>
            <w:vAlign w:val="bottom"/>
            <w:gridSpan w:val="11"/>
          </w:tcPr>
          <w:p>
            <w:pPr>
              <w:ind w:left="180"/>
              <w:spacing w:after="0"/>
              <w:rPr>
                <w:sz w:val="20"/>
                <w:szCs w:val="20"/>
                <w:color w:val="auto"/>
              </w:rPr>
            </w:pPr>
            <w:r>
              <w:rPr>
                <w:rFonts w:ascii="Arial" w:cs="Arial" w:eastAsia="Arial" w:hAnsi="Arial"/>
                <w:sz w:val="18"/>
                <w:szCs w:val="18"/>
                <w:b w:val="1"/>
                <w:bCs w:val="1"/>
                <w:color w:val="auto"/>
                <w:w w:val="99"/>
              </w:rPr>
              <w:t>THREE MONTHS ENDED SEPTEMBER 30, 2019</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4"/>
            <w:vMerge w:val="restart"/>
          </w:tcPr>
          <w:p>
            <w:pPr>
              <w:jc w:val="center"/>
              <w:ind w:right="240"/>
              <w:spacing w:after="0"/>
              <w:rPr>
                <w:sz w:val="20"/>
                <w:szCs w:val="20"/>
                <w:color w:val="auto"/>
              </w:rPr>
            </w:pPr>
            <w:r>
              <w:rPr>
                <w:rFonts w:ascii="Arial" w:cs="Arial" w:eastAsia="Arial" w:hAnsi="Arial"/>
                <w:sz w:val="18"/>
                <w:szCs w:val="18"/>
                <w:b w:val="1"/>
                <w:bCs w:val="1"/>
                <w:color w:val="auto"/>
                <w:w w:val="90"/>
              </w:rPr>
              <w:t>Common Stock</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4"/>
            <w:vMerge w:val="continue"/>
          </w:tcPr>
          <w:p>
            <w:pPr>
              <w:spacing w:after="0"/>
              <w:rPr>
                <w:sz w:val="17"/>
                <w:szCs w:val="17"/>
                <w:color w:val="auto"/>
              </w:rPr>
            </w:pPr>
          </w:p>
        </w:tc>
        <w:tc>
          <w:tcPr>
            <w:tcW w:w="126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3"/>
              </w:rPr>
              <w:t>Additional</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480"/>
              <w:spacing w:after="0" w:line="202" w:lineRule="exact"/>
              <w:rPr>
                <w:sz w:val="20"/>
                <w:szCs w:val="20"/>
                <w:color w:val="auto"/>
              </w:rPr>
            </w:pPr>
            <w:r>
              <w:rPr>
                <w:rFonts w:ascii="Arial" w:cs="Arial" w:eastAsia="Arial" w:hAnsi="Arial"/>
                <w:sz w:val="18"/>
                <w:szCs w:val="18"/>
                <w:b w:val="1"/>
                <w:bCs w:val="1"/>
                <w:color w:val="auto"/>
                <w:w w:val="95"/>
              </w:rPr>
              <w:t>Other</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Three Months Ended</w:t>
            </w:r>
          </w:p>
        </w:tc>
        <w:tc>
          <w:tcPr>
            <w:tcW w:w="20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Paid in</w:t>
            </w:r>
          </w:p>
        </w:tc>
        <w:tc>
          <w:tcPr>
            <w:tcW w:w="17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Treasury Stock</w:t>
            </w:r>
          </w:p>
        </w:tc>
        <w:tc>
          <w:tcPr>
            <w:tcW w:w="1540" w:type="dxa"/>
            <w:vAlign w:val="bottom"/>
            <w:gridSpan w:val="4"/>
          </w:tcPr>
          <w:p>
            <w:pPr>
              <w:ind w:left="80"/>
              <w:spacing w:after="0"/>
              <w:rPr>
                <w:sz w:val="20"/>
                <w:szCs w:val="20"/>
                <w:color w:val="auto"/>
              </w:rPr>
            </w:pPr>
            <w:r>
              <w:rPr>
                <w:rFonts w:ascii="Arial" w:cs="Arial" w:eastAsia="Arial" w:hAnsi="Arial"/>
                <w:sz w:val="18"/>
                <w:szCs w:val="18"/>
                <w:b w:val="1"/>
                <w:bCs w:val="1"/>
                <w:color w:val="auto"/>
              </w:rPr>
              <w:t>Comprehensive</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September 30, 2019</w:t>
            </w:r>
          </w:p>
        </w:tc>
        <w:tc>
          <w:tcPr>
            <w:tcW w:w="11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7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4"/>
              </w:rPr>
              <w:t>Amount</w:t>
            </w:r>
          </w:p>
        </w:tc>
        <w:tc>
          <w:tcPr>
            <w:tcW w:w="24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Capital</w:t>
            </w:r>
          </w:p>
        </w:tc>
        <w:tc>
          <w:tcPr>
            <w:tcW w:w="7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93"/>
              </w:rPr>
              <w:t>Shares</w:t>
            </w: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Income</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Deficit</w:t>
            </w:r>
          </w:p>
        </w:tc>
        <w:tc>
          <w:tcPr>
            <w:tcW w:w="10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July 1, 2019</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21,002,295</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$ 210,026</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$ 300,549,511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(85,188)</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94,576</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 (281,937,214)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$ 18,831,711</w:t>
            </w: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(5,476,807)</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(5,476,807)</w:t>
            </w:r>
          </w:p>
        </w:tc>
        <w:tc>
          <w:tcPr>
            <w:tcW w:w="0" w:type="dxa"/>
            <w:vAlign w:val="bottom"/>
          </w:tcPr>
          <w:p>
            <w:pPr>
              <w:spacing w:after="0"/>
              <w:rPr>
                <w:sz w:val="1"/>
                <w:szCs w:val="1"/>
                <w:color w:val="auto"/>
              </w:rPr>
            </w:pPr>
          </w:p>
        </w:tc>
      </w:tr>
      <w:tr>
        <w:trPr>
          <w:trHeight w:val="202"/>
        </w:trPr>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Sale of equity through equity</w:t>
            </w: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facilities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985,123</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9,852</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1,701,615</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1,711,467</w:t>
            </w:r>
          </w:p>
        </w:tc>
        <w:tc>
          <w:tcPr>
            <w:tcW w:w="0" w:type="dxa"/>
            <w:vAlign w:val="bottom"/>
          </w:tcPr>
          <w:p>
            <w:pPr>
              <w:spacing w:after="0"/>
              <w:rPr>
                <w:sz w:val="1"/>
                <w:szCs w:val="1"/>
                <w:color w:val="auto"/>
              </w:rPr>
            </w:pPr>
          </w:p>
        </w:tc>
      </w:tr>
      <w:tr>
        <w:trPr>
          <w:trHeight w:val="202"/>
        </w:trPr>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w w:val="95"/>
              </w:rPr>
              <w:t>Realized and unrealized gains</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and losses, net, on</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gridSpan w:val="2"/>
          </w:tcPr>
          <w:p>
            <w:pPr>
              <w:spacing w:after="0"/>
              <w:rPr>
                <w:sz w:val="20"/>
                <w:szCs w:val="20"/>
                <w:color w:val="auto"/>
              </w:rPr>
            </w:pPr>
            <w:r>
              <w:rPr>
                <w:rFonts w:ascii="Arial" w:cs="Arial" w:eastAsia="Arial" w:hAnsi="Arial"/>
                <w:sz w:val="18"/>
                <w:szCs w:val="18"/>
                <w:color w:val="auto"/>
              </w:rPr>
              <w:t>investments securities</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(60,501)</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(60,501)</w:t>
            </w:r>
          </w:p>
        </w:tc>
        <w:tc>
          <w:tcPr>
            <w:tcW w:w="0" w:type="dxa"/>
            <w:vAlign w:val="bottom"/>
          </w:tcPr>
          <w:p>
            <w:pPr>
              <w:spacing w:after="0"/>
              <w:rPr>
                <w:sz w:val="1"/>
                <w:szCs w:val="1"/>
                <w:color w:val="auto"/>
              </w:rPr>
            </w:pPr>
          </w:p>
        </w:tc>
      </w:tr>
      <w:tr>
        <w:trPr>
          <w:trHeight w:val="202"/>
        </w:trPr>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453,680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453,680</w:t>
            </w:r>
          </w:p>
        </w:tc>
        <w:tc>
          <w:tcPr>
            <w:tcW w:w="0" w:type="dxa"/>
            <w:vAlign w:val="bottom"/>
          </w:tcPr>
          <w:p>
            <w:pPr>
              <w:spacing w:after="0"/>
              <w:rPr>
                <w:sz w:val="1"/>
                <w:szCs w:val="1"/>
                <w:color w:val="auto"/>
              </w:rPr>
            </w:pPr>
          </w:p>
        </w:tc>
      </w:tr>
      <w:tr>
        <w:trPr>
          <w:trHeight w:val="237"/>
        </w:trPr>
        <w:tc>
          <w:tcPr>
            <w:tcW w:w="2320" w:type="dxa"/>
            <w:vAlign w:val="bottom"/>
            <w:gridSpan w:val="2"/>
          </w:tcPr>
          <w:p>
            <w:pPr>
              <w:spacing w:after="0"/>
              <w:rPr>
                <w:sz w:val="20"/>
                <w:szCs w:val="20"/>
                <w:color w:val="auto"/>
              </w:rPr>
            </w:pPr>
            <w:r>
              <w:rPr>
                <w:rFonts w:ascii="Arial" w:cs="Arial" w:eastAsia="Arial" w:hAnsi="Arial"/>
                <w:sz w:val="18"/>
                <w:szCs w:val="18"/>
                <w:color w:val="auto"/>
              </w:rPr>
              <w:t>Issuance of restricted stock</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15,000</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150</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320" w:type="dxa"/>
            <w:vAlign w:val="bottom"/>
            <w:tcBorders>
              <w:top w:val="single" w:sz="8" w:color="CCEEFF"/>
            </w:tcBorders>
            <w:gridSpan w:val="2"/>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Balance at September 30,</w:t>
            </w: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1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22,002,418</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$ 220,028</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302,704,656</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(85,188)</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34,075</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 (287,414,021)</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15,459,550</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5"/>
            <w:vMerge w:val="restart"/>
          </w:tcPr>
          <w:p>
            <w:pPr>
              <w:jc w:val="right"/>
              <w:ind w:right="44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Accumulated</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3"/>
              </w:rPr>
              <w:t>Additional</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440"/>
              <w:spacing w:after="0" w:line="202" w:lineRule="exact"/>
              <w:rPr>
                <w:sz w:val="20"/>
                <w:szCs w:val="20"/>
                <w:color w:val="auto"/>
              </w:rPr>
            </w:pPr>
            <w:r>
              <w:rPr>
                <w:rFonts w:ascii="Arial" w:cs="Arial" w:eastAsia="Arial" w:hAnsi="Arial"/>
                <w:sz w:val="18"/>
                <w:szCs w:val="18"/>
                <w:b w:val="1"/>
                <w:bCs w:val="1"/>
                <w:color w:val="auto"/>
                <w:w w:val="91"/>
              </w:rPr>
              <w:t>Other</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80" w:type="dxa"/>
            <w:vAlign w:val="bottom"/>
            <w:gridSpan w:val="2"/>
          </w:tcPr>
          <w:p>
            <w:pPr>
              <w:ind w:left="300"/>
              <w:spacing w:after="0"/>
              <w:rPr>
                <w:sz w:val="20"/>
                <w:szCs w:val="20"/>
                <w:color w:val="auto"/>
              </w:rPr>
            </w:pPr>
            <w:r>
              <w:rPr>
                <w:rFonts w:ascii="Arial" w:cs="Arial" w:eastAsia="Arial" w:hAnsi="Arial"/>
                <w:sz w:val="18"/>
                <w:szCs w:val="18"/>
                <w:b w:val="1"/>
                <w:bCs w:val="1"/>
                <w:color w:val="auto"/>
              </w:rPr>
              <w:t>Nine Months Ended</w:t>
            </w:r>
          </w:p>
        </w:tc>
        <w:tc>
          <w:tcPr>
            <w:tcW w:w="196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Outstanding</w:t>
            </w:r>
          </w:p>
        </w:tc>
        <w:tc>
          <w:tcPr>
            <w:tcW w:w="12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Paid in</w:t>
            </w:r>
          </w:p>
        </w:tc>
        <w:tc>
          <w:tcPr>
            <w:tcW w:w="178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Treasury Stock</w:t>
            </w:r>
          </w:p>
        </w:tc>
        <w:tc>
          <w:tcPr>
            <w:tcW w:w="14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Comprehensive</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Accumulated</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gridSpan w:val="2"/>
          </w:tcPr>
          <w:p>
            <w:pPr>
              <w:ind w:left="320"/>
              <w:spacing w:after="0"/>
              <w:rPr>
                <w:sz w:val="20"/>
                <w:szCs w:val="20"/>
                <w:color w:val="auto"/>
              </w:rPr>
            </w:pPr>
            <w:r>
              <w:rPr>
                <w:rFonts w:ascii="Arial" w:cs="Arial" w:eastAsia="Arial" w:hAnsi="Arial"/>
                <w:sz w:val="18"/>
                <w:szCs w:val="18"/>
                <w:b w:val="1"/>
                <w:bCs w:val="1"/>
                <w:color w:val="auto"/>
              </w:rPr>
              <w:t>September 30, 2020</w:t>
            </w:r>
          </w:p>
        </w:tc>
        <w:tc>
          <w:tcPr>
            <w:tcW w:w="10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Capital</w:t>
            </w:r>
          </w:p>
        </w:tc>
        <w:tc>
          <w:tcPr>
            <w:tcW w:w="86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3"/>
              </w:rPr>
              <w:t>Shares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Income</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Deficit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Balance at January 1, 2020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23,255,818</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$ 232,562</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$304,885,663</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334</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 (85,188)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42,778</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 (290,516,780)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$ 14,559,035</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(18,471,409)</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(18,471,409)</w:t>
            </w:r>
          </w:p>
        </w:tc>
        <w:tc>
          <w:tcPr>
            <w:tcW w:w="0" w:type="dxa"/>
            <w:vAlign w:val="bottom"/>
          </w:tcPr>
          <w:p>
            <w:pPr>
              <w:spacing w:after="0"/>
              <w:rPr>
                <w:sz w:val="1"/>
                <w:szCs w:val="1"/>
                <w:color w:val="auto"/>
              </w:rPr>
            </w:pPr>
          </w:p>
        </w:tc>
      </w:tr>
      <w:tr>
        <w:trPr>
          <w:trHeight w:val="202"/>
        </w:trPr>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Sale of equity through</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facilities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12,330,243</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123,301</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20,127,125</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20,250,426</w:t>
            </w:r>
          </w:p>
        </w:tc>
        <w:tc>
          <w:tcPr>
            <w:tcW w:w="0" w:type="dxa"/>
            <w:vAlign w:val="bottom"/>
          </w:tcPr>
          <w:p>
            <w:pPr>
              <w:spacing w:after="0"/>
              <w:rPr>
                <w:sz w:val="1"/>
                <w:szCs w:val="1"/>
                <w:color w:val="auto"/>
              </w:rPr>
            </w:pPr>
          </w:p>
        </w:tc>
      </w:tr>
      <w:tr>
        <w:trPr>
          <w:trHeight w:val="202"/>
        </w:trPr>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rPr>
              <w:t>Issuance of common stock</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upon exercise of options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140,864</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1,409</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370,486</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371,895</w:t>
            </w:r>
          </w:p>
        </w:tc>
        <w:tc>
          <w:tcPr>
            <w:tcW w:w="0" w:type="dxa"/>
            <w:vAlign w:val="bottom"/>
          </w:tcPr>
          <w:p>
            <w:pPr>
              <w:spacing w:after="0"/>
              <w:rPr>
                <w:sz w:val="1"/>
                <w:szCs w:val="1"/>
                <w:color w:val="auto"/>
              </w:rPr>
            </w:pPr>
          </w:p>
        </w:tc>
      </w:tr>
      <w:tr>
        <w:trPr>
          <w:trHeight w:val="202"/>
        </w:trPr>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stock warrants</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issued in exchange for</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44,798</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44,798</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Issuance of restricted stock</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3,000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30</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(30)</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Realized and unrealized</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gains and losses, net, on</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securities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(42,778)</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(42,778)</w:t>
            </w:r>
          </w:p>
        </w:tc>
        <w:tc>
          <w:tcPr>
            <w:tcW w:w="0" w:type="dxa"/>
            <w:vAlign w:val="bottom"/>
          </w:tcPr>
          <w:p>
            <w:pPr>
              <w:spacing w:after="0"/>
              <w:rPr>
                <w:sz w:val="1"/>
                <w:szCs w:val="1"/>
                <w:color w:val="auto"/>
              </w:rPr>
            </w:pPr>
          </w:p>
        </w:tc>
      </w:tr>
      <w:tr>
        <w:trPr>
          <w:trHeight w:val="202"/>
        </w:trPr>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rPr>
              <w:t>Stock-based compensation</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expense</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1,448,202</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1,448,202</w:t>
            </w:r>
          </w:p>
        </w:tc>
        <w:tc>
          <w:tcPr>
            <w:tcW w:w="0" w:type="dxa"/>
            <w:vAlign w:val="bottom"/>
          </w:tcPr>
          <w:p>
            <w:pPr>
              <w:spacing w:after="0"/>
              <w:rPr>
                <w:sz w:val="1"/>
                <w:szCs w:val="1"/>
                <w:color w:val="auto"/>
              </w:rPr>
            </w:pPr>
          </w:p>
        </w:tc>
      </w:tr>
      <w:tr>
        <w:trPr>
          <w:trHeight w:val="243"/>
        </w:trPr>
        <w:tc>
          <w:tcPr>
            <w:tcW w:w="2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661" w:right="339" w:bottom="1440" w:gutter="0" w:footer="0" w:header="0"/>
        </w:sectPr>
      </w:pPr>
    </w:p>
    <w:p>
      <w:pPr>
        <w:spacing w:after="0" w:line="270" w:lineRule="auto"/>
        <w:rPr>
          <w:sz w:val="20"/>
          <w:szCs w:val="20"/>
          <w:color w:val="auto"/>
        </w:rPr>
      </w:pPr>
      <w:r>
        <w:rPr>
          <w:rFonts w:ascii="Arial" w:cs="Arial" w:eastAsia="Arial" w:hAnsi="Arial"/>
          <w:sz w:val="17"/>
          <w:szCs w:val="17"/>
          <w:color w:val="auto"/>
        </w:rPr>
        <w:t>Issuance of common stock in lieu of cash bonus</w:t>
      </w:r>
    </w:p>
    <w:p>
      <w:pPr>
        <w:spacing w:after="0" w:line="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Balance at September 30, 2020</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429,855</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4,299</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494,333</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498,632</w:t>
            </w:r>
          </w:p>
        </w:tc>
      </w:tr>
      <w:tr>
        <w:trPr>
          <w:trHeight w:val="27"/>
        </w:trPr>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r>
      <w:tr>
        <w:trPr>
          <w:trHeight w:val="445"/>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36,159,780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$ 361,601</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327,370,577</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334</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w w:val="97"/>
              </w:rPr>
              <w:t>$ (85,188)  $</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 (308,988,189)</w:t>
            </w:r>
          </w:p>
        </w:tc>
        <w:tc>
          <w:tcPr>
            <w:tcW w:w="980" w:type="dxa"/>
            <w:vAlign w:val="bottom"/>
          </w:tcPr>
          <w:p>
            <w:pPr>
              <w:jc w:val="right"/>
              <w:spacing w:after="0"/>
              <w:rPr>
                <w:sz w:val="20"/>
                <w:szCs w:val="20"/>
                <w:color w:val="auto"/>
              </w:rPr>
            </w:pPr>
            <w:r>
              <w:rPr>
                <w:rFonts w:ascii="Arial" w:cs="Arial" w:eastAsia="Arial" w:hAnsi="Arial"/>
                <w:sz w:val="18"/>
                <w:szCs w:val="18"/>
                <w:color w:val="auto"/>
                <w:w w:val="91"/>
              </w:rPr>
              <w:t>$ 18,658,801</w:t>
            </w:r>
          </w:p>
        </w:tc>
      </w:tr>
      <w:tr>
        <w:trPr>
          <w:trHeight w:val="20"/>
        </w:trPr>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-316230</wp:posOffset>
            </wp:positionV>
            <wp:extent cx="7132320" cy="299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9972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100" w:space="180"/>
            <w:col w:w="8960"/>
          </w:cols>
          <w:pgMar w:left="320" w:top="661"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0" w:type="dxa"/>
            <w:vAlign w:val="bottom"/>
            <w:gridSpan w:val="10"/>
          </w:tcPr>
          <w:p>
            <w:pPr>
              <w:jc w:val="right"/>
              <w:ind w:right="10"/>
              <w:spacing w:after="0"/>
              <w:rPr>
                <w:sz w:val="20"/>
                <w:szCs w:val="20"/>
                <w:color w:val="auto"/>
              </w:rPr>
            </w:pPr>
            <w:r>
              <w:rPr>
                <w:rFonts w:ascii="Arial" w:cs="Arial" w:eastAsia="Arial" w:hAnsi="Arial"/>
                <w:sz w:val="18"/>
                <w:szCs w:val="18"/>
                <w:b w:val="1"/>
                <w:bCs w:val="1"/>
                <w:color w:val="auto"/>
              </w:rPr>
              <w:t>NINE MONTHS ENDED SEPTEMBER 30, 2019</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5"/>
            <w:vMerge w:val="restart"/>
          </w:tcPr>
          <w:p>
            <w:pPr>
              <w:jc w:val="right"/>
              <w:ind w:right="44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Accumulated</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3"/>
              </w:rPr>
              <w:t>Additional</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460"/>
              <w:spacing w:after="0" w:line="202" w:lineRule="exact"/>
              <w:rPr>
                <w:sz w:val="20"/>
                <w:szCs w:val="20"/>
                <w:color w:val="auto"/>
              </w:rPr>
            </w:pPr>
            <w:r>
              <w:rPr>
                <w:rFonts w:ascii="Arial" w:cs="Arial" w:eastAsia="Arial" w:hAnsi="Arial"/>
                <w:sz w:val="18"/>
                <w:szCs w:val="18"/>
                <w:b w:val="1"/>
                <w:bCs w:val="1"/>
                <w:color w:val="auto"/>
                <w:w w:val="91"/>
              </w:rPr>
              <w:t>Other</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80" w:type="dxa"/>
            <w:vAlign w:val="bottom"/>
            <w:gridSpan w:val="2"/>
          </w:tcPr>
          <w:p>
            <w:pPr>
              <w:ind w:left="300"/>
              <w:spacing w:after="0"/>
              <w:rPr>
                <w:sz w:val="20"/>
                <w:szCs w:val="20"/>
                <w:color w:val="auto"/>
              </w:rPr>
            </w:pPr>
            <w:r>
              <w:rPr>
                <w:rFonts w:ascii="Arial" w:cs="Arial" w:eastAsia="Arial" w:hAnsi="Arial"/>
                <w:sz w:val="18"/>
                <w:szCs w:val="18"/>
                <w:b w:val="1"/>
                <w:bCs w:val="1"/>
                <w:color w:val="auto"/>
              </w:rPr>
              <w:t>Nine Months Ended</w:t>
            </w:r>
          </w:p>
        </w:tc>
        <w:tc>
          <w:tcPr>
            <w:tcW w:w="196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Outstanding</w:t>
            </w:r>
          </w:p>
        </w:tc>
        <w:tc>
          <w:tcPr>
            <w:tcW w:w="12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Paid in</w:t>
            </w:r>
          </w:p>
        </w:tc>
        <w:tc>
          <w:tcPr>
            <w:tcW w:w="178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Treasury Stock</w:t>
            </w:r>
          </w:p>
        </w:tc>
        <w:tc>
          <w:tcPr>
            <w:tcW w:w="14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Comprehensive</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gridSpan w:val="2"/>
          </w:tcPr>
          <w:p>
            <w:pPr>
              <w:ind w:left="320"/>
              <w:spacing w:after="0"/>
              <w:rPr>
                <w:sz w:val="20"/>
                <w:szCs w:val="20"/>
                <w:color w:val="auto"/>
              </w:rPr>
            </w:pPr>
            <w:r>
              <w:rPr>
                <w:rFonts w:ascii="Arial" w:cs="Arial" w:eastAsia="Arial" w:hAnsi="Arial"/>
                <w:sz w:val="18"/>
                <w:szCs w:val="18"/>
                <w:b w:val="1"/>
                <w:bCs w:val="1"/>
                <w:color w:val="auto"/>
              </w:rPr>
              <w:t>September 30, 2019</w:t>
            </w:r>
          </w:p>
        </w:tc>
        <w:tc>
          <w:tcPr>
            <w:tcW w:w="10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Capital</w:t>
            </w:r>
          </w:p>
        </w:tc>
        <w:tc>
          <w:tcPr>
            <w:tcW w:w="86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3"/>
              </w:rPr>
              <w:t>Shares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Income</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Balance at January 1, 2019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18,831,834</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$ 188,322</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$294,393,313</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334</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 (85,188)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29,872</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 (273,665,247)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20,861,072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(13,748,774)</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(13,748,774)</w:t>
            </w:r>
          </w:p>
        </w:tc>
        <w:tc>
          <w:tcPr>
            <w:tcW w:w="0" w:type="dxa"/>
            <w:vAlign w:val="bottom"/>
          </w:tcPr>
          <w:p>
            <w:pPr>
              <w:spacing w:after="0"/>
              <w:rPr>
                <w:sz w:val="1"/>
                <w:szCs w:val="1"/>
                <w:color w:val="auto"/>
              </w:rPr>
            </w:pPr>
          </w:p>
        </w:tc>
      </w:tr>
      <w:tr>
        <w:trPr>
          <w:trHeight w:val="202"/>
        </w:trPr>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Sale of equity through equity</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facilities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3,145,084</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31,451</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6,144,076</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6,175,527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rPr>
              <w:t>Common stock warrants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issued in connection with</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amendment to modify GEN-</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1 earn-out milestone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400,000</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Realized and unrealized</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gains and losses, net, on</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securities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4,203</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rPr>
              <w:t>Stock-based compensation</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expense</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1,762,172</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1,762,172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25,500</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255</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5,095</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280" w:type="dxa"/>
            <w:vAlign w:val="bottom"/>
            <w:tcBorders>
              <w:top w:val="single" w:sz="8" w:color="CCEEFF"/>
            </w:tcBorders>
            <w:gridSpan w:val="2"/>
          </w:tcPr>
          <w:p>
            <w:pPr>
              <w:spacing w:after="0" w:line="171" w:lineRule="exact"/>
              <w:rPr>
                <w:sz w:val="20"/>
                <w:szCs w:val="20"/>
                <w:color w:val="auto"/>
              </w:rPr>
            </w:pPr>
            <w:r>
              <w:rPr>
                <w:rFonts w:ascii="Arial" w:cs="Arial" w:eastAsia="Arial" w:hAnsi="Arial"/>
                <w:sz w:val="18"/>
                <w:szCs w:val="18"/>
                <w:b w:val="1"/>
                <w:bCs w:val="1"/>
                <w:color w:val="auto"/>
              </w:rPr>
              <w:t>Balance at September 30,</w:t>
            </w: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12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22,002,418</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$ 220,028</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302,704,656</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334</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 (85,188)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34,075</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 (287,414,021)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15,459,550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SEPTMBER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Celsion Corporation (“Celsion” and the “Company”) is a fully integrated development stage oncology drug company focused on advancing a portfolio of innovative cancer treatments, including directed chemotherapies, DNA-mediated immunotherapy and RNA based therapies. Celsion is a fully integrated oncology company focused on developing a portfolio of innovative cancer treatments, including immunotherapies, DNA-based therapies and directed chemotherapies. The Company’s product pipeline includes GEN-1, a DNA-based immunotherapy for the localized treatment of ovarian cancer and ThermoDox®, a proprietary heat-activated liposomal encapsulation of doxorubicin, currently in Phase III development for the treatment of primary liver cancer and in development for other cancer indications. Celsion has two feasibility stage platform technologies for the development of novel nucleic acid-based immunotherapies and other anti-cancer DNA or RNA therapies. Both are novel synthetic, non-viral vectors with demonstrated capability in nucleic acid cellular transfection. With these technologies we are working to develop and commercialize more efficient, effective, and targeted oncology therapies that maximize efficacy while minimizing side-effects common to cancer treatments.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which include the accounts of the Company and its wholly owned subsidiary, CLSN Laboratories, Inc, have been prepared in accordance with generally accepted accounting principles in the United States (GAAP) for interim financial information and with the instructions to Form 10-Q and Article 10 of Regulation S-X. All significant intercompany balances and transactions have been eliminated in consolidation. Certain information and disclosures normally included in financial statements prepared in accordance with GAAP have been condensed or omitted pursuant to such rules and regulations.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opinion of management, all adjustments, consisting only of normal recurring accruals considered necessary for a fair presentation, have been included in the accompanying unaudited condensed consolidated financial statements. Operating results for the three-month and nine-month periods ended September 30, 2020 and 2019 are not necessarily indicative of the results that may be expected for any other interim period(s) or for any full year. For further information, refer to the financial statements and notes thereto included in the Company’s Annual Report on Form 10-K for the fiscal year ended December 31, 2019 filed with the Securities and Exchange Commission (SEC) on March 25, 2020.</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judgments, estimates, and assumptions that affect the amounts reported in the Company’s financial statements and accompanying notes. Actual results could differ materially from those estimates. Events and conditions arising subsequent to the most recent balance sheet date have been evaluated for their possible impact on the financial statements and accompanying notes. With the introduction of the COVID-19 pandemic to the United States, the Company continues to monitor the impact of this pandemic on its financial condition and results of operations, along with the valuation of its long-term assets, intangible assets, and goodwill. The effect of this matter could potentially have an impact on the valuation of such assets in the future. The COVID-19 matter is discussed in more detail in Note 3 to the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Financial Condition and Business Plan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U.S. Food and Drug Administration. The Company has not generated significant revenue and has incurred significant net losses in each year since our inception. As of September 30, 2020, the Company has incurred approximately $309 million of cumulative net losses and we had approximately $18.3 million in cash and cash equivalents.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both"/>
        <w:spacing w:after="0" w:line="279"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new product candidates. There can be no assurance that the Company will be able to commercialize its technology successfully or that profitability will ever be achieved. The operating results of the Company have fluctuated significantly in the past.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2020, the World Health Organization (“WHO”) declared an outbreak of coronavirus, COVID-19, to be a “Public Health Emergency of International Concern,” and the U.S. Department of Health and Human Services declared a public health emergency to aid the U.S. healthcare community in responding to COVID-19. This virus has spread to over 100 countries, including the United States. Governments and businesses around the world have taken unprecedented actions to mitigate the spread of COVID-19, including, but not limited to, shelter-in-place orders, quarantines, significant restrictions on travel, as well as restrictions that prohibit many employees from going to work. Uncertainty with respect to the economic impacts of the pandemic has introduced significant volatility in the financial markets. The Company did not observe significant impacts on its business or results of operations for the three-month and nine-month periods ended September 30, 2020 due to the global emergence of COVID-19. While the extent to which COVID-19 impacts the Company’s future results will depend on future developments, the pandemic and associated economic impacts could result in a material impact to the Company’s future financial condition, results of operations and cash flows.</w:t>
      </w:r>
    </w:p>
    <w:p>
      <w:pPr>
        <w:spacing w:after="0" w:line="1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ability to raise additional capital may be adversely impacted by potential worsening global economic conditions and the recent disruptions to, and volatility in, financial markets in the United States and worldwide resulting from the ongoing COVID-19 pandemic. The disruptions caused by COVID-19 may also disrupt the clinical trials process and enrolment of patients. This may delay commercialization efforts. The Company continues to monitor its operating activities in light of these events, and it is reasonably possible that the virus could have a negative effect on the Company’s financial condition and results of operations. The specific impact, if any, is not readily determinable as of the date of these financial statements.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the Company has entered into research and development agreements;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product candidates;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jc w:val="both"/>
        <w:spacing w:after="0" w:line="271" w:lineRule="auto"/>
        <w:rPr>
          <w:sz w:val="20"/>
          <w:szCs w:val="20"/>
          <w:color w:val="auto"/>
        </w:rPr>
      </w:pPr>
      <w:r>
        <w:rPr>
          <w:rFonts w:ascii="Arial" w:cs="Arial" w:eastAsia="Arial" w:hAnsi="Arial"/>
          <w:sz w:val="16"/>
          <w:szCs w:val="16"/>
          <w:color w:val="auto"/>
        </w:rPr>
        <w:t>On July 13, 2020, the Company announced that it has received a recommendation from the independent Data Monitoring Committee (DMC) to consider stopping the global Phase III OPTIMA Study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combination with radiofrequency ablation (RFA) for the treatment of hepatocellular carcinoma (HCC), or primary liver cancer. The recommendation was made following the second pre-planned interim safety and efficacy analysis by the DMC on July 9, 2020. The DMC’s analysis found that the pre-specified boundary for stopping the trial for futility of 0.900 was crossed with an actual value of 0.903. The Company followed the advice of the DMC and considered its options to either stop the study or continue to follow patients after a thorough review of the data, and an evaluation of the probability of success. Timing for this decision was made less urgent by the fact that the OPTIMA Study has been fully enrolled since August 2018 and that the vast majority of the trial expenses have already been incurred. On August 4, 2020, the Company issued a press release announcing it will continue following patients for overall survival (“OS”), noting that the unexpected and marginally crossed futility boundary, suggested by the Kaplan-Meier analysis at the second interim analysis on July 9, 2020, may be associated with a data maturity issue. On October 12, 2020, the Company issued a letter to stockholders providing an update on the ongoing data analysis from its Phase III OPTIMA</w:t>
      </w:r>
    </w:p>
    <w:p>
      <w:pPr>
        <w:spacing w:after="0" w:line="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Study with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as well as growing interest among clinical investigators in conducting studies with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as a monotherapy or in combination with other therapies. In summary, the Company will continue to report findings from these independent statistical analyses before the end of the year, either or both of which will guide our decision to continue to follow patients to the final analysis at 197 or more deaths, a milestone that should be reached sometime in mid-2021.</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2019 and 2018, the Company submitted applications to sell a portion of the Company’s State of New Jersey net operating losses as part of the Technology Business Tax Certificate Program sponsored by The New Jersey Economic Development Authority. Under the program, emerging biotechnology companies with unused NOLs and unused research and development credits are allowed to sell these benefits to other New Jersey-based companies. In 2018 and 2019, the Company sold NOLs totaling $13 million receiving net proceeds of $12.2 million. In June 2020 and as updated in September 2020, the Company filed an application with the New Jersey Economic Development Authority to sell substantially all of its remaining State of New Jersey net operating losses totaling $2.0 million available under the program.</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2018, the Company entered into a Credit Agreement with Horizon Technology Finance Corporation (“Horizon”) that provided $10 million in capital (the “Horizon Credit Agreement”). The obligations under the Horizon Credit Agreement are secured by a first-priority security interest in substantially all assets of Celsion other than intellectual property assets. Payments under the loan agreement are interest only (calculated based on one-month LIBOR plus 7.625%) for the first twenty-four (24) months through July 2020, followed by a 24-month amortization period of principal and interest starting on August 1, 2020 and ending through the scheduled maturity date. On August 28, 2020, in connection with an Amendment to the Horizon Credit Agreement, Celsion repaid $5 million of the $10 million loan and $0.2 million in related end of term charges, and the remaining $5 million in obligations were restructured as more fully discussed in Note 10.</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$18.3 million in cash and cash equivalents and up to $2.0 million in potential proceeds from the sale of the 2019 State of New Jersey net operating losses, coupled with $10.8 million of remaining availability under the Capital-on-Demand™ Sales Agreement with JonesTrading Institutional Services LLC, as well as up to $24.5 million of remaining availability under the LPC Purchase Agreement with Lincoln Park Capital Fund, LLC, the Company believes it has sufficient capital resources to fund its operations through the end of 2021.</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State of New Jersey net operating losses and other sources. If the Company raises funds by selling additional shares of common stock or other securities convertible into common stock, the ownership interest of existing stockholders may be diluted.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New and Recently Adopted Accounting Pronouncements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and are adopted by us as of the specified effective date. Unless otherwise discussed, we believe that the impact of recently issued accounting pronouncements will not have a material impact on the Company’s condensed consolidated financial position, results of operations, and cash flows, or do not apply to our operations.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18"/>
          <w:szCs w:val="18"/>
          <w:color w:val="auto"/>
        </w:rPr>
        <w:t>In June 2016, the FASB issued Accounting Standards Update No. 2016-13, “Financial Instruments – Credit Losses (Topic 326): Measurement of Credit Losses on Financial Instruments”, which modifies the measurement of expected credit losses on certain financial instruments. The Company is considering adopting ASU 2016-13 in its first quarter of 2021 utilizing the modified retrospective transition method. Based on the composition of the Company’s investment portfolio and current market conditions, the adoption of ASU 2016-13 is not expected to have a material impact on its condensed consolidated financial statements.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Disclosure Framework – Changes to the Disclosure Requirements for 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Measurement</w:t>
      </w:r>
      <w:r>
        <w:rPr>
          <w:rFonts w:ascii="Arial" w:cs="Arial" w:eastAsia="Arial" w:hAnsi="Arial"/>
          <w:sz w:val="17"/>
          <w:szCs w:val="17"/>
          <w:color w:val="auto"/>
        </w:rPr>
        <w:t>, which adds and modifies certain disclosure requirements for fair value measurements. Under the new guidance, entities will no longer</w:t>
      </w:r>
      <w:r>
        <w:rPr>
          <w:rFonts w:ascii="Arial" w:cs="Arial" w:eastAsia="Arial" w:hAnsi="Arial"/>
          <w:sz w:val="17"/>
          <w:szCs w:val="17"/>
          <w:i w:val="1"/>
          <w:iCs w:val="1"/>
          <w:color w:val="auto"/>
        </w:rPr>
        <w:t xml:space="preserve"> </w:t>
      </w:r>
      <w:r>
        <w:rPr>
          <w:rFonts w:ascii="Arial" w:cs="Arial" w:eastAsia="Arial" w:hAnsi="Arial"/>
          <w:sz w:val="17"/>
          <w:szCs w:val="17"/>
          <w:color w:val="auto"/>
        </w:rPr>
        <w:t>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 unrealized gains and losses included in other comprehensive income. This update is effective for annual periods beginning after December 15, 2019, and interim periods within those periods, and early adoption is permitted. The adoption of this standard did not have an impact on the Company’s condensed consolidated financial statements.</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December 2019, the FASB issued ASU No. 2019-12, Income Taxes (Topic 740). The standard simplifies the accounting for incomes taxes by removing certain exceptions to the general principles in Topic 740 related to the approach for intra-period tax allocation and the recognition of deferred tax liabilities for outside basis differences. The standard also clarifies the accounting for transactions that result in a step-up in the tax basis of goodwill. The standard also improves consistent application of and simplifies GAAP for other areas of Topic 740 by clarifying and amending existing guidance. The amendment is effective for fiscal years, and interim periods within those fiscal years, beginning after December 15, 2020. Early adoption is permitted. The Company is currently evaluating the impact that the adoption of this standard will have on its condensed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share is calculated based upon the net loss available to common shareholders divided by the weighted average number of common shares outstanding during the period. Diluted loss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total number of shares of common stock issuable upon exercise of warrants, stock option grants and equity awards were 8,507,041 and 4,598,990 shares for the nine-month periods ended September 30, 2020 and 2019, respectively. Warrants (Note 14) with an exercise price of $0.01 exercisable for 200,000 shares of common stock were considered issued in calculating basic loss per share. For the three-month and nine-month periods ended September 30, 2020 and 2019, diluted loss per common share was the same as basic loss per common share as the other warrants and equity awards that were convertible into shares of the Company’s common stock were excluded from the calculation of diluted loss per common share as their effect would have been anti-dilutive. The Company did not pay any dividends during the nine-month periods ended September 30, 2020 and 2019.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 in Debt Securities Available for Sale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Investments in debt securities available for sale with a fair value of $7,985,886 as of December 31, 2019 consisted of corporate debt securities. These investments are valued at estimated fair value, with unrealized gains and losses reported as a separate component of stockholders’ equity in accumulated other comprehensive loss. The Company only had investments in cash and cash equivalents at September 30, 2020.</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Investments in debt securities available for sale are evaluated periodically to determine whether a decline in their value is other than temporary. The term “other than temporary” is not intended to indicate a permanent decline in value. Rather, it means that the prospects for near 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A summary of the cost, fair value and maturities of the Company’s short-term investments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50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September 30, 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ind w:left="320"/>
              <w:spacing w:after="0"/>
              <w:rPr>
                <w:sz w:val="20"/>
                <w:szCs w:val="20"/>
                <w:color w:val="auto"/>
              </w:rPr>
            </w:pPr>
            <w:r>
              <w:rPr>
                <w:rFonts w:ascii="Arial" w:cs="Arial" w:eastAsia="Arial" w:hAnsi="Arial"/>
                <w:sz w:val="18"/>
                <w:szCs w:val="18"/>
                <w:b w:val="1"/>
                <w:bCs w:val="1"/>
                <w:color w:val="auto"/>
              </w:rPr>
              <w:t>December 31, 2019</w:t>
            </w:r>
          </w:p>
        </w:tc>
      </w:tr>
      <w:tr>
        <w:trPr>
          <w:trHeight w:val="236"/>
        </w:trPr>
        <w:tc>
          <w:tcPr>
            <w:tcW w:w="38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0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Cost</w:t>
            </w:r>
          </w:p>
        </w:tc>
        <w:tc>
          <w:tcPr>
            <w:tcW w:w="2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1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r>
      <w:tr>
        <w:trPr>
          <w:trHeight w:val="216"/>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17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3880" w:type="dxa"/>
            <w:vAlign w:val="bottom"/>
          </w:tcPr>
          <w:p>
            <w:pPr>
              <w:spacing w:after="0"/>
              <w:rPr>
                <w:sz w:val="20"/>
                <w:szCs w:val="20"/>
                <w:color w:val="auto"/>
              </w:rPr>
            </w:pPr>
            <w:r>
              <w:rPr>
                <w:rFonts w:ascii="Arial" w:cs="Arial" w:eastAsia="Arial" w:hAnsi="Arial"/>
                <w:sz w:val="18"/>
                <w:szCs w:val="18"/>
                <w:color w:val="auto"/>
              </w:rPr>
              <w:t>Investments in debt securities</w:t>
            </w:r>
          </w:p>
        </w:tc>
        <w:tc>
          <w:tcPr>
            <w:tcW w:w="2660" w:type="dxa"/>
            <w:vAlign w:val="bottom"/>
            <w:gridSpan w:val="2"/>
          </w:tcPr>
          <w:p>
            <w:pPr>
              <w:jc w:val="right"/>
              <w:ind w:right="736"/>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7,943,108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7,985,886</w:t>
            </w:r>
          </w:p>
        </w:tc>
      </w:tr>
      <w:tr>
        <w:trPr>
          <w:trHeight w:val="230"/>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76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7"/>
              </w:rPr>
              <w:t>7,943,108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7,985,886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50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September 30, 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ind w:left="320"/>
              <w:spacing w:after="0"/>
              <w:rPr>
                <w:sz w:val="20"/>
                <w:szCs w:val="20"/>
                <w:color w:val="auto"/>
              </w:rPr>
            </w:pPr>
            <w:r>
              <w:rPr>
                <w:rFonts w:ascii="Arial" w:cs="Arial" w:eastAsia="Arial" w:hAnsi="Arial"/>
                <w:sz w:val="18"/>
                <w:szCs w:val="18"/>
                <w:b w:val="1"/>
                <w:bCs w:val="1"/>
                <w:color w:val="auto"/>
              </w:rPr>
              <w:t>December 31, 2019</w:t>
            </w:r>
          </w:p>
        </w:tc>
      </w:tr>
      <w:tr>
        <w:trPr>
          <w:trHeight w:val="237"/>
        </w:trPr>
        <w:tc>
          <w:tcPr>
            <w:tcW w:w="4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0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Cost</w:t>
            </w:r>
          </w:p>
        </w:tc>
        <w:tc>
          <w:tcPr>
            <w:tcW w:w="2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1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r>
      <w:tr>
        <w:trPr>
          <w:trHeight w:val="216"/>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investment maturities</w:t>
            </w:r>
          </w:p>
        </w:tc>
        <w:tc>
          <w:tcPr>
            <w:tcW w:w="15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120" w:type="dxa"/>
            <w:vAlign w:val="bottom"/>
          </w:tcPr>
          <w:p>
            <w:pPr>
              <w:spacing w:after="0"/>
              <w:rPr>
                <w:sz w:val="20"/>
                <w:szCs w:val="20"/>
                <w:color w:val="auto"/>
              </w:rPr>
            </w:pPr>
            <w:r>
              <w:rPr>
                <w:rFonts w:ascii="Arial" w:cs="Arial" w:eastAsia="Arial" w:hAnsi="Arial"/>
                <w:sz w:val="18"/>
                <w:szCs w:val="18"/>
                <w:color w:val="auto"/>
              </w:rPr>
              <w:t>Within 3 months</w:t>
            </w:r>
          </w:p>
        </w:tc>
        <w:tc>
          <w:tcPr>
            <w:tcW w:w="2420" w:type="dxa"/>
            <w:vAlign w:val="bottom"/>
            <w:gridSpan w:val="2"/>
          </w:tcPr>
          <w:p>
            <w:pPr>
              <w:jc w:val="right"/>
              <w:ind w:right="736"/>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7,943,108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7,985,886</w:t>
            </w:r>
          </w:p>
        </w:tc>
      </w:tr>
      <w:tr>
        <w:trPr>
          <w:trHeight w:val="229"/>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7"/>
              </w:rPr>
              <w:t>7,943,108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7,985,886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shows the Company’s investment securities gross unrealized gains (losses) and fair value by investment category and length of time that individual securities have been in a continuous unrealized loss position at September 30, 2020 and December 31, 2019. The Company has reviewed individual securities to determine whether a decline in fair value below the amortizable cost basis is other than temporary.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370"/>
              <w:spacing w:after="0"/>
              <w:rPr>
                <w:sz w:val="20"/>
                <w:szCs w:val="20"/>
                <w:color w:val="auto"/>
              </w:rPr>
            </w:pPr>
            <w:r>
              <w:rPr>
                <w:rFonts w:ascii="Arial" w:cs="Arial" w:eastAsia="Arial" w:hAnsi="Arial"/>
                <w:sz w:val="18"/>
                <w:szCs w:val="18"/>
                <w:b w:val="1"/>
                <w:bCs w:val="1"/>
                <w:color w:val="auto"/>
              </w:rPr>
              <w:t>September 30, 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6"/>
          </w:tcPr>
          <w:p>
            <w:pPr>
              <w:ind w:left="420"/>
              <w:spacing w:after="0"/>
              <w:rPr>
                <w:sz w:val="20"/>
                <w:szCs w:val="20"/>
                <w:color w:val="auto"/>
              </w:rPr>
            </w:pPr>
            <w:r>
              <w:rPr>
                <w:rFonts w:ascii="Arial" w:cs="Arial" w:eastAsia="Arial" w:hAnsi="Arial"/>
                <w:sz w:val="18"/>
                <w:szCs w:val="18"/>
                <w:b w:val="1"/>
                <w:bCs w:val="1"/>
                <w:color w:val="auto"/>
              </w:rPr>
              <w:t>December 31, 2019</w:t>
            </w:r>
          </w:p>
        </w:tc>
      </w:tr>
      <w:tr>
        <w:trPr>
          <w:trHeight w:val="198"/>
        </w:trPr>
        <w:tc>
          <w:tcPr>
            <w:tcW w:w="5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left="10"/>
              <w:spacing w:after="0" w:line="198" w:lineRule="exact"/>
              <w:rPr>
                <w:sz w:val="20"/>
                <w:szCs w:val="20"/>
                <w:color w:val="auto"/>
              </w:rPr>
            </w:pPr>
            <w:r>
              <w:rPr>
                <w:rFonts w:ascii="Arial" w:cs="Arial" w:eastAsia="Arial" w:hAnsi="Arial"/>
                <w:sz w:val="18"/>
                <w:szCs w:val="18"/>
                <w:b w:val="1"/>
                <w:bCs w:val="1"/>
                <w:color w:val="auto"/>
                <w:w w:val="90"/>
              </w:rPr>
              <w:t>Unrealized</w:t>
            </w:r>
          </w:p>
        </w:tc>
        <w:tc>
          <w:tcPr>
            <w:tcW w:w="1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gridSpan w:val="2"/>
          </w:tcPr>
          <w:p>
            <w:pPr>
              <w:spacing w:after="0"/>
              <w:rPr>
                <w:sz w:val="17"/>
                <w:szCs w:val="17"/>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w w:val="91"/>
              </w:rPr>
              <w:t>Available for sale securities (</w:t>
            </w:r>
            <w:r>
              <w:rPr>
                <w:rFonts w:ascii="Arial" w:cs="Arial" w:eastAsia="Arial" w:hAnsi="Arial"/>
                <w:sz w:val="18"/>
                <w:szCs w:val="18"/>
                <w:color w:val="auto"/>
                <w:w w:val="91"/>
              </w:rPr>
              <w:t>all unrealized holding gains and losses are</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Holding</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Holding</w:t>
            </w:r>
          </w:p>
        </w:tc>
      </w:tr>
      <w:tr>
        <w:trPr>
          <w:trHeight w:val="241"/>
        </w:trPr>
        <w:tc>
          <w:tcPr>
            <w:tcW w:w="5400" w:type="dxa"/>
            <w:vAlign w:val="bottom"/>
          </w:tcPr>
          <w:p>
            <w:pPr>
              <w:spacing w:after="0"/>
              <w:rPr>
                <w:sz w:val="20"/>
                <w:szCs w:val="20"/>
                <w:color w:val="auto"/>
              </w:rPr>
            </w:pPr>
            <w:r>
              <w:rPr>
                <w:rFonts w:ascii="Arial" w:cs="Arial" w:eastAsia="Arial" w:hAnsi="Arial"/>
                <w:sz w:val="18"/>
                <w:szCs w:val="18"/>
                <w:color w:val="auto"/>
              </w:rPr>
              <w:t>less than 12 months at date of measurement)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Gains</w:t>
            </w:r>
          </w:p>
        </w:tc>
      </w:tr>
      <w:tr>
        <w:trPr>
          <w:trHeight w:val="216"/>
        </w:trPr>
        <w:tc>
          <w:tcPr>
            <w:tcW w:w="54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debt securities with unrealized Gains</w:t>
            </w:r>
          </w:p>
        </w:tc>
        <w:tc>
          <w:tcPr>
            <w:tcW w:w="1260" w:type="dxa"/>
            <w:vAlign w:val="bottom"/>
            <w:gridSpan w:val="2"/>
            <w:shd w:val="clear" w:color="auto" w:fill="CCEEFF"/>
          </w:tcPr>
          <w:p>
            <w:pPr>
              <w:jc w:val="right"/>
              <w:ind w:right="856"/>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7,985,886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42,778</w:t>
            </w:r>
          </w:p>
        </w:tc>
        <w:tc>
          <w:tcPr>
            <w:tcW w:w="80" w:type="dxa"/>
            <w:vAlign w:val="bottom"/>
            <w:shd w:val="clear" w:color="auto" w:fill="CCEEFF"/>
          </w:tcPr>
          <w:p>
            <w:pPr>
              <w:spacing w:after="0"/>
              <w:rPr>
                <w:sz w:val="21"/>
                <w:szCs w:val="21"/>
                <w:color w:val="auto"/>
              </w:rPr>
            </w:pPr>
          </w:p>
        </w:tc>
      </w:tr>
      <w:tr>
        <w:trPr>
          <w:trHeight w:val="217"/>
        </w:trPr>
        <w:tc>
          <w:tcPr>
            <w:tcW w:w="540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7,985,886</w:t>
            </w: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42,778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 income, which includes net realized gains on sales of available for sale securities and investment income interest and dividends, is summarized as follows:</w:t>
      </w:r>
    </w:p>
    <w:p>
      <w:pPr>
        <w:spacing w:after="0" w:line="166" w:lineRule="exact"/>
        <w:rPr>
          <w:sz w:val="20"/>
          <w:szCs w:val="20"/>
          <w:color w:val="auto"/>
        </w:rPr>
      </w:pPr>
    </w:p>
    <w:p>
      <w:pPr>
        <w:jc w:val="center"/>
        <w:ind w:left="79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98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10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116,371</w:t>
            </w:r>
          </w:p>
        </w:tc>
        <w:tc>
          <w:tcPr>
            <w:tcW w:w="100" w:type="dxa"/>
            <w:vAlign w:val="bottom"/>
            <w:shd w:val="clear" w:color="auto" w:fill="CCEEFF"/>
          </w:tcPr>
          <w:p>
            <w:pPr>
              <w:spacing w:after="0"/>
              <w:rPr>
                <w:sz w:val="18"/>
                <w:szCs w:val="18"/>
                <w:color w:val="auto"/>
              </w:rPr>
            </w:pPr>
          </w:p>
        </w:tc>
      </w:tr>
      <w:tr>
        <w:trPr>
          <w:trHeight w:val="236"/>
        </w:trPr>
        <w:tc>
          <w:tcPr>
            <w:tcW w:w="8100" w:type="dxa"/>
            <w:vAlign w:val="bottom"/>
          </w:tcPr>
          <w:p>
            <w:pPr>
              <w:spacing w:after="0"/>
              <w:rPr>
                <w:sz w:val="20"/>
                <w:szCs w:val="20"/>
                <w:color w:val="auto"/>
              </w:rPr>
            </w:pPr>
            <w:r>
              <w:rPr>
                <w:rFonts w:ascii="Arial" w:cs="Arial" w:eastAsia="Arial" w:hAnsi="Arial"/>
                <w:sz w:val="18"/>
                <w:szCs w:val="18"/>
                <w:color w:val="auto"/>
              </w:rPr>
              <w:t>Realized gains</w:t>
            </w:r>
          </w:p>
        </w:tc>
        <w:tc>
          <w:tcPr>
            <w:tcW w:w="88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7,257</w:t>
            </w: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58,068</w:t>
            </w:r>
          </w:p>
        </w:tc>
      </w:tr>
      <w:tr>
        <w:trPr>
          <w:trHeight w:val="230"/>
        </w:trPr>
        <w:tc>
          <w:tcPr>
            <w:tcW w:w="8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10,114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left="798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798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0" w:type="dxa"/>
            <w:vAlign w:val="bottom"/>
            <w:tcBorders>
              <w:bottom w:val="single" w:sz="8" w:color="CCEEFF"/>
            </w:tcBorders>
          </w:tcPr>
          <w:p>
            <w:pPr>
              <w:spacing w:after="0"/>
              <w:rPr>
                <w:sz w:val="21"/>
                <w:szCs w:val="21"/>
                <w:color w:val="auto"/>
              </w:rPr>
            </w:pPr>
          </w:p>
        </w:tc>
        <w:tc>
          <w:tcPr>
            <w:tcW w:w="39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39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r>
              <w:rPr>
                <w:rFonts w:ascii="Arial" w:cs="Arial" w:eastAsia="Arial" w:hAnsi="Arial"/>
                <w:sz w:val="18"/>
                <w:szCs w:val="18"/>
                <w:color w:val="auto"/>
              </w:rPr>
              <w:t>Realized gains</w:t>
            </w:r>
          </w:p>
        </w:tc>
        <w:tc>
          <w:tcPr>
            <w:tcW w:w="3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53,354</w:t>
            </w: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68,418</w:t>
            </w:r>
          </w:p>
        </w:tc>
        <w:tc>
          <w:tcPr>
            <w:tcW w:w="0" w:type="dxa"/>
            <w:vAlign w:val="bottom"/>
          </w:tcPr>
          <w:p>
            <w:pPr>
              <w:spacing w:after="0"/>
              <w:rPr>
                <w:sz w:val="1"/>
                <w:szCs w:val="1"/>
                <w:color w:val="auto"/>
              </w:rPr>
            </w:pPr>
          </w:p>
        </w:tc>
      </w:tr>
      <w:tr>
        <w:trPr>
          <w:trHeight w:val="230"/>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39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119,383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432,832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900" w:type="dxa"/>
            <w:vAlign w:val="bottom"/>
            <w:vMerge w:val="restart"/>
          </w:tcPr>
          <w:p>
            <w:pPr>
              <w:jc w:val="right"/>
              <w:ind w:right="2290"/>
              <w:spacing w:after="0"/>
              <w:rPr>
                <w:sz w:val="20"/>
                <w:szCs w:val="20"/>
                <w:color w:val="auto"/>
              </w:rPr>
            </w:pPr>
            <w:r>
              <w:rPr>
                <w:rFonts w:ascii="Arial" w:cs="Arial" w:eastAsia="Arial" w:hAnsi="Arial"/>
                <w:sz w:val="18"/>
                <w:szCs w:val="18"/>
                <w:color w:val="auto"/>
              </w:rPr>
              <w:t>14</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FASB Accounting Standards Codification (ASC) Section 820 “Fair Value Measurements and Disclosures,” establishes a three-level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84"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Level 1: Quoted prices (unadjusted) or identical assets or liabilities in active markets that the entity has the ability to access as of the measurement date;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 and</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Significant unobservable inputs that reflect a reporting entity’s own assumptions that market participants would use in pricing an asset or liability.</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Cash and cash equivalents, accounts payable and other accrued liabilities are reflected in the condensed consolidated balance sheet at their approximate estimated fair values primarily due to their short-term nature. The fair values of securities available for sale are determined by relying on the securities’ relationship to other benchmark quoted securities and classified its investments as Level 2 items at September 30, 2020 and December 31, 2019. There were no transfers of assets or liabilities between Level 1 and Level 2 and no transfers in or out of Level 3 during the nine-month period ended September 30, 2020 or during the year ended December 31, 2019. The changes in Level 3 liabilities were the result of changes in the fair value of the earn-out milestone liability included in earnings and in-process R&amp;D. The earnout milestone liability is valued using a risk-adjusted assessment of the probability of payment of each milestone, discounted to present value using an estimated time to achieve the milestone (see Note 13). The in-process R&amp;D is valued using a multi-period excess earnings method (see Note 8).</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color w:val="auto"/>
                <w:w w:val="98"/>
              </w:rPr>
              <w:t>Assets and liabilities measured at fair value are summarized below:</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4"/>
        </w:trPr>
        <w:tc>
          <w:tcPr>
            <w:tcW w:w="5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Quoted Prices in</w:t>
            </w:r>
          </w:p>
        </w:tc>
        <w:tc>
          <w:tcPr>
            <w:tcW w:w="1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Significant</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5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Active Markets</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for Identical</w:t>
            </w: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Observable</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5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Total Fair</w:t>
            </w:r>
          </w:p>
        </w:tc>
        <w:tc>
          <w:tcPr>
            <w:tcW w:w="1660" w:type="dxa"/>
            <w:vAlign w:val="bottom"/>
            <w:gridSpan w:val="4"/>
          </w:tcPr>
          <w:p>
            <w:pPr>
              <w:ind w:left="160"/>
              <w:spacing w:after="0"/>
              <w:rPr>
                <w:sz w:val="20"/>
                <w:szCs w:val="20"/>
                <w:color w:val="auto"/>
              </w:rPr>
            </w:pPr>
            <w:r>
              <w:rPr>
                <w:rFonts w:ascii="Arial" w:cs="Arial" w:eastAsia="Arial" w:hAnsi="Arial"/>
                <w:sz w:val="18"/>
                <w:szCs w:val="18"/>
                <w:b w:val="1"/>
                <w:bCs w:val="1"/>
                <w:color w:val="auto"/>
              </w:rPr>
              <w:t>Assets/Liabilities</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Inputs (Level</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Unobservable</w:t>
            </w:r>
          </w:p>
        </w:tc>
      </w:tr>
      <w:tr>
        <w:trPr>
          <w:trHeight w:val="241"/>
        </w:trPr>
        <w:tc>
          <w:tcPr>
            <w:tcW w:w="5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(Level 1)</w:t>
            </w:r>
          </w:p>
        </w:tc>
        <w:tc>
          <w:tcPr>
            <w:tcW w:w="100" w:type="dxa"/>
            <w:vAlign w:val="bottom"/>
          </w:tcPr>
          <w:p>
            <w:pPr>
              <w:spacing w:after="0"/>
              <w:rPr>
                <w:sz w:val="20"/>
                <w:szCs w:val="20"/>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2)</w:t>
            </w:r>
          </w:p>
        </w:tc>
        <w:tc>
          <w:tcPr>
            <w:tcW w:w="22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Inputs (Level 3)</w:t>
            </w:r>
          </w:p>
        </w:tc>
      </w:tr>
      <w:tr>
        <w:trPr>
          <w:trHeight w:val="216"/>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September 30, 2020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Corporate debt securities, available for sale</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Recurring items as of December 31, 2019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debt securities, available for sale</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7,985,886</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7,985,886</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September 30, 2020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Earn-out milestone liability (Note 13)</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7,115,000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7,115,000</w:t>
            </w:r>
          </w:p>
        </w:tc>
      </w:tr>
      <w:tr>
        <w:trPr>
          <w:trHeight w:val="216"/>
        </w:trPr>
        <w:tc>
          <w:tcPr>
            <w:tcW w:w="5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Recurring items as of December 31, 2019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Earn-out milestone liability (Note 13)</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5,717,709</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5,717,709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2014, we completed the acquisition of substantially all of the assets of EGEN, Inc., an Alabama corporation, which has changed its company name to EGWU, Inc. after the closing of the acquisition (“EGEN”).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Acquired in-process research and development (IPR&amp;D) consists of EGEN’s drug technology platforms: TheraPlas and TheraSilence. The fair value of the IPR&amp;D drug technology platforms was estimated to be $24.2 million as of the acquisition date. As of the closing of the acquisition, the IPR&amp;D was considered indefinite lived intangible assets and will not be amortized. IPR&amp;D is reviewed for impairment at least annually as of our third quarter ended September 30, and whenever events or changes in circumstances indicate that the carrying value of the assets might not be recoverable. The Company’s IPR&amp;D consisted of three core elements, its RNA delivery system, its glioblastoma multiforme cancer (GBM) product candidate and its ovarian cancer indication.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ovarian cancer indication, with original value of $13.3 million, has not been impaired since its acquisition. At September 30, 2020, the Company evaluated its IPR&amp;D of the ovarian cancer indication and concluded that it is not more likely than not that the asset is impaired. As no other indicators of impairment existed during the fourth quarter of 2019, or first nine months of 2020, no impairment charges were recorded during the nine-months ended September 30, 2020 and 2019.</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GBM candidate, with original value of $9.4 million had cumulative impairments through 2018 of $7 million, with remaining carrying value of $2.4 million at December 31, 2019. On September 30, 2020, the Company evaluated its IPR&amp;D for the (GBM) product candidate and concluded that it is more likely than not that the asset is further impaired. After this assessment on September 30, 2020, the Company wrote off the remaining $2.4 million of this asset, thereby recognizing a non-cash charge of $2.4 million in the third quarter of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Company’s RNA delivery system, with an initial value of $1.5 million was previously fully impaired and written off.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 Not to Compete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will it contact, solicit or approach any of the employees of the Company for purposes of offering employment. The Covenant Not to Compete which was valued at approximately $1.6 million at the date of the EGEN acquisition has a definitive life and is amortized on a straight-line basis over its life of 7 years. The Company recognized amortization expense of $56,829 in each of the three-month periods ended September 30, 2020 and 2019. The Company recognized amortization expense of $170,487 in each of the nine-month periods ended September 30, 2020 and 2019.</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 of the Covenant Not to Compete was $170,489, net of $1,420,725 accumulated amortization as of September 30, 2020 and $340,976, net of $1,250,238 accumulated amortization, as of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schedule of future amortization amounts during the remaining life of the Covenant Not to Compete.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41"/>
        </w:trPr>
        <w:tc>
          <w:tcPr>
            <w:tcW w:w="348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6"/>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59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480" w:type="dxa"/>
            <w:vAlign w:val="bottom"/>
          </w:tcPr>
          <w:p>
            <w:pPr>
              <w:spacing w:after="0"/>
              <w:rPr>
                <w:sz w:val="20"/>
                <w:szCs w:val="20"/>
                <w:color w:val="auto"/>
              </w:rPr>
            </w:pPr>
            <w:r>
              <w:rPr>
                <w:rFonts w:ascii="Arial" w:cs="Arial" w:eastAsia="Arial" w:hAnsi="Arial"/>
                <w:sz w:val="18"/>
                <w:szCs w:val="18"/>
                <w:color w:val="auto"/>
              </w:rPr>
              <w:t>2022 and thereafter</w:t>
            </w:r>
          </w:p>
        </w:tc>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9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5980" w:type="dxa"/>
            <w:vAlign w:val="bottom"/>
            <w:vMerge w:val="restart"/>
          </w:tcPr>
          <w:p>
            <w:pPr>
              <w:jc w:val="right"/>
              <w:ind w:right="3650"/>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48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purchase price exceeded the estimated fair value of the net assets acquired by approximately $2.0 million which was recorded as Goodwill. Goodwill represents the difference between the total purchase price for the net assets purchased from EGEN and the aggregate fair values of tangible and intangible assets acquired, less liabilities assumed. Goodwill is reviewed for impairment at least annually as of our third quarter ended September 30 or sooner if we believe indicators of impairment exist. As of September 30, 2020, we concluded that the Company’s fair value exceeded its carrying value therefore “it is not more likely than not” that the Goodwill was impaired.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the net fair value of the assets acquired in the EGEN asset acquisition for the nine-month period ended September 30,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Covenant Not To</w:t>
            </w:r>
          </w:p>
        </w:tc>
      </w:tr>
      <w:tr>
        <w:trPr>
          <w:trHeight w:val="237"/>
        </w:trPr>
        <w:tc>
          <w:tcPr>
            <w:tcW w:w="5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IPR&amp;D</w:t>
            </w:r>
          </w:p>
        </w:tc>
        <w:tc>
          <w:tcPr>
            <w:tcW w:w="20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Compete</w:t>
            </w:r>
          </w:p>
        </w:tc>
      </w:tr>
      <w:tr>
        <w:trPr>
          <w:trHeight w:val="216"/>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For the nine-months ended September 30, 2020</w:t>
            </w:r>
          </w:p>
        </w:tc>
        <w:tc>
          <w:tcPr>
            <w:tcW w:w="1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Balance at January 1, 2020, net</w:t>
            </w: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15,736,491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1,976,101</w:t>
            </w:r>
          </w:p>
        </w:tc>
        <w:tc>
          <w:tcPr>
            <w:tcW w:w="38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340,976</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(170,487)</w:t>
            </w:r>
          </w:p>
        </w:tc>
      </w:tr>
      <w:tr>
        <w:trPr>
          <w:trHeight w:val="236"/>
        </w:trPr>
        <w:tc>
          <w:tcPr>
            <w:tcW w:w="5020" w:type="dxa"/>
            <w:vAlign w:val="bottom"/>
          </w:tcPr>
          <w:p>
            <w:pPr>
              <w:spacing w:after="0"/>
              <w:rPr>
                <w:sz w:val="20"/>
                <w:szCs w:val="20"/>
                <w:color w:val="auto"/>
              </w:rPr>
            </w:pPr>
            <w:r>
              <w:rPr>
                <w:rFonts w:ascii="Arial" w:cs="Arial" w:eastAsia="Arial" w:hAnsi="Arial"/>
                <w:sz w:val="18"/>
                <w:szCs w:val="18"/>
                <w:color w:val="auto"/>
              </w:rPr>
              <w:t>Impairment charge</w:t>
            </w: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(2,370,257)</w:t>
            </w:r>
          </w:p>
        </w:tc>
        <w:tc>
          <w:tcPr>
            <w:tcW w:w="2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2020, net</w:t>
            </w: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13,366,234</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1,976,101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Other Accrued Liabilities</w:t>
      </w:r>
    </w:p>
    <w:p>
      <w:pPr>
        <w:sectPr>
          <w:pgSz w:w="11900" w:h="16838" w:orient="portrait"/>
          <w:cols w:equalWidth="0" w:num="1">
            <w:col w:w="11240"/>
          </w:cols>
          <w:pgMar w:left="320" w:top="665"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Other accrued liabilities at September 30, 2020 and December 31, 2019 include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Amounts due to contract research organizations and other contractual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Accrued payroll and related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Accrued professional fees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Notes and Loans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Credit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418"/>
        </w:trPr>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475,400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475,440</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1,368,118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1,604,541</w:t>
            </w:r>
          </w:p>
        </w:tc>
      </w:t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56,850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204,155</w:t>
            </w:r>
          </w:p>
        </w:tc>
      </w:tr>
      <w:tr>
        <w:trPr>
          <w:trHeight w:val="237"/>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19,411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19,411</w:t>
            </w:r>
          </w:p>
        </w:tc>
      </w:tr>
      <w:tr>
        <w:trPr>
          <w:trHeight w:val="230"/>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1,919,779</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2,303,547</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040" w:lineRule="exact"/>
        <w:rPr>
          <w:sz w:val="20"/>
          <w:szCs w:val="20"/>
          <w:color w:val="auto"/>
        </w:rPr>
      </w:pPr>
    </w:p>
    <w:p>
      <w:pPr>
        <w:sectPr>
          <w:pgSz w:w="11900" w:h="16838" w:orient="portrait"/>
          <w:cols w:equalWidth="0" w:num="2">
            <w:col w:w="7160" w:space="720"/>
            <w:col w:w="3360"/>
          </w:cols>
          <w:pgMar w:left="320" w:top="665" w:right="339" w:bottom="1440" w:gutter="0" w:footer="0" w:header="0"/>
          <w:type w:val="continuous"/>
        </w:sectPr>
      </w:pPr>
    </w:p>
    <w:p>
      <w:pPr>
        <w:spacing w:after="0" w:line="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28, 2020, Celsion entered into the First Amendment (the “Amendment”) to the Venture Loan and Security Agreement with Horizon Technology Finance Corporation (“Horizon”) dated June 27, 2018 (the “Initial Horizon Credit Agreement”).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27, 2018, in connection with the closing of the Initial Horizon Credit Agreement, Celsion drew down $10 million in new capital. On August 28, 2020, in connection with the Amendment, Celsion repaid $5 million of the $10 million loan and $0.2 million in related end of term charges, and the remaining $5 million in obligations were restructured as set forth below.</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the Amendment, the remaining $5 million in obligations of Celsion under the Initial Horizon Credit Agreement are secured by a first-priority security interest in substantially all assets of Celsion other than intellectual property assets. The obligations bear interest at a rate calculated based an amount by which the one-month LIBOR exceeds 2% plus 9.625%. In no event shall the interest rate be less than 9.625%. Payments pursuant to the Amendment are interest only for the first twelve (12) months after August 1, 2020, followed by a 21-month amortization period of principal and interest through the scheduled maturity date. In addition, the remaining $5 million in obligations is subject to an end of term fee equal, in the aggregate, to $275,000, which amount shall be payable upon the maturity of the obligations or upon the date of final payment or default, as applicable. In connection with the Amendment, Celsion agreed to a liquidity covenant which provides that, at all times, Celsion shall maintain unrestricted cash and/or Cash Equivalents on deposit in accounts over which the applicable Lenders maintain an account control agreement in an amount not less than $2.5 million. In addition, pursuant to the Amendment, Celsion has agreed to provide evidence to Horizon on or before March 31, 2021, that it has received aggregate cash proceeds of not less than $5 million from the sale of equity, debt, its New Jersey net operating losses, or a combination thereof, subsequent to the date of the Amendment.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19" w:name="page20"/>
    <w:bookmarkEnd w:id="19"/>
    <w:p>
      <w:pPr>
        <w:jc w:val="both"/>
        <w:spacing w:after="0" w:line="255" w:lineRule="auto"/>
        <w:rPr>
          <w:sz w:val="20"/>
          <w:szCs w:val="20"/>
          <w:color w:val="auto"/>
        </w:rPr>
      </w:pPr>
      <w:r>
        <w:rPr>
          <w:rFonts w:ascii="Arial" w:cs="Arial" w:eastAsia="Arial" w:hAnsi="Arial"/>
          <w:sz w:val="18"/>
          <w:szCs w:val="18"/>
          <w:color w:val="auto"/>
        </w:rPr>
        <w:t>As a fee in connection with the Initial Horizon Credit Agreement, Celsion issued Horizon warrants exercisable for a total of 190,114 shares of Celsion’s common stock (the “Existing Warrants”) at a per share exercise price of $2.63. Pursuant to the Amendment, one-half of the aggregate Existing Warrants, exercisable for a total of 95,057 shares of Celsion’s common stock, have been canceled, and, in connection with the Amendment, Celsion issued Horizon new warrants exercisable at a per share exercise price equal to $1.01 for a total of 247,525 shares of Celsion’s common stock (the “New Warrants” and, together with the Existing Warrants, the “Warrants”). The remaining 95,057 Existing Warrants issued in connection with the Initial Horizon Credit Agreement remain outstanding at a per share exercise price of $2.63.</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Warrants are immediately exercisable for cash or by net exercise from the date of grant and will expire after ten years from the date of grant. Effective October 27, 2020, Celsion registered for resale the common stock underlying the Warrants on Form S-3 with the Securities and Exchange Commission (333-249420). The Horizon Credit Agreement contains customary representations, warranties and affirmative and negative covenants including, among other things, covenants that limit or restrict Celsion’s ability to grant liens, incur indebtedness, make certain restricted payments, merge, or consolidate and make dispositions of assets.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Amendment was evaluated in accordance with FASB Accounting Standards Codification 470-50, </w:t>
      </w:r>
      <w:r>
        <w:rPr>
          <w:rFonts w:ascii="Arial" w:cs="Arial" w:eastAsia="Arial" w:hAnsi="Arial"/>
          <w:sz w:val="17"/>
          <w:szCs w:val="17"/>
          <w:i w:val="1"/>
          <w:iCs w:val="1"/>
          <w:color w:val="auto"/>
        </w:rPr>
        <w:t>Debt-Modifications and Extinguishments</w:t>
      </w:r>
      <w:r>
        <w:rPr>
          <w:rFonts w:ascii="Arial" w:cs="Arial" w:eastAsia="Arial" w:hAnsi="Arial"/>
          <w:sz w:val="17"/>
          <w:szCs w:val="17"/>
          <w:color w:val="auto"/>
        </w:rPr>
        <w:t>, for debt modification and extinguishment accounting. We accounted for the $5 million we repaid as a debt extinguishment thereby reducing the principal obligations accordingly. Also, in connection with the $5 million repayment, we recognized as interest expense, approximately $0.2 million of unamortized debt discount, deferred financing and end of term fees related to the repaid obligation in August 2020.</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accounted for the remaining $5 million of obligation under the Amendment as a debt modification to the initial agreement with respect to the minor changes in cash flows. Also, in connection with the $5 million remaining obligations, we recorded $5,000 of financing fees and the New Warrant fair value of $247,548 as additional debt discount on the $5 million remaining obligation. Therefore, approximately $109,706 of unamortized debt discount will be amortized over the remaining life of the new obligations. The $275,000 of end of term fees, net of previously amortized end of term fees totaling $142,605 previously accrued on the original note associated with the $5 million remaining obligation, will be amortized as interest expense over the remaining life of the new obligations.</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three-month period ended September 30, 2020, the Company incurred $198,738 in interest expense and amortized $251,993 as interest expense for debt discounts and end of term charges in connection with the Initial Horizon Credit Agreement and Amendment. During the three-month period ended September 30, 2019, the Company incurred $252,144 in interest expense and amortized $97,458 as interest expense for debt discounts and end of term charges in connection with the Initial Horizon Credit Agreement. During the nine-month period ended September 30, 2020, the Company incurred $685,913 in interest expense and amortized $444,786 as interest expense for debt discounts and end of term charges in connection with the Initial Horizon Credit Agreement and Amendment. During the nine-month period ended September 30, 2019, the Company incurred $760,615 in interest expense and amortized $289,182 as interest expense for debt discounts and end of term charges in connection with the Initial Horizon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schedule of future principal payments, net of unamortized debt discounts and amortized end of term charges, due on the Amendment: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As of</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3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476,190</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2022</w:t>
            </w:r>
          </w:p>
        </w:tc>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2,857,140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1,666,670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2024 and thereafter</w:t>
            </w:r>
          </w:p>
        </w:tc>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Subtotal of future principal payments</w:t>
            </w:r>
          </w:p>
        </w:tc>
        <w:tc>
          <w:tcPr>
            <w:tcW w:w="3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3"/>
              </w:rPr>
              <w:t>Unamortized debt issuance costs and end of term charges, net</w:t>
            </w:r>
          </w:p>
        </w:tc>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43,463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7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5,043,463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780" w:type="dxa"/>
            <w:vAlign w:val="bottom"/>
            <w:vMerge w:val="restart"/>
          </w:tcPr>
          <w:p>
            <w:pPr>
              <w:jc w:val="right"/>
              <w:ind w:right="3250"/>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Paycheck Protection Program</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April 23, 2020, we entered into a loan agreement with Silicon Valley Bank (the “April PPP Loan”), pursuant to the Paycheck Protection Program (the “PPP”), established pursuant to the recently enacted Coronavirus Aid, Relief, and Economic Security Act (the “CARES Act”) and administered by the U.S. Small Business Administration (“SBA”). We thereafter received proceeds of $632,220 under the April PPP Loan. The April PPP Loan application required Celsion to certify that there was economic uncertainty surrounding the Company and that, as such, the April PPP Loan was necessary to support our ongoing operations. Celsion made this certification in good faith after analyzing, among other things, its financial situation and access to alternative forms of capital, and believed that the Company satisfied all eligibility criteria for the April PPP Loan, and that our receipt of the April PPP Loan proceeds was consistent with the broad objectives of the PPP of the CARES Act. The certification given with respect to the April PPP Loan did not contain any objective criteria and was subject to interpretation. Considering subsequent guidance issued by the SBA in consultation with the U.S. Department of the Treasury at that time, out of an abundance of caution we returned the proceeds of the PPP Loan in full on May 13, 2020.</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Shortly after the April PPP Loan was repaid, the SBA provided further guidance with respect to these certifications providing a safe harbor under which companies such as Celsion with PPP loans of less than $2 million will be deemed to have made these certifications in good faith. Therefore, as the Company continued to believe it qualifies for a loan under the PPP, it reapplied for and eventually received the new PPP Loan for $692,530 on May 26, 2020 (the “May PPP Loan”). The May PPP Loan was guaranteed by the SBA and evidenced by a promissory note of the Company dated May 26, 2020 (the “Note”) in the principal amount of $692,530 payable to the lender. Pursuant to the terms of the Note, was payable in part or in full, at any time, without penalty. On June 22, 2020, as disclosed in the Company’s Current Report on Form 8-K filed on the same date, the Company commenced an offering of 2,666,667 shares of its common stock which closed on June 24, 2020 (Note 11) and received net proceeds of approximately $9.1 million. In light of the proceeds received from this equity offering, the Company elected to repay the May PPP Loan in full (including interest accrued of $577) on June 24, 2020, terminating all obligations of the Company under the Note.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September 2018, the Company filed with the SEC a $75 million shelf registration statement on Form S-3 (the “2018 Shelf Registration Statement”) (File No. 333-227236) that allows the Company to issue any combination of common stock, preferred stock or warrants to purchase common stock or preferred stock. This shelf registration was declared effective on October 12, 2018 and will expire three years from that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Aspire Purchase Agreements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August 31, 2018, the Company entered into a common stock purchase agreement (the “2018 Aspire Purchase Agreement”) with Aspire Capital Fund, LLC (“Aspire Capital”) which provides that, upon the terms and subject to the conditions and limitations set forth therein, Aspire Capital was committed to purchase up to an aggregate of $15.0 million of shares of the Company’s common stock over the 24-month term of the 2019 Aspire Purchase Agreement. During 2018, the Company sold and issued an aggregate of 0.1 million shares under the 2018 Aspire Purchase Agreement, receiving approximately $0.2 million. During 2019, the Company sold and issued an aggregate of 3.3 million shares under the 2018 Aspire Purchase Agreement, receiving approximately $6.3 million. As a result of the Company and Aspire entering into a new purchase agreement on October 28, 2019 (the “2019 Aspire Purchase Agreement”) discussed in the next paragraph, the 2018 Aspire Purchase Agreement was terminated.</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2019 Aspire Purchase Agreement provided that, upon the terms and subject to the conditions and limitations set forth therein, Aspire Capital was committed to purchase up to an aggregate of $10.0 million of shares of the Company’s common stock over the 24-month term of the 2019 Aspire Purchase Agreement. During 2019, the Company sold and issued an aggregate of 0.5 million shares under the 2019 Aspire Purchase Agreement, receiving approximately $0.7 million. During the first quarter of 2020 through March 5, 2020 when the Company delivered notice to Aspire terminating the 2019 Aspire Purchase Agreement, the Company sold 1.0 million shares of common stock under the Aspire Purchase Agreement, receiving approximately $1.6 million in additional gross proceeds.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auto"/>
        </w:rPr>
        <w:t>Capital on Demand</w:t>
      </w:r>
      <w:r>
        <w:rPr>
          <w:rFonts w:ascii="Arial" w:cs="Arial" w:eastAsia="Arial" w:hAnsi="Arial"/>
          <w:sz w:val="29"/>
          <w:szCs w:val="29"/>
          <w:i w:val="1"/>
          <w:iCs w:val="1"/>
          <w:u w:val="single" w:color="auto"/>
          <w:color w:val="auto"/>
          <w:vertAlign w:val="superscript"/>
        </w:rPr>
        <w:t>TM</w:t>
      </w:r>
      <w:r>
        <w:rPr>
          <w:rFonts w:ascii="Arial" w:cs="Arial" w:eastAsia="Arial" w:hAnsi="Arial"/>
          <w:sz w:val="18"/>
          <w:szCs w:val="18"/>
          <w:i w:val="1"/>
          <w:iCs w:val="1"/>
          <w:u w:val="single" w:color="auto"/>
          <w:color w:val="auto"/>
        </w:rPr>
        <w:t xml:space="preserve"> Sales Agreement</w:t>
      </w:r>
    </w:p>
    <w:p>
      <w:pPr>
        <w:spacing w:after="0" w:line="13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December 4, 2018, the Company entered into the Capital on Demand Agreement with JonesTrading, pursuant to which the Company may offer and sell, from time to time, through JonesTrading shares of Common Stock having an aggregate offering price of up to $16.0 million.</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Shares will be issued pursuant to Celsion’s previously filed and effective Registration Statement on Form S-3 (File No. 333-227236), the base prospectus dated October 12, 2018, filed as part of such Registration Statement, and the prospectus supplement dated December 4, 2018, filed by Celsion with the Securities and Exchange Commission. During 2019, the Company sold and issued an aggregate of 0.5 million shares under the Capital on Demand Agreement, receiving approximately $1.0 million in gross proceeds. From January 1, 2020 through September 30, 2020, the Company sold and issued an aggregate of 2.1 million shares under the Capital on Demand Agreement, receiving approximately $4.3 million in gross proceeds. The Company has sold and issued an aggregate of 0.5 million shares under the Capital on Demand Agreement, receiving approximately $0.3 million in gross proceeds under the Capital on Demand Agreement subsequent to September 30, 2020 through the date of this Quarterly Report on Form 10Q. As of September 30, 2020, the Company has approximately $10.8 million available under the Capital on Demand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Registered Direct Offering</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February 27, 2020, we entered into a Securities Purchase Agreement (the “Purchase Agreement”) with several institutional investors, pursuant to which we agreed to issue and sell, in a registered direct offering (the “February 2020 Offering”), an aggregate of 4,571,428 shares (the “Shares”) of our common stock at an offering price of $1.05 per Share for gross proceeds of approximately $4.8 million before the deduction of the Placement Agent fees and offering expenses. The Shares were offered by the Company pursuant to a registration statement on Form S-3 (File No. 333-227236). The Purchase Agreement contained customary representations, warranties and agreements by the Company and customary conditions to closing. In a concurrent private placement (the “Private Placement”), the Company issued to the investors that participated in the February 2020 Offering, for no additional consideration, warrants, to purchase up to 2,971,428 shares of Common Stock (the “Original Warrants”). The Original Warrants were initially exercisable six months following their date of issue and were set to expire on the five-year anniversary of such initial exercise date. The Original Warrants had an exercise price of $1.15 per share subject to adjustment as provided therein. On March 12, 2020, the Company entered into private exchange agreements (the “Exchange Agreements”) with holders of the Original Warrants. Pursuant to the Exchange Agreements, in return for a higher exercise price of $1.24 per share of Common Stock, the Company issued new warrants to the Investors to purchase up to 3,200,000 shares of Common Stock (the “Exchange Warrants”) in exchange for the Original Warrants. The Exchange Warrants, like the Original Warrants, are initially exercisable six months following their issuance (the “Initial Exercise Date”) and expire on the five-year anniversary of their Initial Exercise Date. Other than having a higher exercise price, different issue date, Initial Exercise Date and expiration date, the terms of the Exchange Warrants are identical to those of the Original Warrants. On July 31, 2020, the Company filed a Form S-3 Registration Statement to register the shares of Common Stock issuable under the Exchange Warrants; the Registration Statement was declared effective by the SEC on August 13,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Underwritten Offering</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June 22, 2020, the Company entered into an underwriting agreement (the “Underwriting Agreement”) with Oppenheimer &amp; Co. Inc. (the “Underwriter”), relating to the issuance and sale (the “Underwritten Offering”) of 2,666,667 shares of the Company’s common stock. Pursuant to the terms of the Underwriting Agreement, the Underwriter agreed to purchase the shares at a price of $3.4875 per share. The Underwriter offered the shares at a public offering price of $3.75 per share, reflecting an underwriting discount equal to $0.2625, or 7.0% of the public offering price. The net proceeds to the Company from the Underwritten Offering, after deducting the underwriting discount and estimated offering expenses payable by the Company, were approximately $9.1 million. The Underwritten Offering closed on June 24, 2020 and was made pursuant to the Company’s effective shelf registration statement on Form S-3 (File No. 333-227236) filed with the Securities and Exchange Commission on September 7, 2018, and declared effective on October 12, 2018, including the base prospectus dated October 12, 2018 included therein and the related prospectus supplement.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22" w:name="page23"/>
    <w:bookmarkEnd w:id="22"/>
    <w:p>
      <w:pPr>
        <w:jc w:val="both"/>
        <w:spacing w:after="0" w:line="269" w:lineRule="auto"/>
        <w:rPr>
          <w:sz w:val="20"/>
          <w:szCs w:val="20"/>
          <w:color w:val="auto"/>
        </w:rPr>
      </w:pPr>
      <w:r>
        <w:rPr>
          <w:rFonts w:ascii="Arial" w:cs="Arial" w:eastAsia="Arial" w:hAnsi="Arial"/>
          <w:sz w:val="17"/>
          <w:szCs w:val="17"/>
          <w:color w:val="auto"/>
        </w:rPr>
        <w:t>The Underwriting Agreement contains customary representations, warranties and agreements by the Company, customary conditions to closing, indemnification obligations of the Company and the Underwriter including for liabilities under the Securities Act, other obligations of the parties, and termination provisions. Pursuant to the Underwriting Agreement, until December 31, 2020, the Underwriter shall have a right of first refusal to act as sole underwriter, initial purchaser, placement/selling agent, or arranger, as the case may be, on any new financing for the Company (excluding equipment lease financings, loans or grants from governmental authorities or in connection with government programs and financings relating to or sales of tax attributes) during such period. The Underwriter shall have the sole right to determine whether or not any other broker dealer shall have the right to participate in any such offering and the economic terms of any such participation. Pursuant to the Underwriting Agreement, subject to certain exceptions, the Company and certain of the Company’s executive officers and directors have agreed that, without the prior written consent of the Underwriter and subject to certain negotiated exceptions, they will not, for a period of 60 days, in either case, following the date of the final prospectus supplement, sell or otherwise dispose of any of the Company’s securities held by them.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LPC Purchase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8, 2020, the Company entered into a purchase agreement (the “LPC Purchase Agreement”) and a Registration Rights Agreement (the “Registration Rights Agreement”) with Lincoln Park Capital Fund, LLC (“Lincoln Park”), pursuant to which, upon the terms and subject to the conditions and limitations set forth therein, the Company has the right to sell to Lincoln Park up to $26.0 million of shares of the Company’s Common Stock at the Company’s discretion as described below (the “ LPC Offering”).</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Over the 36-month term of the LPC Purchase Agreement, we have the right, but not the obligation, from time to time, in our sole discretion and subject to certain conditions, including that the closing price of our Common Stock is not below $0.25 per share, to direct Lincoln Park to purchase up to an aggregate amount of $26.0 million (subject to certain limitations) of shares of Common Stock. Under the Purchase Agreement, on any business day selected by us, we may direct Lincoln Park to purchase up to 400,000 shares (the “Regular Purchase Share Limit”) of our Common Stock (each such purchase, a “Regular Purchase”). Lincoln Park’s maximum obligation under any single Regular Purchase will not exceed $1,500,000 unless we mutually agree to increase the maximum amount of such Regular Purchase. The purchase price for shares of Common Stock to be purchased by Lincoln Park under a Regular Purchase will be the equal to the lower of (in each case, subject to the adjustments described in the LPC Purchase Agreement): (i) the lowest sale price for our Common Stock on The Nasdaq Capital Market on the applicable purchase date, and (ii) the arithmetic average of the three lowest sale prices for our Common Stock on The Nasdaq Capital Market during the ten trading days prior to the purchase date.</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we direct Lincoln Park to purchase the maximum number of shares of Common Stock we then may sell in a Regular Purchase, then in addition to such Regular Purchase, and subject to certain conditions and limitations in the LPC Purchase Agreement, we may direct Lincoln Park to make an “accelerated purchase” of an additional amount of Common Stock that may not exceed the lesser of (i) 300% of the number of shares purchased pursuant to the corresponding Regular Purchase and (ii) 30% of the total number of shares of our Common Stock traded on The Nasdaq Capital Market during a specified period on the applicable purchase date as set forth in the Purchase Agreement. Under certain circumstances and in accordance with the Purchase Agreement, the Company may direct Lincoln Park to purchase shares in multiple accelerated purchases on the same trading day.</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Purchase Agreement prohibits us from issuing or selling to Lincoln Park under the Purchase Agreement: (i) in excess of 6,688,588 shares of our Common Stock (the “Exchange Cap”), unless we obtain stockholder approval to issue shares in excess of the Exchange Cap or the average price of all applicable sales of our Common Stock to Lincoln Park under the LPC Purchase Agreement equal or exceed the lower of (a) the Nasdaq Official Closing Price (as defined in the Purchase Agreement) immediately preceding the execution of the LPC Purchase Agreement or (b) the average of the five Nasdaq Official Closing Prices for the Common Stock immediately preceding the execution of the LPC Purchase Agreement, as adjusted in accordance with the rules of The Nasdaq Capital Market, and (ii) any shares of our Common Stock if those shares, when aggregated with all other shares of our Common Stock then beneficially owned by Lincoln Park and its affiliates would result in Lincoln Park and its affiliates having beneficial ownership of more than 9.99% of the then total outstanding shares of our Common Stock.</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jc w:val="both"/>
        <w:spacing w:after="0" w:line="279" w:lineRule="auto"/>
        <w:rPr>
          <w:sz w:val="20"/>
          <w:szCs w:val="20"/>
          <w:color w:val="auto"/>
        </w:rPr>
      </w:pPr>
      <w:r>
        <w:rPr>
          <w:rFonts w:ascii="Arial" w:cs="Arial" w:eastAsia="Arial" w:hAnsi="Arial"/>
          <w:sz w:val="17"/>
          <w:szCs w:val="17"/>
          <w:color w:val="auto"/>
        </w:rPr>
        <w:t>The LPC Purchase Agreement does not limit our ability to raise capital from other sources at our sole discretion, except that we may not enter into any equity line or similar transaction for 36 months, other than an “at-the-market” offering. The LPC Purchase Agreement and the Registration Rights Agreement contain customary representations, warranties and agreements of us and Lincoln Park, indemnification rights and other obligations of the parties. We have the right to terminate the Purchase Agreement at any time on one business day’s notice to Lincoln Park, at no cost to us.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consideration for entering into the Purchase Agreement, we issued 437,828 shares of our Common Stock to Lincoln Park (the “LPC Commitment Shares”). We will not receive any cash proceeds from the issuance of the LPC Commitment Shares. Also pursuant to the LPC Purchase Agreement, Lincoln Park agreed to an initial purchase of 1,000,000 shares of our Common Stock for an aggregate purchase price of $1,000,000 or $1.00 per share. Lincoln Park has covenanted not to cause or engage in any manner whatsoever, any direct or indirect short selling or hedging of our shares of Common Stock.</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LPC Offering is being made pursuant to our effective Registration Statement on Form S-3 (File No. 333-227236) (the “Registration Statement”), which was previously filed with the SEC on September 7, 2018, and declared effective by the SEC on October 12, 2018, and the prospectus supplement related to the offering filed with the SEC on September 8, 2020. Pursuant to the Registration Rights Agreement, under certain circumstances, if the Registration Statement is no longer available for use with respect to the offering, we will be required to file additional registration statement(s).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September 2020, the Company sold and issued an aggregate of 2.0 million shares, including the LPC Commitment Shares, under the LPC Purchase Agreement, receiving approximately $1.5 million in gross proceeds. The Company has sold and issued an aggregate of 0.6 million shares under the LPC Purchase Agreement, receiving approximately $0.4 million in gross proceeds under the LPC Purchase Agreement subsequent to September 30, 2020 through the date of this Quarterly Report on Form 10-Q. As of September 30, 2020, the Company has approximately $24.5 million available under the LPC Purchase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long-term compensation plans that permit the granting of equity-based awards in the form of stock options, restricted stock, restricted stock units, stock appreciation rights, other stock awards, and performance awards.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the 2018 Annual Stockholders Meeting of the Company held on May 15, 2018, the Company’s stockholders approved the Celsion Corporation 2018 Stock Incentive Plan (the “2018 Plan”). The 2018 Plan, as adopted, permits the granting of 2,700,000 shares of Celsion common stock as equity awards in the form of incentive stock options, nonqualified stock options, restricted stock, restricted stock units, stock appreciation rights, other stock awards, performance awards, or in any combination of the foregoing. At the 2019 Annual Stockholders Meeting of the Company held on May 14, 2019, stockholders approved an amendment to the 2018 Plan whereby the Company increased the number of shares of common stock available by 1,200,000 to a total of 3,900,000 under the 2018 Plan, as amended. Prior to the adoption of the 2018 Plan, the Company had maintained the Celsion Corporation 2007 Stock Incentive Plan (the “2007 Plan”). At the 2020 Annual Stockholders Meeting of the Company held on June 15, 2020, stockholders approved an amendment to the 2018 Plan, as previously amended, whereby the Company increased the number of shares of common stock available by 2,500,000 to a total of 6,400,000 under the 2018 Plan, as amended.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the adoption of the 2018 Plan, the Company had maintained the Celsion Corporation 2007 Stock Incentive Plan (the “2007 Plan”). The 2007 Plan permitted the granting of 688,531 shares of Celsion common stock as equity awards in the form of incentive stock options, nonqualified stock options, restricted stock, restricted stock units, stock appreciation rights, phantom stock, performance awards, or in any combination of the foregoing. The 2018 Plan replaced the 2007 Plan although the 2007 Plan remains in effect for awards previously granted under the 2007 Plan. Under the terms of the 2018 Plan, any shares subject to an award under the 2007 Plan which are not delivered because of the expiration, forfeiture, termination, or cash settlement of the award will become available for grant under the 2018 Plan.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jc w:val="both"/>
        <w:spacing w:after="0" w:line="275" w:lineRule="auto"/>
        <w:rPr>
          <w:sz w:val="20"/>
          <w:szCs w:val="20"/>
          <w:color w:val="auto"/>
        </w:rPr>
      </w:pPr>
      <w:r>
        <w:rPr>
          <w:rFonts w:ascii="Arial" w:cs="Arial" w:eastAsia="Arial" w:hAnsi="Arial"/>
          <w:sz w:val="17"/>
          <w:szCs w:val="17"/>
          <w:color w:val="auto"/>
        </w:rPr>
        <w:t>The Company has issued stock awards to employees and directors in the form of stock options and restricted stock. Options are generally granted with strike prices equal to the fair market value of a share of Celsion common stock on the date of grant. 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of Celsion must be at least 110% of such fair market value on the date of grant. Only officers and key employees may receive incentive stock options.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Option and restricted stock awards vest upon terms determined by the Compensation Committee of the Board of Directors and are subject to accelerated vesting in the event of a change of control or certain terminations of employment. The Company issues new shares to satisfy its obligations from the exercise of options or the grant of restricted stock awards.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19, 2019, the Compensation Committee of the Board of Directors approved the grant of (i) inducement stock options (the “Inducement Option Grants”) to purchase a total of 140,004 shares of Celsion common stock, and (ii) inducement restricted stock awards (the “Inducement Stock Grants”) totaling 13,000 shares of Celsion common stock to two new employees collectively. Each award has a grant date of the date of grant. Each Inducement Option Grant has an exercise price per share equal to $2.18 which represents the closing price of Celsion’s common stock as reported by the Nasdaq Capital Market on the date of grant. Each Inducement Option Grant will vest over three years, with one-third vesting on the one-year anniversary of the employee’s first day of employment with the Company and one-third vesting on the second and third anniversaries thereafter, subject to the new employee’s continued service relationship with the Company on each such date. Each Inducement Option Grant has a ten-year term and is subject to the terms and conditions of the applicable stock option agreement. Each Inducement Stock Grant will vest on the one-year anniversary of the employee’s first day of employment with the Company and is subject to the new employee’s continued service relationship with the Company through such date and is subject to the terms and conditions of the applicable restricted stock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A summary of stock option awards and restricted stock grants for the nine-months ended September 30, 2020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r>
      <w:tr>
        <w:trPr>
          <w:trHeight w:val="255"/>
        </w:trPr>
        <w:tc>
          <w:tcPr>
            <w:tcW w:w="4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20" w:type="dxa"/>
            <w:vAlign w:val="bottom"/>
            <w:gridSpan w:val="6"/>
          </w:tcPr>
          <w:p>
            <w:pPr>
              <w:ind w:left="580"/>
              <w:spacing w:after="0"/>
              <w:rPr>
                <w:sz w:val="20"/>
                <w:szCs w:val="20"/>
                <w:color w:val="auto"/>
              </w:rPr>
            </w:pPr>
            <w:r>
              <w:rPr>
                <w:rFonts w:ascii="Arial" w:cs="Arial" w:eastAsia="Arial" w:hAnsi="Arial"/>
                <w:sz w:val="18"/>
                <w:szCs w:val="18"/>
                <w:b w:val="1"/>
                <w:bCs w:val="1"/>
                <w:color w:val="auto"/>
              </w:rPr>
              <w:t>Stock Options</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9"/>
              </w:rPr>
              <w:t>Restricted Stock Awards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r>
      <w:tr>
        <w:trPr>
          <w:trHeight w:val="198"/>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1"/>
              </w:rPr>
              <w:t>Weighted</w:t>
            </w:r>
          </w:p>
        </w:tc>
        <w:tc>
          <w:tcPr>
            <w:tcW w:w="320" w:type="dxa"/>
            <w:vAlign w:val="bottom"/>
          </w:tcPr>
          <w:p>
            <w:pPr>
              <w:spacing w:after="0"/>
              <w:rPr>
                <w:sz w:val="17"/>
                <w:szCs w:val="17"/>
                <w:color w:val="auto"/>
              </w:rPr>
            </w:pPr>
          </w:p>
        </w:tc>
        <w:tc>
          <w:tcPr>
            <w:tcW w:w="122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1"/>
              </w:rPr>
              <w:t>Contractual</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Non-vested</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Terms of</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Restricted</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Grant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Options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Exercise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Date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Awards</w:t>
            </w:r>
          </w:p>
        </w:tc>
      </w:tr>
      <w:tr>
        <w:trPr>
          <w:trHeight w:val="241"/>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6"/>
              </w:rPr>
              <w:t>Outstanding</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60" w:type="dxa"/>
            <w:vAlign w:val="bottom"/>
          </w:tcPr>
          <w:p>
            <w:pPr>
              <w:spacing w:after="0"/>
              <w:rPr>
                <w:sz w:val="20"/>
                <w:szCs w:val="20"/>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Fair Value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r>
      <w:tr>
        <w:trPr>
          <w:trHeight w:val="216"/>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awards outstanding at January 1, 2020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4,332,142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 awards granted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654,000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429,855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(140,864)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Vested and issued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(434,105)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 awards forfeited, cancelled, or expired</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(192,803)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 awards outstanding at September 30, 2020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4,652,475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Aggregate intrinsic value of outstanding equity</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awards at September 30, 2020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 awards exercisable at September 30, 2020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3,220,997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Aggregate intrinsic value of equity awards exercisable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at September 30, 2020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2020, there was a total of 6,505,924 shares of Celsion common stock reserved for issuance under the 2018 Plan which were comprised of 4,513,471 shares of Celsion common stock subject to equity awards previously granted under the 2018 Plan and 2007 Plan and 1,992,453 shares of Celsion common stock available for future issuance under the 2018 Plan. As of September 30, 2020, there was a total of 140,004 shares of Celsion common stock subject to outstanding inducement awards.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compensation cost related to stock options and restricted stock awards amounted to $417,476 and $453,680 for the three-month periods ended September 30, 2020 and 2019, respectively. Of these amounts, $164,035 and $188,264 was charged to research and development during the three-month periods ended September 30, 2020 and 2019, respectively, and $253,441 and $265,416 was charged to general and administrative expenses during the three-month periods ended September 30, 2020 and 2019,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compensation cost related to stock options and restricted stock awards amounted to $1,448,202 and $1,767,522 for the nine-month periods ended September 30, 2020 and 2019, respectively. Of these amounts, $542,157 and $668,058 was charged to research and development during the nine-month periods ended September 30, 2020 and 2019, respectively, and $906,045 and $1,099,464 was charged to general and administrative expenses during the nine-month periods ended September 30, 2020 and 2019,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jc w:val="both"/>
        <w:spacing w:after="0" w:line="296" w:lineRule="auto"/>
        <w:rPr>
          <w:sz w:val="20"/>
          <w:szCs w:val="20"/>
          <w:color w:val="auto"/>
        </w:rPr>
      </w:pPr>
      <w:r>
        <w:rPr>
          <w:rFonts w:ascii="Arial" w:cs="Arial" w:eastAsia="Arial" w:hAnsi="Arial"/>
          <w:sz w:val="16"/>
          <w:szCs w:val="16"/>
          <w:color w:val="auto"/>
        </w:rPr>
        <w:t>As of September 30, 2020, there was $1.9 million of total unrecognized compensation cost related to non-vested stock-based compensation arrangements. That cost is expected to be recognized over a weighted-average period of 1.3 years. The weighted average grant date fair values of the stock options granted was $3.07 and $1.86 during the nine-month periods ended September 30, 2020 and 2019, respectively. In connection with the Company’s annual 2019 bonus program, the Company issued 429,855 shares of common stock from the 2018 Stock Incentive Plan in lieu of paying cash for 50% of the annual bonus awards. These amounts were fully accrued for in the consolidated financial statements for the year ended December 31, 2019.</w:t>
      </w:r>
    </w:p>
    <w:p>
      <w:pPr>
        <w:spacing w:after="0" w:line="16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2020, the Company received gross proceeds of $371,895 from the issuance of 140,864 shares of common stock upon exercise of stock option awards under the 2018 Plan. All stock options were exercised under previously established 10b-5 plans. No stock options were exercised in 2019.</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00" w:type="dxa"/>
            <w:vAlign w:val="bottom"/>
          </w:tcPr>
          <w:p>
            <w:pPr>
              <w:spacing w:after="0"/>
              <w:rPr>
                <w:sz w:val="20"/>
                <w:szCs w:val="20"/>
                <w:color w:val="auto"/>
              </w:rPr>
            </w:pPr>
          </w:p>
        </w:tc>
        <w:tc>
          <w:tcPr>
            <w:tcW w:w="424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Nine Months Ended September 30,</w:t>
            </w:r>
          </w:p>
        </w:tc>
      </w:tr>
      <w:tr>
        <w:trPr>
          <w:trHeight w:val="237"/>
        </w:trPr>
        <w:tc>
          <w:tcPr>
            <w:tcW w:w="7000" w:type="dxa"/>
            <w:vAlign w:val="bottom"/>
            <w:tcBorders>
              <w:bottom w:val="single" w:sz="8" w:color="CCEEFF"/>
            </w:tcBorders>
          </w:tcPr>
          <w:p>
            <w:pPr>
              <w:spacing w:after="0"/>
              <w:rPr>
                <w:sz w:val="20"/>
                <w:szCs w:val="20"/>
                <w:color w:val="auto"/>
              </w:rPr>
            </w:pPr>
          </w:p>
        </w:tc>
        <w:tc>
          <w:tcPr>
            <w:tcW w:w="18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c>
          <w:tcPr>
            <w:tcW w:w="480" w:type="dxa"/>
            <w:vAlign w:val="bottom"/>
            <w:tcBorders>
              <w:top w:val="single" w:sz="8" w:color="auto"/>
              <w:bottom w:val="single" w:sz="8" w:color="CCEEFF"/>
            </w:tcBorders>
          </w:tcPr>
          <w:p>
            <w:pPr>
              <w:spacing w:after="0"/>
              <w:rPr>
                <w:sz w:val="20"/>
                <w:szCs w:val="20"/>
                <w:color w:val="auto"/>
              </w:rPr>
            </w:pPr>
          </w:p>
        </w:tc>
        <w:tc>
          <w:tcPr>
            <w:tcW w:w="18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CEEFF"/>
            </w:tcBorders>
          </w:tcPr>
          <w:p>
            <w:pPr>
              <w:spacing w:after="0"/>
              <w:rPr>
                <w:sz w:val="20"/>
                <w:szCs w:val="20"/>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0.66% to 1.33%</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 - 2.65%</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Expected volatility</w:t>
            </w:r>
          </w:p>
        </w:tc>
        <w:tc>
          <w:tcPr>
            <w:tcW w:w="2280" w:type="dxa"/>
            <w:vAlign w:val="bottom"/>
            <w:gridSpan w:val="2"/>
          </w:tcPr>
          <w:p>
            <w:pPr>
              <w:jc w:val="right"/>
              <w:ind w:right="340"/>
              <w:spacing w:after="0"/>
              <w:rPr>
                <w:sz w:val="20"/>
                <w:szCs w:val="20"/>
                <w:color w:val="auto"/>
              </w:rPr>
            </w:pPr>
            <w:r>
              <w:rPr>
                <w:rFonts w:ascii="Arial" w:cs="Arial" w:eastAsia="Arial" w:hAnsi="Arial"/>
                <w:sz w:val="18"/>
                <w:szCs w:val="18"/>
                <w:color w:val="auto"/>
              </w:rPr>
              <w:t>100.4% to 104.8%</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101.3 -106.2%</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2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 to 10.0</w:t>
            </w:r>
          </w:p>
        </w:tc>
        <w:tc>
          <w:tcPr>
            <w:tcW w:w="1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6.5 - 9.2</w:t>
            </w: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Expected volatilities utilized in the model are based on historical volatility of the Company’s stock price. The risk-free interest rate is derived from values assigned to U.S. Treasury bonds with terms that approximate the expected option lives in effect at the time of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Earn-out Milestone Liability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Amended Asset Purchase Agreement entered by and between Company and EGWU, Inc in March 2019, payment of the earnout milestone liability related to the Ovarian Cancer Indication of $12.4 million was modified. The Company has the option to make a $7.0 million payment within 10 business days of achieving the milestone; or make a payment of $12.4 million in cash, common stock of the Company, or a combination of either, within one year of achieving the milestone.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September 30, 2020, June 30, 2020 and December 31, 2019, the Company fair valued the earn-out milestone liability at $7.1 million, $6.0 million, and $5.7 million, respectively, and recognized a non-cash charge of $1.1 and $1.4 million for the three-month and nine-month periods ended September 30, 2020, respectively. In assessing the earnout milestone liability at September 30, 2020, the Company fair valued each of the two payment options per the Amended Asset Purchase Agreement and weighted them at 50% and 50% probability for the $7.0 million and the $12.4 million payments, respectively, and at September 30, 2020, the Company fair valued each of the two payment options per the Amended Asset Purchase Agreement and weighted them at 80% and 20% probability for the $7.0 million and the $12.4 million payments, respectively.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2019, June 30, 2019, and December 31, 2018, the Company fair valued the earn-out milestone liability at $5.8 million, $5.9 million and $8.9 million, respectively and recognized a non-cash benefit of $0.1 million and $3.1 million for the three and nine-month periods ended September 30, 2019, respectively. In assessing the earnout milestone liability at September 30, 2019 and June 30, 2019, the Company fair valued each of the two payment options per the Amended Asset Purchase Agreement and weighted them at 80% and 20% probability for the $7.0 million and the $12.4 million payments,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is a summary of the changes in the earn-out milestone liability for the nine-month period ended September 30,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5,717,709</w:t>
            </w:r>
          </w:p>
        </w:tc>
        <w:tc>
          <w:tcPr>
            <w:tcW w:w="0" w:type="dxa"/>
            <w:vAlign w:val="bottom"/>
          </w:tcPr>
          <w:p>
            <w:pPr>
              <w:spacing w:after="0"/>
              <w:rPr>
                <w:sz w:val="1"/>
                <w:szCs w:val="1"/>
                <w:color w:val="auto"/>
              </w:rPr>
            </w:pPr>
          </w:p>
        </w:tc>
      </w:tr>
      <w:tr>
        <w:trPr>
          <w:trHeight w:val="237"/>
        </w:trPr>
        <w:tc>
          <w:tcPr>
            <w:tcW w:w="5140" w:type="dxa"/>
            <w:vAlign w:val="bottom"/>
            <w:gridSpan w:val="2"/>
          </w:tcPr>
          <w:p>
            <w:pPr>
              <w:spacing w:after="0"/>
              <w:rPr>
                <w:sz w:val="20"/>
                <w:szCs w:val="20"/>
                <w:color w:val="auto"/>
              </w:rPr>
            </w:pPr>
            <w:r>
              <w:rPr>
                <w:rFonts w:ascii="Arial" w:cs="Arial" w:eastAsia="Arial" w:hAnsi="Arial"/>
                <w:sz w:val="18"/>
                <w:szCs w:val="18"/>
                <w:color w:val="auto"/>
              </w:rPr>
              <w:t>Non-cash loss from the change in fair value</w:t>
            </w: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1,397,291</w:t>
            </w:r>
          </w:p>
        </w:tc>
        <w:tc>
          <w:tcPr>
            <w:tcW w:w="0" w:type="dxa"/>
            <w:vAlign w:val="bottom"/>
          </w:tcPr>
          <w:p>
            <w:pPr>
              <w:spacing w:after="0"/>
              <w:rPr>
                <w:sz w:val="1"/>
                <w:szCs w:val="1"/>
                <w:color w:val="auto"/>
              </w:rPr>
            </w:pPr>
          </w:p>
        </w:tc>
      </w:tr>
      <w:tr>
        <w:trPr>
          <w:trHeight w:val="230"/>
        </w:trPr>
        <w:tc>
          <w:tcPr>
            <w:tcW w:w="5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September 30, 2020</w:t>
            </w: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7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gridSpan w:val="3"/>
            <w:vMerge w:val="restart"/>
          </w:tcPr>
          <w:p>
            <w:pPr>
              <w:spacing w:after="0"/>
              <w:rPr>
                <w:sz w:val="20"/>
                <w:szCs w:val="20"/>
                <w:color w:val="auto"/>
              </w:rPr>
            </w:pPr>
            <w:r>
              <w:rPr>
                <w:rFonts w:ascii="Arial" w:cs="Arial" w:eastAsia="Arial" w:hAnsi="Arial"/>
                <w:sz w:val="18"/>
                <w:szCs w:val="18"/>
                <w:color w:val="auto"/>
                <w:w w:val="90"/>
              </w:rPr>
              <w:t>The following is a schedule of the Company’s risk-adjustment assessment of each milestone:</w:t>
            </w: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jc w:val="center"/>
              <w:ind w:left="110"/>
              <w:spacing w:after="0"/>
              <w:rPr>
                <w:sz w:val="20"/>
                <w:szCs w:val="20"/>
                <w:color w:val="auto"/>
              </w:rPr>
            </w:pPr>
            <w:r>
              <w:rPr>
                <w:rFonts w:ascii="Arial" w:cs="Arial" w:eastAsia="Arial" w:hAnsi="Arial"/>
                <w:sz w:val="18"/>
                <w:szCs w:val="18"/>
                <w:color w:val="auto"/>
                <w:w w:val="91"/>
              </w:rPr>
              <w:t>Risk-adjustment</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ind w:left="70"/>
              <w:spacing w:after="0"/>
              <w:rPr>
                <w:sz w:val="20"/>
                <w:szCs w:val="20"/>
                <w:color w:val="auto"/>
              </w:rPr>
            </w:pPr>
            <w:r>
              <w:rPr>
                <w:rFonts w:ascii="Arial" w:cs="Arial" w:eastAsia="Arial" w:hAnsi="Arial"/>
                <w:sz w:val="18"/>
                <w:szCs w:val="18"/>
                <w:color w:val="auto"/>
                <w:w w:val="87"/>
              </w:rPr>
              <w:t>Assessment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ind w:left="90"/>
              <w:spacing w:after="0"/>
              <w:rPr>
                <w:sz w:val="20"/>
                <w:szCs w:val="20"/>
                <w:color w:val="auto"/>
              </w:rPr>
            </w:pPr>
            <w:r>
              <w:rPr>
                <w:rFonts w:ascii="Arial" w:cs="Arial" w:eastAsia="Arial" w:hAnsi="Arial"/>
                <w:sz w:val="18"/>
                <w:szCs w:val="18"/>
                <w:color w:val="auto"/>
                <w:w w:val="92"/>
              </w:rPr>
              <w:t>of Achieving each</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Estimated Time</w:t>
            </w:r>
          </w:p>
        </w:tc>
        <w:tc>
          <w:tcPr>
            <w:tcW w:w="0" w:type="dxa"/>
            <w:vAlign w:val="bottom"/>
          </w:tcPr>
          <w:p>
            <w:pPr>
              <w:spacing w:after="0"/>
              <w:rPr>
                <w:sz w:val="1"/>
                <w:szCs w:val="1"/>
                <w:color w:val="auto"/>
              </w:rPr>
            </w:pPr>
          </w:p>
        </w:tc>
      </w:tr>
      <w:tr>
        <w:trPr>
          <w:trHeight w:val="237"/>
        </w:trPr>
        <w:tc>
          <w:tcPr>
            <w:tcW w:w="5140" w:type="dxa"/>
            <w:vAlign w:val="bottom"/>
            <w:gridSpan w:val="2"/>
          </w:tcPr>
          <w:p>
            <w:pPr>
              <w:spacing w:after="0"/>
              <w:rPr>
                <w:sz w:val="20"/>
                <w:szCs w:val="20"/>
                <w:color w:val="auto"/>
              </w:rPr>
            </w:pPr>
            <w:r>
              <w:rPr>
                <w:rFonts w:ascii="Arial" w:cs="Arial" w:eastAsia="Arial" w:hAnsi="Arial"/>
                <w:sz w:val="18"/>
                <w:szCs w:val="18"/>
                <w:color w:val="auto"/>
              </w:rPr>
              <w:t>Date</w:t>
            </w:r>
          </w:p>
        </w:tc>
        <w:tc>
          <w:tcPr>
            <w:tcW w:w="1580" w:type="dxa"/>
            <w:vAlign w:val="bottom"/>
          </w:tcPr>
          <w:p>
            <w:pPr>
              <w:jc w:val="center"/>
              <w:ind w:left="90"/>
              <w:spacing w:after="0"/>
              <w:rPr>
                <w:sz w:val="20"/>
                <w:szCs w:val="20"/>
                <w:color w:val="auto"/>
              </w:rPr>
            </w:pPr>
            <w:r>
              <w:rPr>
                <w:rFonts w:ascii="Arial" w:cs="Arial" w:eastAsia="Arial" w:hAnsi="Arial"/>
                <w:sz w:val="18"/>
                <w:szCs w:val="18"/>
                <w:color w:val="auto"/>
                <w:w w:val="93"/>
              </w:rPr>
              <w:t>Milestone</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60" w:type="dxa"/>
            <w:vAlign w:val="bottom"/>
            <w:gridSpan w:val="3"/>
          </w:tcPr>
          <w:p>
            <w:pPr>
              <w:jc w:val="right"/>
              <w:ind w:right="670"/>
              <w:spacing w:after="0"/>
              <w:rPr>
                <w:sz w:val="20"/>
                <w:szCs w:val="20"/>
                <w:color w:val="auto"/>
              </w:rPr>
            </w:pPr>
            <w:r>
              <w:rPr>
                <w:rFonts w:ascii="Arial" w:cs="Arial" w:eastAsia="Arial" w:hAnsi="Arial"/>
                <w:sz w:val="18"/>
                <w:szCs w:val="18"/>
                <w:color w:val="auto"/>
              </w:rPr>
              <w:t>Discount Rate</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to Achieve</w:t>
            </w:r>
          </w:p>
        </w:tc>
        <w:tc>
          <w:tcPr>
            <w:tcW w:w="0" w:type="dxa"/>
            <w:vAlign w:val="bottom"/>
          </w:tcPr>
          <w:p>
            <w:pPr>
              <w:spacing w:after="0"/>
              <w:rPr>
                <w:sz w:val="1"/>
                <w:szCs w:val="1"/>
                <w:color w:val="auto"/>
              </w:rPr>
            </w:pPr>
          </w:p>
        </w:tc>
      </w:tr>
      <w:tr>
        <w:trPr>
          <w:trHeight w:val="216"/>
        </w:trPr>
        <w:tc>
          <w:tcPr>
            <w:tcW w:w="4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2020</w:t>
            </w:r>
          </w:p>
        </w:tc>
        <w:tc>
          <w:tcPr>
            <w:tcW w:w="15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80%</w:t>
            </w:r>
          </w:p>
        </w:tc>
        <w:tc>
          <w:tcPr>
            <w:tcW w:w="21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 to 1.38 years</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June 30, 2020</w:t>
            </w:r>
          </w:p>
        </w:tc>
        <w:tc>
          <w:tcPr>
            <w:tcW w:w="158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80%</w:t>
            </w:r>
          </w:p>
        </w:tc>
        <w:tc>
          <w:tcPr>
            <w:tcW w:w="2160" w:type="dxa"/>
            <w:vAlign w:val="bottom"/>
            <w:gridSpan w:val="3"/>
          </w:tcPr>
          <w:p>
            <w:pPr>
              <w:jc w:val="right"/>
              <w:ind w:right="130"/>
              <w:spacing w:after="0"/>
              <w:rPr>
                <w:sz w:val="20"/>
                <w:szCs w:val="20"/>
                <w:color w:val="auto"/>
              </w:rPr>
            </w:pPr>
            <w:r>
              <w:rPr>
                <w:rFonts w:ascii="Arial" w:cs="Arial" w:eastAsia="Arial" w:hAnsi="Arial"/>
                <w:sz w:val="18"/>
                <w:szCs w:val="18"/>
                <w:color w:val="auto"/>
              </w:rPr>
              <w:t>9%</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0.54 to 1.54 years</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5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80%</w:t>
            </w:r>
          </w:p>
        </w:tc>
        <w:tc>
          <w:tcPr>
            <w:tcW w:w="21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 to 2.12 years</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2019</w:t>
            </w:r>
          </w:p>
        </w:tc>
        <w:tc>
          <w:tcPr>
            <w:tcW w:w="15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80%</w:t>
            </w:r>
          </w:p>
        </w:tc>
        <w:tc>
          <w:tcPr>
            <w:tcW w:w="21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0.92 to 1.92 years</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June 30, 2019</w:t>
            </w:r>
          </w:p>
        </w:tc>
        <w:tc>
          <w:tcPr>
            <w:tcW w:w="158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80%</w:t>
            </w:r>
          </w:p>
        </w:tc>
        <w:tc>
          <w:tcPr>
            <w:tcW w:w="2160" w:type="dxa"/>
            <w:vAlign w:val="bottom"/>
            <w:gridSpan w:val="3"/>
          </w:tcPr>
          <w:p>
            <w:pPr>
              <w:jc w:val="right"/>
              <w:ind w:right="130"/>
              <w:spacing w:after="0"/>
              <w:rPr>
                <w:sz w:val="20"/>
                <w:szCs w:val="20"/>
                <w:color w:val="auto"/>
              </w:rPr>
            </w:pPr>
            <w:r>
              <w:rPr>
                <w:rFonts w:ascii="Arial" w:cs="Arial" w:eastAsia="Arial" w:hAnsi="Arial"/>
                <w:sz w:val="18"/>
                <w:szCs w:val="18"/>
                <w:color w:val="auto"/>
              </w:rPr>
              <w:t>9%</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0.75 to 1.75 years</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5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80%</w:t>
            </w:r>
          </w:p>
        </w:tc>
        <w:tc>
          <w:tcPr>
            <w:tcW w:w="21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 years</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all warrant activity for the nine months ended September 30,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4"/>
              </w:rPr>
              <w:t>Number of Warrants</w:t>
            </w:r>
          </w:p>
        </w:tc>
        <w:tc>
          <w:tcPr>
            <w:tcW w:w="18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1"/>
        </w:trPr>
        <w:tc>
          <w:tcPr>
            <w:tcW w:w="5380" w:type="dxa"/>
            <w:vAlign w:val="bottom"/>
          </w:tcPr>
          <w:p>
            <w:pPr>
              <w:spacing w:after="0"/>
              <w:rPr>
                <w:sz w:val="20"/>
                <w:szCs w:val="20"/>
                <w:color w:val="auto"/>
              </w:rPr>
            </w:pPr>
            <w:r>
              <w:rPr>
                <w:rFonts w:ascii="Arial" w:cs="Arial" w:eastAsia="Arial" w:hAnsi="Arial"/>
                <w:sz w:val="18"/>
                <w:szCs w:val="18"/>
                <w:b w:val="1"/>
                <w:bCs w:val="1"/>
                <w:color w:val="auto"/>
              </w:rPr>
              <w:t>Warrants</w:t>
            </w: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Issued</w:t>
            </w:r>
          </w:p>
        </w:tc>
        <w:tc>
          <w:tcPr>
            <w:tcW w:w="180" w:type="dxa"/>
            <w:vAlign w:val="bottom"/>
          </w:tcPr>
          <w:p>
            <w:pPr>
              <w:spacing w:after="0"/>
              <w:rPr>
                <w:sz w:val="20"/>
                <w:szCs w:val="20"/>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Exercise Price</w:t>
            </w:r>
          </w:p>
        </w:tc>
        <w:tc>
          <w:tcPr>
            <w:tcW w:w="0" w:type="dxa"/>
            <w:vAlign w:val="bottom"/>
          </w:tcPr>
          <w:p>
            <w:pPr>
              <w:spacing w:after="0"/>
              <w:rPr>
                <w:sz w:val="1"/>
                <w:szCs w:val="1"/>
                <w:color w:val="auto"/>
              </w:rPr>
            </w:pPr>
          </w:p>
        </w:tc>
      </w:tr>
      <w:tr>
        <w:trPr>
          <w:trHeight w:val="216"/>
        </w:trPr>
        <w:tc>
          <w:tcPr>
            <w:tcW w:w="53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December 31, 2019</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626,098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w w:val="99"/>
              </w:rPr>
              <w:t>Warrants issued during the nine months ended September 30, 2020</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3,522,525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7"/>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4"/>
              </w:rPr>
              <w:t>Warrants cancelled during the nine months ended September 30, 2020</w:t>
            </w:r>
          </w:p>
        </w:tc>
        <w:tc>
          <w:tcPr>
            <w:tcW w:w="1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(95,057)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538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September 30, 2020</w:t>
            </w:r>
          </w:p>
        </w:tc>
        <w:tc>
          <w:tcPr>
            <w:tcW w:w="1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4,053,566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2"/>
              </w:rPr>
              <w:t>Aggregate intrinsic value of outstanding warrants at September 30, 2020</w:t>
            </w:r>
          </w:p>
        </w:tc>
        <w:tc>
          <w:tcPr>
            <w:tcW w:w="240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144,000</w:t>
            </w: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CCEEFF"/>
            </w:tcBorders>
            <w:vMerge w:val="restart"/>
          </w:tcPr>
          <w:p>
            <w:pPr>
              <w:jc w:val="right"/>
              <w:ind w:right="1390"/>
              <w:spacing w:after="0"/>
              <w:rPr>
                <w:sz w:val="20"/>
                <w:szCs w:val="20"/>
                <w:color w:val="auto"/>
              </w:rPr>
            </w:pPr>
            <w:r>
              <w:rPr>
                <w:rFonts w:ascii="Arial" w:cs="Arial" w:eastAsia="Arial" w:hAnsi="Arial"/>
                <w:sz w:val="18"/>
                <w:szCs w:val="18"/>
                <w:color w:val="auto"/>
              </w:rPr>
              <w:t>26</w:t>
            </w: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3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Warrants provided to</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b w:val="1"/>
                <w:bCs w:val="1"/>
                <w:color w:val="auto"/>
                <w:w w:val="97"/>
              </w:rPr>
              <w:t>Schedule of weighted average exercise price and remaining contractual terms at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EGWU, Inc.</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760" w:type="dxa"/>
            <w:vAlign w:val="bottom"/>
          </w:tcPr>
          <w:p>
            <w:pPr>
              <w:spacing w:after="0"/>
              <w:rPr>
                <w:sz w:val="20"/>
                <w:szCs w:val="20"/>
                <w:color w:val="auto"/>
              </w:rPr>
            </w:pPr>
            <w:r>
              <w:rPr>
                <w:rFonts w:ascii="Arial" w:cs="Arial" w:eastAsia="Arial" w:hAnsi="Arial"/>
                <w:sz w:val="18"/>
                <w:szCs w:val="18"/>
                <w:b w:val="1"/>
                <w:bCs w:val="1"/>
                <w:color w:val="auto"/>
              </w:rPr>
              <w:t>September 30, 2020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(Note 13)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ind w:left="60"/>
              <w:spacing w:after="0"/>
              <w:rPr>
                <w:sz w:val="20"/>
                <w:szCs w:val="20"/>
                <w:color w:val="auto"/>
              </w:rPr>
            </w:pPr>
            <w:r>
              <w:rPr>
                <w:rFonts w:ascii="Arial" w:cs="Arial" w:eastAsia="Arial" w:hAnsi="Arial"/>
                <w:sz w:val="18"/>
                <w:szCs w:val="18"/>
                <w:b w:val="1"/>
                <w:bCs w:val="1"/>
                <w:color w:val="auto"/>
              </w:rPr>
              <w:t>All other warrants</w:t>
            </w:r>
          </w:p>
        </w:tc>
      </w:tr>
      <w:tr>
        <w:trPr>
          <w:trHeight w:val="216"/>
        </w:trPr>
        <w:tc>
          <w:tcPr>
            <w:tcW w:w="6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Number of warrants issued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3,853,566</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Weighted average exercise price</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contractual terms remaining</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 expiration</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99"/>
              </w:rPr>
              <w:t>5.0 years</w:t>
            </w:r>
          </w:p>
        </w:tc>
      </w:tr>
      <w:tr>
        <w:trPr>
          <w:trHeight w:val="432"/>
        </w:trPr>
        <w:tc>
          <w:tcPr>
            <w:tcW w:w="6760" w:type="dxa"/>
            <w:vAlign w:val="bottom"/>
          </w:tcPr>
          <w:p>
            <w:pPr>
              <w:spacing w:after="0"/>
              <w:rPr>
                <w:sz w:val="20"/>
                <w:szCs w:val="20"/>
                <w:color w:val="auto"/>
              </w:rPr>
            </w:pPr>
            <w:r>
              <w:rPr>
                <w:rFonts w:ascii="Arial" w:cs="Arial" w:eastAsia="Arial" w:hAnsi="Arial"/>
                <w:sz w:val="18"/>
                <w:szCs w:val="18"/>
                <w:b w:val="1"/>
                <w:bCs w:val="1"/>
                <w:color w:val="auto"/>
              </w:rPr>
              <w:t>Note 15. Leases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maintains a lease, as amended, for its 10,870 square foot premises located in Lawrenceville, New Jersey which is currently set to expire September 1, 2023. Also, the Company maintains a lease for an 11,500 square foot premises located in Huntsville Alabama, which is currently set to expire in January 2023.</w:t>
      </w:r>
    </w:p>
    <w:p>
      <w:pPr>
        <w:spacing w:after="0" w:line="18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adopted ASC Topic 842 on January 1, 2019 using the modified retrospective transition method for all lease arrangements at the beginning of the period of adoption. Results for reporting periods beginning January 1, 2019 are presented under ASC 842, while prior period amounts were not adjusted and continue to be reported in accordance with our historic accounting under Topic 840, Leases. The standard had a material impact on our Condensed Consolidated Balance Sheet but had no impact on our condensed consolidated net earnings and cash flows. The most significant impact of adopting ASC Topic 842 was the recognition of the right-of-use (ROU) asset and lease liabilities for operating leases, which are presented in the following three-line items on the Consolidated Condensed Balance Sheet: (i) operating lease right-of-use asset; (ii) current operating lease liabilities; and (iii) operating lease liabilities. Therefore, on date of adoption of ASC Topic 842, the Company recognized a ROU asset of $1.4 million, operating lease liabilities, current and non-current collectively, of $1.5 million and reduced other liabilities by approximately $0.1 million. We elected the package of practical expedients for leases that commenced before the effective date of ASC Topic 842 whereby we elected to not reassess the following: (i) whether any expired or existing contracts contain leases; (ii) the lease classification for any expired or existing leases; and (iii) initial direct costs for any existing leases. In addition, we have lease agreements with lease and non-lease components, and we have elected the practical expedient for all underlying asset classes and account for them as a single lease component. We have no finance leases. We determine if an arrangement is a lease at inception. We have operating leases for office space and research and development facilities. Neither of our leases include options to renew; however, one contains an option for early termination. We considered the option of early termination in measurement of right-of-use assets and lease liabilities, and we determined it is not reasonably certain to be</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terminated. In connection with the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Lease Amendment for the New Jersey office lease in January 2019, the Company considered this as one modified lease and not as two separate leases. Therefore, in January 2019, the Company determined this lease was an operating lease and remeasured the ROU asset and lease liability. Therefore, the Company increased the ROU asset and operating lease liabilities by $0.4 million to $1.8 million and $1.9 million, respectively.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8700" w:type="dxa"/>
            <w:vAlign w:val="bottom"/>
          </w:tcPr>
          <w:p>
            <w:pPr>
              <w:spacing w:after="0"/>
              <w:rPr>
                <w:sz w:val="20"/>
                <w:szCs w:val="20"/>
                <w:color w:val="auto"/>
              </w:rPr>
            </w:pPr>
            <w:r>
              <w:rPr>
                <w:rFonts w:ascii="Arial" w:cs="Arial" w:eastAsia="Arial" w:hAnsi="Arial"/>
                <w:sz w:val="18"/>
                <w:szCs w:val="18"/>
                <w:color w:val="auto"/>
                <w:w w:val="95"/>
              </w:rPr>
              <w:t>Following is a table of the lease payments and maturity of our operating lease liabilities as of September 30, 2020:</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8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8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9"/>
              </w:rPr>
              <w:t>year ending</w:t>
            </w:r>
          </w:p>
        </w:tc>
      </w:tr>
      <w:tr>
        <w:trPr>
          <w:trHeight w:val="241"/>
        </w:trPr>
        <w:tc>
          <w:tcPr>
            <w:tcW w:w="8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0"/>
              </w:rPr>
              <w:t>December 31,</w:t>
            </w:r>
          </w:p>
        </w:tc>
      </w:tr>
      <w:tr>
        <w:trPr>
          <w:trHeight w:val="216"/>
        </w:trPr>
        <w:tc>
          <w:tcPr>
            <w:tcW w:w="8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4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131,863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530,734</w:t>
            </w:r>
          </w:p>
        </w:tc>
        <w:tc>
          <w:tcPr>
            <w:tcW w:w="14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535,579</w:t>
            </w: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2023</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233,116</w:t>
            </w:r>
          </w:p>
        </w:tc>
        <w:tc>
          <w:tcPr>
            <w:tcW w:w="140" w:type="dxa"/>
            <w:vAlign w:val="bottom"/>
          </w:tcPr>
          <w:p>
            <w:pPr>
              <w:spacing w:after="0"/>
              <w:rPr>
                <w:sz w:val="18"/>
                <w:szCs w:val="18"/>
                <w:color w:val="auto"/>
              </w:rPr>
            </w:pPr>
          </w:p>
        </w:tc>
      </w:tr>
      <w:tr>
        <w:trPr>
          <w:trHeight w:val="24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2024 and thereafter</w:t>
            </w:r>
          </w:p>
        </w:tc>
        <w:tc>
          <w:tcPr>
            <w:tcW w:w="4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r>
      <w:tr>
        <w:trPr>
          <w:trHeight w:val="203"/>
        </w:trPr>
        <w:tc>
          <w:tcPr>
            <w:tcW w:w="87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Subtotal future lease payments</w:t>
            </w:r>
          </w:p>
        </w:tc>
        <w:tc>
          <w:tcPr>
            <w:tcW w:w="4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1,431,292</w:t>
            </w: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49"/>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imputed interest</w:t>
            </w:r>
          </w:p>
        </w:tc>
        <w:tc>
          <w:tcPr>
            <w:tcW w:w="4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(186,581)</w:t>
            </w:r>
          </w:p>
        </w:tc>
      </w:tr>
      <w:tr>
        <w:trPr>
          <w:trHeight w:val="210"/>
        </w:trPr>
        <w:tc>
          <w:tcPr>
            <w:tcW w:w="87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lease liabilities</w:t>
            </w:r>
          </w:p>
        </w:tc>
        <w:tc>
          <w:tcPr>
            <w:tcW w:w="48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1,244,711</w:t>
            </w: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7"/>
        </w:trPr>
        <w:tc>
          <w:tcPr>
            <w:tcW w:w="8700" w:type="dxa"/>
            <w:vAlign w:val="bottom"/>
          </w:tcPr>
          <w:p>
            <w:pPr>
              <w:spacing w:after="0"/>
              <w:rPr>
                <w:sz w:val="20"/>
                <w:szCs w:val="20"/>
                <w:color w:val="auto"/>
              </w:rPr>
            </w:pPr>
            <w:r>
              <w:rPr>
                <w:rFonts w:ascii="Arial" w:cs="Arial" w:eastAsia="Arial" w:hAnsi="Arial"/>
                <w:sz w:val="18"/>
                <w:szCs w:val="18"/>
                <w:color w:val="auto"/>
              </w:rPr>
              <w:t>Weighted average remaining life</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3"/>
          </w:tcPr>
          <w:p>
            <w:pPr>
              <w:jc w:val="right"/>
              <w:ind w:right="160"/>
              <w:spacing w:after="0"/>
              <w:rPr>
                <w:sz w:val="20"/>
                <w:szCs w:val="20"/>
                <w:color w:val="auto"/>
              </w:rPr>
            </w:pPr>
            <w:r>
              <w:rPr>
                <w:rFonts w:ascii="Arial" w:cs="Arial" w:eastAsia="Arial" w:hAnsi="Arial"/>
                <w:sz w:val="18"/>
                <w:szCs w:val="18"/>
                <w:color w:val="auto"/>
              </w:rPr>
              <w:t>2.7 years</w:t>
            </w:r>
          </w:p>
        </w:tc>
      </w:tr>
      <w:tr>
        <w:trPr>
          <w:trHeight w:val="216"/>
        </w:trPr>
        <w:tc>
          <w:tcPr>
            <w:tcW w:w="87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43"/>
        </w:trPr>
        <w:tc>
          <w:tcPr>
            <w:tcW w:w="87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9.98%</w:t>
            </w:r>
          </w:p>
        </w:tc>
      </w:tr>
      <w:tr>
        <w:trPr>
          <w:trHeight w:val="20"/>
        </w:trPr>
        <w:tc>
          <w:tcPr>
            <w:tcW w:w="8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three-month and nine-month periods ended September 30, 2020, operating lease expense was $130,595 and $391,785, respectively and cash paid for operating leases included in operating cash flows was $131,863 and $393,947, respectively. For the three-month and nine-month periods ended September 30, 2019, operating lease expense was $130,595 and $391,785, respectively and cash paid for operating leases included in operating cash flows was $130,631 and $355,216,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Technology Development and Licensing Agreements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May 7, 2012, the Company entered into a long-term commercial supply agreement with Zhejiang Hisun Pharmaceutical Co. Ltd. (Hisun) for the production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the manufacture of ThermoDox</w:t>
      </w:r>
      <w:r>
        <w:rPr>
          <w:rFonts w:ascii="Arial" w:cs="Arial" w:eastAsia="Arial" w:hAnsi="Arial"/>
          <w:sz w:val="26"/>
          <w:szCs w:val="26"/>
          <w:color w:val="auto"/>
          <w:vertAlign w:val="superscript"/>
        </w:rPr>
        <w:t>®</w:t>
      </w:r>
      <w:r>
        <w:rPr>
          <w:rFonts w:ascii="Arial" w:cs="Arial" w:eastAsia="Arial" w:hAnsi="Arial"/>
          <w:sz w:val="16"/>
          <w:szCs w:val="16"/>
          <w:color w:val="auto"/>
        </w:rPr>
        <w:t>. Celsion will repay Hisun for the aggregate amount of these development costs and fees commencing on the successful completion of three registration batches of ThermoDox</w:t>
      </w:r>
      <w:r>
        <w:rPr>
          <w:rFonts w:ascii="Arial" w:cs="Arial" w:eastAsia="Arial" w:hAnsi="Arial"/>
          <w:sz w:val="26"/>
          <w:szCs w:val="26"/>
          <w:color w:val="auto"/>
          <w:vertAlign w:val="superscript"/>
        </w:rPr>
        <w:t>®</w:t>
      </w:r>
      <w:r>
        <w:rPr>
          <w:rFonts w:ascii="Arial" w:cs="Arial" w:eastAsia="Arial" w:hAnsi="Arial"/>
          <w:sz w:val="16"/>
          <w:szCs w:val="16"/>
          <w:color w:val="auto"/>
        </w:rPr>
        <w:t>. Hisun is also obligated to certain performance requirements under the agreement. The agreement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will initially be limited to a percentage of the production requirements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China territory with Hisun retaining an option for additional global supply after local regulatory approval in the China territory. In addition, Hisun will collaborate with Celsion around the regulatory approval</w:t>
      </w:r>
    </w:p>
    <w:p>
      <w:pPr>
        <w:jc w:val="both"/>
        <w:spacing w:after="0" w:line="228" w:lineRule="auto"/>
        <w:rPr>
          <w:sz w:val="20"/>
          <w:szCs w:val="20"/>
          <w:color w:val="auto"/>
        </w:rPr>
      </w:pPr>
      <w:r>
        <w:rPr>
          <w:rFonts w:ascii="Arial" w:cs="Arial" w:eastAsia="Arial" w:hAnsi="Arial"/>
          <w:sz w:val="18"/>
          <w:szCs w:val="18"/>
          <w:color w:val="auto"/>
        </w:rPr>
        <w:t>activities for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with the China State Food and Drug Administration (CHINA FDA). During the first quarter of 2015, Hisun completed the successful manufacture of three registration batches of ThermoDox</w:t>
      </w:r>
      <w:r>
        <w:rPr>
          <w:rFonts w:ascii="Arial" w:cs="Arial" w:eastAsia="Arial" w:hAnsi="Arial"/>
          <w:sz w:val="29"/>
          <w:szCs w:val="29"/>
          <w:color w:val="auto"/>
          <w:vertAlign w:val="superscript"/>
        </w:rPr>
        <w:t>®</w:t>
      </w:r>
      <w:r>
        <w:rPr>
          <w:rFonts w:ascii="Arial" w:cs="Arial" w:eastAsia="Arial" w:hAnsi="Arial"/>
          <w:sz w:val="18"/>
          <w:szCs w:val="18"/>
          <w:color w:val="auto"/>
        </w:rPr>
        <w:t>.</w:t>
      </w:r>
    </w:p>
    <w:p>
      <w:pPr>
        <w:spacing w:after="0" w:line="81"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On January 18, 2013, we entered into a technology development contract with Hisun, pursuant to which Hisun paid us a non-refundable research and development fee of $5 million to support our development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mainland China, Hong Kong and Macau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 which include the sub-group analysis of patients in the Phase III HEAT Study for the hepatocellular carcinoma clinical indication</w:t>
      </w:r>
    </w:p>
    <w:p>
      <w:pPr>
        <w:spacing w:after="0" w:line="3"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and other activities to further the development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Greater China market. The $5.0 million received as a non-refundable payment from Hisun in the first quarter 2013 has been recorded to deferred revenue and will continue to be amortized over the 10 -year term of the agreement, until such</w:t>
      </w:r>
    </w:p>
    <w:p>
      <w:pPr>
        <w:jc w:val="both"/>
        <w:ind w:right="20"/>
        <w:spacing w:after="0" w:line="209" w:lineRule="auto"/>
        <w:rPr>
          <w:sz w:val="20"/>
          <w:szCs w:val="20"/>
          <w:color w:val="auto"/>
        </w:rPr>
      </w:pPr>
      <w:r>
        <w:rPr>
          <w:rFonts w:ascii="Arial" w:cs="Arial" w:eastAsia="Arial" w:hAnsi="Arial"/>
          <w:sz w:val="18"/>
          <w:szCs w:val="18"/>
          <w:color w:val="auto"/>
        </w:rPr>
        <w:t>time as the parties find a mutually acceptable path forward on the development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based on findings of the ongoing post-study analysis of the HEAT Study data.</w:t>
      </w:r>
    </w:p>
    <w:p>
      <w:pPr>
        <w:spacing w:after="0" w:line="20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 xml:space="preserve">On July 19, 2013, the Company and Hisun entered into a Memorandum of Understanding to pursue ongoing cooperation for the continued clinical development of ThermoDox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as well as the technology transfer relating to the commercial manufacture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for the China territory. This expanded level of cooperation includes development of the next generation liposomal formulation with the goal of creating safer, more efficacious versions of marketed cancer chemotherapeutics.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Among the key provisions of the Celsion-Hisun Memorandum of Understanding are:</w:t>
      </w:r>
    </w:p>
    <w:p>
      <w:pPr>
        <w:spacing w:after="0" w:line="225" w:lineRule="exact"/>
        <w:rPr>
          <w:sz w:val="20"/>
          <w:szCs w:val="20"/>
          <w:color w:val="auto"/>
        </w:rPr>
      </w:pPr>
    </w:p>
    <w:p>
      <w:pPr>
        <w:ind w:left="660" w:hanging="652"/>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Hisun will provide the Company with internal resources necessary to complete the technology transfer of the Company’s proprietary manufacturing process and the production of registration batches for the China territory;</w:t>
      </w:r>
    </w:p>
    <w:p>
      <w:pPr>
        <w:spacing w:after="0" w:line="173" w:lineRule="exact"/>
        <w:rPr>
          <w:rFonts w:ascii="Arial" w:cs="Arial" w:eastAsia="Arial" w:hAnsi="Arial"/>
          <w:sz w:val="18"/>
          <w:szCs w:val="18"/>
          <w:b w:val="1"/>
          <w:bCs w:val="1"/>
          <w:color w:val="auto"/>
        </w:rPr>
      </w:pPr>
    </w:p>
    <w:p>
      <w:pPr>
        <w:ind w:left="660" w:hanging="652"/>
        <w:spacing w:after="0" w:line="186" w:lineRule="auto"/>
        <w:tabs>
          <w:tab w:leader="none" w:pos="660" w:val="left"/>
        </w:tabs>
        <w:numPr>
          <w:ilvl w:val="0"/>
          <w:numId w:val="4"/>
        </w:numPr>
        <w:rPr>
          <w:rFonts w:ascii="Arial" w:cs="Arial" w:eastAsia="Arial" w:hAnsi="Arial"/>
          <w:sz w:val="36"/>
          <w:szCs w:val="36"/>
          <w:b w:val="1"/>
          <w:bCs w:val="1"/>
          <w:color w:val="auto"/>
          <w:vertAlign w:val="superscript"/>
        </w:rPr>
      </w:pPr>
      <w:r>
        <w:rPr>
          <w:rFonts w:ascii="Arial" w:cs="Arial" w:eastAsia="Arial" w:hAnsi="Arial"/>
          <w:sz w:val="18"/>
          <w:szCs w:val="18"/>
          <w:color w:val="auto"/>
        </w:rPr>
        <w:t>Hisun will coordinate with the Company around the clinical and regulatory approval activities for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as well as other liposomal formations with the CHINA FDA; and</w:t>
      </w:r>
    </w:p>
    <w:p>
      <w:pPr>
        <w:spacing w:after="0" w:line="207" w:lineRule="exact"/>
        <w:rPr>
          <w:rFonts w:ascii="Arial" w:cs="Arial" w:eastAsia="Arial" w:hAnsi="Arial"/>
          <w:sz w:val="36"/>
          <w:szCs w:val="36"/>
          <w:b w:val="1"/>
          <w:bCs w:val="1"/>
          <w:color w:val="auto"/>
          <w:vertAlign w:val="superscript"/>
        </w:rPr>
      </w:pPr>
    </w:p>
    <w:p>
      <w:pPr>
        <w:ind w:left="660" w:hanging="652"/>
        <w:spacing w:after="0" w:line="186" w:lineRule="auto"/>
        <w:tabs>
          <w:tab w:leader="none" w:pos="660" w:val="left"/>
        </w:tabs>
        <w:numPr>
          <w:ilvl w:val="0"/>
          <w:numId w:val="4"/>
        </w:numPr>
        <w:rPr>
          <w:rFonts w:ascii="Arial" w:cs="Arial" w:eastAsia="Arial" w:hAnsi="Arial"/>
          <w:sz w:val="36"/>
          <w:szCs w:val="36"/>
          <w:b w:val="1"/>
          <w:bCs w:val="1"/>
          <w:color w:val="auto"/>
          <w:vertAlign w:val="superscript"/>
        </w:rPr>
      </w:pPr>
      <w:r>
        <w:rPr>
          <w:rFonts w:ascii="Arial" w:cs="Arial" w:eastAsia="Arial" w:hAnsi="Arial"/>
          <w:sz w:val="18"/>
          <w:szCs w:val="18"/>
          <w:color w:val="auto"/>
        </w:rPr>
        <w:t>Hisun will be granted a right of first offer for a commercial license to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for the sale and distribution of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the China territory.</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August 8, 2016, we signed a Technology Transfer, Manufacturing and Commercial Supply Agreement (“GEN-1 Agreement”) with Hisun to pursue an expanded partnership for the technology transfer relating to the clinical and commercial manufacture and supply of GEN-1, Celsion’s proprietary gene mediated, IL- 12 immunotherapy, for the greater China territory, with the option to expand into other countries in the rest of the world after all necessary regulatory approvals are in effect. The GEN- 1 Agreement will help to support supply for both ongoing and planned clinical studies in the U.S., and for potential future studies of GEN- 1 in China. GEN- 1 is currently being evaluated by Celsion in first line ovarian cancer patients.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Key provisions of the GEN-1 Agreement are as follows:</w:t>
      </w:r>
    </w:p>
    <w:p>
      <w:pPr>
        <w:spacing w:after="0" w:line="225" w:lineRule="exact"/>
        <w:rPr>
          <w:sz w:val="20"/>
          <w:szCs w:val="20"/>
          <w:color w:val="auto"/>
        </w:rPr>
      </w:pPr>
    </w:p>
    <w:p>
      <w:pPr>
        <w:ind w:left="660" w:right="20" w:hanging="652"/>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GEN-1 Agreement has targeted unit costs for clinical supplies of GEN-1 that are substantially competitive with the Company’s current suppliers;</w:t>
      </w:r>
    </w:p>
    <w:p>
      <w:pPr>
        <w:spacing w:after="0" w:line="170" w:lineRule="exact"/>
        <w:rPr>
          <w:rFonts w:ascii="Arial" w:cs="Arial" w:eastAsia="Arial" w:hAnsi="Arial"/>
          <w:sz w:val="18"/>
          <w:szCs w:val="18"/>
          <w:b w:val="1"/>
          <w:bCs w:val="1"/>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once approved, the cost structure for GEN-1 will support rapid market adoption and significant gross margins across global markets;</w:t>
      </w:r>
    </w:p>
    <w:p>
      <w:pPr>
        <w:spacing w:after="0" w:line="225" w:lineRule="exact"/>
        <w:rPr>
          <w:rFonts w:ascii="Arial" w:cs="Arial" w:eastAsia="Arial" w:hAnsi="Arial"/>
          <w:sz w:val="18"/>
          <w:szCs w:val="18"/>
          <w:b w:val="1"/>
          <w:bCs w:val="1"/>
          <w:color w:val="auto"/>
        </w:rPr>
      </w:pPr>
    </w:p>
    <w:p>
      <w:pPr>
        <w:ind w:left="660" w:hanging="652"/>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Celsion will provide Hisun a certain percentage of China’s commercial unit demand, and separately of global commercial unit demand, subject to regulatory approval;</w:t>
      </w:r>
    </w:p>
    <w:p>
      <w:pPr>
        <w:spacing w:after="0" w:line="170" w:lineRule="exact"/>
        <w:rPr>
          <w:rFonts w:ascii="Arial" w:cs="Arial" w:eastAsia="Arial" w:hAnsi="Arial"/>
          <w:sz w:val="18"/>
          <w:szCs w:val="18"/>
          <w:b w:val="1"/>
          <w:bCs w:val="1"/>
          <w:color w:val="auto"/>
        </w:rPr>
      </w:pPr>
    </w:p>
    <w:p>
      <w:pPr>
        <w:ind w:left="660" w:right="20" w:hanging="652"/>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Hisun and Celsion will commence technology transfer activities relating to the manufacture of GEN-1, including all studies required by CHINA FDA for site approval; and</w:t>
      </w:r>
    </w:p>
    <w:p>
      <w:pPr>
        <w:spacing w:after="0" w:line="170" w:lineRule="exact"/>
        <w:rPr>
          <w:rFonts w:ascii="Arial" w:cs="Arial" w:eastAsia="Arial" w:hAnsi="Arial"/>
          <w:sz w:val="18"/>
          <w:szCs w:val="18"/>
          <w:b w:val="1"/>
          <w:bCs w:val="1"/>
          <w:color w:val="auto"/>
        </w:rPr>
      </w:pPr>
    </w:p>
    <w:p>
      <w:pPr>
        <w:ind w:left="660" w:hanging="652"/>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Hisun will collaborate with Celsion around the regulatory approval activities for GEN-1 with the CHINA FDA. A local China partner affords Celsion access to accelerated CHINA FDA review and potential regulatory exclusivity for the approved indication.</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evaluated the Hisun arrangement in accordance with ASC 606 and determined that its performance obligations under the agreement include the non-exclusive, royalty-free license, research and development services to be provided by the Company, and its obligation to serve on a joint committee. The Company concluded that the license was not distinct since its value is closely tied to the ongoing research and development activities. As such, the license and the research and development services are bundled as a single performance obligation. Since the provision of the license and research and development services are considered a single performance obligation, the $5,000,000 upfront payment is being recognized as revenue ratably through 2022.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September 20, 2019, a purported stockholder of the Company filed a derivative and putative class action lawsuit against the Company and certain officers and directors (the “Shareholder Action”). The Company is a defendant in this derivative and putative class action lawsuit in the Superior Court of New Jersey, Chancery Division, filed by a shareholder against the Company (as both a class action defendant and nominal defendant), and certain of its officers and directors (the “Individual Defendants”), with the caption O’Connor v. Braun et al., Docket No. MER-C-000068-19 (the “Shareholder Action”). The Shareholder Action alleges breaches of the defendants’ fiduciary duties based on allegations that the defendants omitted or made improper statements when seeking shareholder approval of the 2018 Stock Incentive Plan. The Shareholder Action seeks, among other things, any damages sustained by the Company as a result of the defendants’ alleged wrongdoing, a declaratory judgment against all defendants invalidating the 2018 Stock Incentive Plan and declaring any awards made under the Plan invalid, rescinded, and subject to disgorgement, an order disgorging the equity awards granted to the Individual Defendants under the 2018 Stock Incentive Plan, and attorneys’ fees and costs. Without admitting the validity of any of the claims asserted in the Shareholder Action, or any liability with respect thereto, and expressly denying all allegations of wrongdoing, fault, liability, or damage against the Company and the Individual Defendants arising out of any of the conduct, statements, acts or omissions alleged, or that could have been alleged, in the Shareholder Action, the Company and the Individual Defendants have concluded that it is desirable that the claims be settled on the terms and subject to the conditions set forth in the Settlement Agreement. The Company and the Individual Defendants are entering into the Settlement Agreement for settlement purposes only and solely to avoid the cost and disruption of further litigation.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24, 2020, the Company, the Individual Defendants, and the plaintiff (the “Parties”) entered into a Settlement Agreement and Release (the “Settlement Agreement”), which memorializes the terms of the Parties’ settlement of the Shareholder Action (the “Settlement”). The Settlement calls for repricing of certain stock options and payment of plaintiff legal fees of $187,500. On July 24, 2020, the Court issued an order approving the Parties’ proposed form of notice to shareholders regarding the Settlement. On August 3, 2020, the Company filed notice of the Settlement Agreement on Form 8-K as filed with the SEC. A hearing was held on September 8, 2020 whereby the Court issued a final approval approving the Settlement. Pursuant to the Settlement, the Company paid $187,500 on October 1, 2020.</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October 29, 2020, a putative securities class action was filed against the Company and certain of its officers and directors (the “Spar Individual Defendants”) in the United States District Court for the District of New Jersey, captioned </w:t>
      </w:r>
      <w:r>
        <w:rPr>
          <w:rFonts w:ascii="Arial" w:cs="Arial" w:eastAsia="Arial" w:hAnsi="Arial"/>
          <w:sz w:val="18"/>
          <w:szCs w:val="18"/>
          <w:i w:val="1"/>
          <w:iCs w:val="1"/>
          <w:color w:val="auto"/>
        </w:rPr>
        <w:t>Spar v. Celsion Corporation, et al.</w:t>
      </w:r>
      <w:r>
        <w:rPr>
          <w:rFonts w:ascii="Arial" w:cs="Arial" w:eastAsia="Arial" w:hAnsi="Arial"/>
          <w:sz w:val="18"/>
          <w:szCs w:val="18"/>
          <w:color w:val="auto"/>
        </w:rPr>
        <w:t>, Case No. 1:20-cv-15228. The plaintiff alleges that the Company and Individual Defendants made false and misleading statements regarding one of the Company’s product candidates, ThermoDox®, and brings claims for damages under Section 10(b) of the Exchange Act and Rule 10b-5 promulgated thereunder against all Defendants, and under Section 20(a) of the Exchange Act of 1934 against the Spar Individual Defendants. The Company believes that the case is without merit and intend to defend it vigorously. Due to the early stage of the case, neither the likelihood that a loss, if any, will be realized, nor an estimate of the possible loss or range of loss, if any, can be determined.</w:t>
      </w:r>
    </w:p>
    <w:p>
      <w:pPr>
        <w:spacing w:after="0" w:line="19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October 13, 2020, we received notice from The Nasdaq Stock Market (“Nasdaq”) that the closing bid price for our common stock had been below $1.00 per share for the previous 30 consecutive business days, and that we are therefore not in compliance with the minimum bid price requirement for continued inclusion on The Nasdaq Capital Market under Nasdaq Listing Rule 5550(a)(2) (the “Rule”). Nasdaq’s notice has no immediate effect on the listing or trading of our common stock on The Nasdaq Capital Market. The notice indicates that we will have 180 calendar days, until April 12, 2021, to regain compliance with this requirement. We can regain compliance with the $1.00 minimum bid listing requirement if the closing bid price of our common stock is at least $1.00 per share for a minimum of ten (10) consecutive business days during the 180-day compliance period. If we do not regain compliance during the initial compliance period, we may be eligible for additional time to regain compliance. To qualify, we will be required to meet the continued listing requirement for market value of our publicly held shares and all other Nasdaq initial listing standards, except the bid price requirement, and will need to provide written notice to Nasdaq of our intention to cure the deficiency during the second compliance period. If we meet these requirements, we expect that Nasdaq will grant us an additional 180 calendar days to regain compliance with the minimum bid price requirement. If it appears to Nasdaq that we will not be able to cure the deficiency, or if we are otherwise not eligible, we expect that Nasdaq will notify us that our common stock will be subject to delisting. We will have the right to appeal a determination to delist our common stock, and our common stock would remain listed on The Nasdaq Capital Market until the completion of the appeal process. We intend to actively monitor the minimum bid price of our common stock and may, as appropriate, consider available options to regain compliance with the Rule.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Statements and terms such as “expect”, “anticipate”, “estimate”, “plan”, “believe” and words of similar import regarding our expectations as to the development and effectiveness of our technologies, the potential demand for our products, and other aspects of our present and future business operations, constitute forward-looking statements within the meaning of the Private Securities Litigation Reform Act of 1995.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readers should specifically consider the various factors contained in the Company’s Annual Report on Form 10-K for the fiscal year ended December 31, 2019, filed with the SEC on March 25, 2020, which factors include, without limitation, plans and objectives of management for future operations or programs or proposed new products or services; changes in the course of research and development activities and in clinical trials; possible changes in cost and timing of development and testing; possible changes in capital structure, financial condition, working capital needs and other financial items; changes in approaches to medical treatment; clinical trial analysis and future plans relating thereto; our ability to realize the full extent of the anticipated benefits of our acquisition of substantially all of the assets of EGEN, Inc., including achieving operational cost savings and synergies in light of any delays we may encounter in the integration process and additional unforeseen expenses; introduction of new products by others; possible licenses or acquisitions of other technologies, assets or businesses; and possible actions by customers, suppliers, partners, competitors and regulatory authorities. These and other risks and uncertainties could cause actual results to differ materially from those indicated by forward-looking statements.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discussion of risks and uncertainties set forth in this Quarterly Report on Form 10-Q and in our most recent Annual Report on Form 10-K, as well as in other filings with the SEC, is not a complete or exhaustive list of all risks facing the Company at any particular point in time. We operate in a highly competitive, highly regulated and rapidly changing environment and our business is constantly evolving.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We disclaim any obligation to revise or update any forward-looking statement that may be made from time to time by us or on our behalf.</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Clinical Overview</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Celsion is a fully integrated oncology company focused on developing a portfolio of innovative cancer treatments, including immunotherapies, DNA-based therapies and directed chemotherapies. The Company’s product pipeline includes GEN-1, a DNA-based immunotherapy for the localized treatment of</w:t>
      </w:r>
    </w:p>
    <w:p>
      <w:pPr>
        <w:jc w:val="both"/>
        <w:spacing w:after="0" w:line="244" w:lineRule="auto"/>
        <w:rPr>
          <w:sz w:val="20"/>
          <w:szCs w:val="20"/>
          <w:color w:val="auto"/>
        </w:rPr>
      </w:pPr>
      <w:r>
        <w:rPr>
          <w:rFonts w:ascii="Arial" w:cs="Arial" w:eastAsia="Arial" w:hAnsi="Arial"/>
          <w:sz w:val="17"/>
          <w:szCs w:val="17"/>
          <w:color w:val="auto"/>
        </w:rPr>
        <w:t>ovarian cancer and ThermoDox</w:t>
      </w:r>
      <w:r>
        <w:rPr>
          <w:rFonts w:ascii="Arial" w:cs="Arial" w:eastAsia="Arial" w:hAnsi="Arial"/>
          <w:sz w:val="28"/>
          <w:szCs w:val="28"/>
          <w:color w:val="auto"/>
          <w:vertAlign w:val="superscript"/>
        </w:rPr>
        <w:t>®</w:t>
      </w:r>
      <w:r>
        <w:rPr>
          <w:rFonts w:ascii="Arial" w:cs="Arial" w:eastAsia="Arial" w:hAnsi="Arial"/>
          <w:sz w:val="17"/>
          <w:szCs w:val="17"/>
          <w:color w:val="auto"/>
        </w:rPr>
        <w:t>, a proprietary heat-activated liposomal encapsulation of doxorubicin, currently in Phase III development for the treatment of primary liver cancer and in development for other cancer indications. Celsion has two feasibility stage platform technologies for the development of novel nucleic acid-based immunotherapies and other anti-cancer DNA or RNA therapies. Both are novel synthetic, non-viral vectors with demonstrated capability in nucleic acid cellular transfection. With these technologies we are working to develop and commercialize more efficient, effective, and targeted oncology therapies that maximize efficacy while minimizing side effects common to cancer treatments.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ThermoDox</w:t>
      </w:r>
      <w:r>
        <w:rPr>
          <w:rFonts w:ascii="Arial" w:cs="Arial" w:eastAsia="Arial" w:hAnsi="Arial"/>
          <w:sz w:val="29"/>
          <w:szCs w:val="29"/>
          <w:b w:val="1"/>
          <w:bCs w:val="1"/>
          <w:i w:val="1"/>
          <w:iCs w:val="1"/>
          <w:color w:val="auto"/>
          <w:vertAlign w:val="superscript"/>
        </w:rPr>
        <w:t>®</w:t>
      </w:r>
    </w:p>
    <w:p>
      <w:pPr>
        <w:spacing w:after="0" w:line="139"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being evaluated in a Phase III clinical trial for primary liver cancer, which we call the OPTIMA Study, which was initiated in 2014.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liposomal encapsulation of doxorubicin, an approved and frequently used oncology drug for the treatment of a wide range of cancers. Localized heat at hyperthermia temperatures (greater than 40° Celsius) releases the encapsulated doxorubicin from the liposome enabling high concentrations of doxorubicin to be deposited preferentially in and around the targeted tumor.</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 xml:space="preserve">The OPTIMA Study. </w:t>
      </w:r>
      <w:r>
        <w:rPr>
          <w:rFonts w:ascii="Arial" w:cs="Arial" w:eastAsia="Arial" w:hAnsi="Arial"/>
          <w:sz w:val="18"/>
          <w:szCs w:val="18"/>
          <w:color w:val="auto"/>
        </w:rPr>
        <w:t>The OPTIMA Study represents an evaluation of ThermoDox</w:t>
      </w:r>
      <w:r>
        <w:rPr>
          <w:rFonts w:ascii="Arial" w:cs="Arial" w:eastAsia="Arial" w:hAnsi="Arial"/>
          <w:sz w:val="29"/>
          <w:szCs w:val="29"/>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combination with a first line therapy, RFA, for newly diagnosed,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intermediate stage HCC patients. HCC incidence globally is approximately 755,000 new cases per year and is the third largest cancer indication globally. Approximately 30% of newly diagnosed patients can be addressed with RFA.</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jc w:val="both"/>
        <w:spacing w:after="0" w:line="234" w:lineRule="auto"/>
        <w:rPr>
          <w:sz w:val="20"/>
          <w:szCs w:val="20"/>
          <w:color w:val="auto"/>
        </w:rPr>
      </w:pPr>
      <w:r>
        <w:rPr>
          <w:rFonts w:ascii="Arial" w:cs="Arial" w:eastAsia="Arial" w:hAnsi="Arial"/>
          <w:sz w:val="18"/>
          <w:szCs w:val="18"/>
          <w:color w:val="auto"/>
        </w:rPr>
        <w:t>On February 24, 2014, we announced that the United States Food and Drug Administration (the “FDA”) provided clearance for the OPTIMA Study, which is a pivotal, double-blind, placebo-controlled Phase III trial of ThermoDox</w:t>
      </w:r>
      <w:r>
        <w:rPr>
          <w:rFonts w:ascii="Arial" w:cs="Arial" w:eastAsia="Arial" w:hAnsi="Arial"/>
          <w:sz w:val="29"/>
          <w:szCs w:val="29"/>
          <w:color w:val="auto"/>
          <w:vertAlign w:val="superscript"/>
        </w:rPr>
        <w:t>®</w:t>
      </w:r>
      <w:r>
        <w:rPr>
          <w:rFonts w:ascii="Arial" w:cs="Arial" w:eastAsia="Arial" w:hAnsi="Arial"/>
          <w:sz w:val="18"/>
          <w:szCs w:val="18"/>
          <w:color w:val="auto"/>
        </w:rPr>
        <w:t>, in combination with standardized RFA, for the treatment of primary liver cancer. The trial design of the OPTIMA Study is based on the comprehensive analysis of data from an earlier clinical trial called the HEAT Study (the “HEAT Study”). The OPTIMA Study is supported by a hypothesis developed from an overall survival analysis of a large subgroup of patients from the HEAT Study.</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Post-hoc data analysis from our earlier Phase III HEAT Study suggest that ThermoDox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may substantially improve OS, when compared to the control group, in patients if their lesions undergo a 45-minute RFA procedure standardized for a lesion greater than 3 cm in diameter. Data from nine OS sweeps have been conducted since the top line progression free survival (“PFS”) data from the HEAT Study were announced in January 2013, with each data set demonstrating substantial improvement in clinical benefit over the control group with statistical significance. On August 15, 2016, we announced updated results from its final retrospective OS analysis of the data from the HEAT Study. These results demonstrated that in a large, well bounded, subgroup of patients with a single lesion (n=285, 41% of the HEAT Study patients), treatment with a combination of ThermoDox® and optimized RFA provided an average 54% risk improvement in OS compared to optimized RFA alone. The Hazard Ratio (“HR”) at this analysis is 0.65 (95% CI 0.45 - 0.94) with a p-value of 0.02. Median OS for the ThermoDox® group has been reached which translates into a two-year survival benefit over the optimized RFA group (projected to be greater than 80 months for the ThermoDox® plus optimized RFA group compared to less than 60 months projection for the optimized RFA only group).</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While this information should be viewed with caution since it is based on a retrospective analysis of a subgroup, we also conducted additional analyses that further strengthen the evidence for the HEAT Study subgroup. We commissioned an independent computational model at the University of South Carolina Medical School. The results unequivocally indicate that longer RFA heating times correlate with significant increases in doxorubicin concentration around the RFA treated tissue. In addition, we conducted a prospective preclinical study in 22 pigs using two different manufacturers of RFA and human equivalent doses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that clearly support the relationship between increased heating duration and doxorubicin concentrations.</w:t>
      </w:r>
    </w:p>
    <w:p>
      <w:pPr>
        <w:spacing w:after="0" w:line="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OPTIMA Study was designed with extensive input from globally recognized HCC researchers and expert clinicians and after receiving formal written feedback from the FDA. The OPTIMA Study was designed to enroll up to 550 patients globally at approximately 65 clinical sites in the U.S., Canada,</w:t>
      </w:r>
    </w:p>
    <w:p>
      <w:pPr>
        <w:jc w:val="both"/>
        <w:spacing w:after="0" w:line="231" w:lineRule="auto"/>
        <w:rPr>
          <w:sz w:val="20"/>
          <w:szCs w:val="20"/>
          <w:color w:val="auto"/>
        </w:rPr>
      </w:pPr>
      <w:r>
        <w:rPr>
          <w:rFonts w:ascii="Arial" w:cs="Arial" w:eastAsia="Arial" w:hAnsi="Arial"/>
          <w:sz w:val="18"/>
          <w:szCs w:val="18"/>
          <w:color w:val="auto"/>
        </w:rPr>
        <w:t>European Union (EU), China and other countries in the Asia-Pacific region and will evaluate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combination with standardized RFA, which will require a minimum of 45 minutes across all investigators and clinical sites for treating lesions three to seven centimeters, versus standardized RFA alone. The primary endpoint for this clinical trial is overall survival (“OS”), and the secondary endpoints are progression free survival and safety. The statistical plan calls for two interim efficacy analyses by an independent Data Monitoring Committee (“DMC”). The Company completed enrollment of 556 patients in the Phase III OPTIMA Study in August 2018.</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18, 2018, we announced that the DMC for the OPTIMA Study completed its last scheduled review of all patients enrolled in the trial and unanimously recommended that the OPTIMA Study continue according to protocol to its final data readout. The DMC’s recommendation was based on the Committee’s assessment of safety and data integrity of all patients randomized in the trial as of October 4, 2018. The DMC reviewed study data at regular intervals throughout the patient enrollment period, with the primary responsibilities of ensuring the safety of all patients enrolled in the study, the quality of the data collected, and the continued scientific validity of the study design. As part of its review of all 556 patients enrolled into the trial, the DMC evaluated a quality matrix relating to the total clinical data set, confirming the timely collection of data, that all data are current as well as other data collection and quality criteria.</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August 5, 2019, the Company announced that the prescribed number of OS events had been reached for the first prespecified interim analysis of the OPTIMA Phase III Study. Following preparation of the data, the first interim analysis was conducted by the DMC on November 1, 2019. This timeline was consistent with the Company’s stated expectations and is necessary to provide a full and comprehensive data set that may represent the potential for a successful trial outcome. In accordance with the statistical plan, this initial interim analysis has a target of 118 events, or 60% of the total number required for the final analysis. At the time of the data cutoff, the Company received reports of 128 events. The hazard ratio for success at 128 events is approximately 0.63, which represents a 37% reduction in the risk of death compared with RFA alone and is consistent with the 0.65 hazard ratio that was observed in the prospective HEAT Study subgroup, which demonstrated a two-year overall survival advantage and a median time to death of more than seven and a half years.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jc w:val="both"/>
        <w:spacing w:after="0" w:line="258" w:lineRule="auto"/>
        <w:rPr>
          <w:sz w:val="20"/>
          <w:szCs w:val="20"/>
          <w:color w:val="auto"/>
        </w:rPr>
      </w:pPr>
      <w:r>
        <w:rPr>
          <w:rFonts w:ascii="Arial" w:cs="Arial" w:eastAsia="Arial" w:hAnsi="Arial"/>
          <w:sz w:val="16"/>
          <w:szCs w:val="16"/>
          <w:color w:val="auto"/>
        </w:rPr>
        <w:t>On August 13, 2019, the Company announced that results from an independent analysis of the Company’s ThermoDox</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HEAT Study conducted by the National Institutes of Health (NIH) were published in the peer-reviewed publication, </w:t>
      </w:r>
      <w:r>
        <w:rPr>
          <w:rFonts w:ascii="Arial" w:cs="Arial" w:eastAsia="Arial" w:hAnsi="Arial"/>
          <w:sz w:val="16"/>
          <w:szCs w:val="16"/>
          <w:i w:val="1"/>
          <w:iCs w:val="1"/>
          <w:color w:val="auto"/>
        </w:rPr>
        <w:t>Journal of Vascular and Interventional Radiology</w:t>
      </w:r>
      <w:r>
        <w:rPr>
          <w:rFonts w:ascii="Arial" w:cs="Arial" w:eastAsia="Arial" w:hAnsi="Arial"/>
          <w:sz w:val="16"/>
          <w:szCs w:val="16"/>
          <w:color w:val="auto"/>
        </w:rPr>
        <w:t>. The analysis was conducted by the intramural research program of the NIH and the NIH Center for Interventional Oncology (CIO), with the full data set from the Company’s HEAT Study. The analysis evaluated the full data set to determine if there was a correlation between baseline tumor volume and radiofrequency ablation</w:t>
      </w:r>
    </w:p>
    <w:p>
      <w:pPr>
        <w:jc w:val="both"/>
        <w:spacing w:after="0" w:line="221" w:lineRule="auto"/>
        <w:rPr>
          <w:sz w:val="20"/>
          <w:szCs w:val="20"/>
          <w:color w:val="auto"/>
        </w:rPr>
      </w:pPr>
      <w:r>
        <w:rPr>
          <w:rFonts w:ascii="Arial" w:cs="Arial" w:eastAsia="Arial" w:hAnsi="Arial"/>
          <w:sz w:val="18"/>
          <w:szCs w:val="18"/>
          <w:color w:val="auto"/>
        </w:rPr>
        <w:t>(RFA) heating time (minutes/tumor volume in milliliters), with or without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treatment, for patients with HCC. The NIH analysis was conducted under the direction of Dr. Bradford Wood, MD, Director, NIH Center for Interventional Oncology and Chief, NIH Clinical Center Interventional Radiology.</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article titled, “</w:t>
      </w:r>
      <w:r>
        <w:rPr>
          <w:rFonts w:ascii="Arial" w:cs="Arial" w:eastAsia="Arial" w:hAnsi="Arial"/>
          <w:sz w:val="16"/>
          <w:szCs w:val="16"/>
          <w:i w:val="1"/>
          <w:iCs w:val="1"/>
          <w:color w:val="auto"/>
        </w:rPr>
        <w:t>RFA Duration Per Tumor Volume May Correlate With Overall Survival in Solitary Hepatocellular Carcinoma Patients Treated With RFA</w:t>
      </w:r>
      <w:r>
        <w:rPr>
          <w:rFonts w:ascii="Arial" w:cs="Arial" w:eastAsia="Arial" w:hAnsi="Arial"/>
          <w:sz w:val="16"/>
          <w:szCs w:val="16"/>
          <w:color w:val="auto"/>
        </w:rPr>
        <w:t xml:space="preserve"> </w:t>
      </w:r>
      <w:r>
        <w:rPr>
          <w:rFonts w:ascii="Arial" w:cs="Arial" w:eastAsia="Arial" w:hAnsi="Arial"/>
          <w:sz w:val="16"/>
          <w:szCs w:val="16"/>
          <w:i w:val="1"/>
          <w:iCs w:val="1"/>
          <w:color w:val="auto"/>
        </w:rPr>
        <w:t>Plus Lyso-thermosensitive Liposomal Doxorubicin</w:t>
      </w:r>
      <w:r>
        <w:rPr>
          <w:rFonts w:ascii="Arial" w:cs="Arial" w:eastAsia="Arial" w:hAnsi="Arial"/>
          <w:sz w:val="16"/>
          <w:szCs w:val="16"/>
          <w:color w:val="auto"/>
        </w:rPr>
        <w:t>,” discussed the NIH analysis of results from 437 patients in the HEAT Study (all patients with a single</w:t>
      </w:r>
      <w:r>
        <w:rPr>
          <w:rFonts w:ascii="Arial" w:cs="Arial" w:eastAsia="Arial" w:hAnsi="Arial"/>
          <w:sz w:val="16"/>
          <w:szCs w:val="16"/>
          <w:i w:val="1"/>
          <w:iCs w:val="1"/>
          <w:color w:val="auto"/>
        </w:rPr>
        <w:t xml:space="preserve"> </w:t>
      </w:r>
      <w:r>
        <w:rPr>
          <w:rFonts w:ascii="Arial" w:cs="Arial" w:eastAsia="Arial" w:hAnsi="Arial"/>
          <w:sz w:val="16"/>
          <w:szCs w:val="16"/>
          <w:color w:val="auto"/>
        </w:rPr>
        <w:t>lesion representing 62.4% of the study population). The key finding was that increased RFA heating time per tumor volume significantly improved overall</w:t>
      </w:r>
    </w:p>
    <w:p>
      <w:pPr>
        <w:spacing w:after="0" w:line="2"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survival (OS) in patients with single-lesion HCC who were treated with RFA plus ThermoDox</w:t>
      </w:r>
      <w:r>
        <w:rPr>
          <w:rFonts w:ascii="Arial" w:cs="Arial" w:eastAsia="Arial" w:hAnsi="Arial"/>
          <w:sz w:val="26"/>
          <w:szCs w:val="26"/>
          <w:color w:val="auto"/>
          <w:vertAlign w:val="superscript"/>
        </w:rPr>
        <w:t>®</w:t>
      </w:r>
      <w:r>
        <w:rPr>
          <w:rFonts w:ascii="Arial" w:cs="Arial" w:eastAsia="Arial" w:hAnsi="Arial"/>
          <w:sz w:val="16"/>
          <w:szCs w:val="16"/>
          <w:color w:val="auto"/>
        </w:rPr>
        <w:t>, compared to patients treated with RFA alone. A one-unit increase in RFA duration per tumor volume was shown to result in about a 20% improvement in OS for patients administered ThermoDox</w:t>
      </w:r>
      <w:r>
        <w:rPr>
          <w:rFonts w:ascii="Arial" w:cs="Arial" w:eastAsia="Arial" w:hAnsi="Arial"/>
          <w:sz w:val="26"/>
          <w:szCs w:val="26"/>
          <w:color w:val="auto"/>
          <w:vertAlign w:val="superscript"/>
        </w:rPr>
        <w:t>®</w:t>
      </w:r>
      <w:r>
        <w:rPr>
          <w:rFonts w:ascii="Arial" w:cs="Arial" w:eastAsia="Arial" w:hAnsi="Arial"/>
          <w:sz w:val="16"/>
          <w:szCs w:val="16"/>
          <w:color w:val="auto"/>
        </w:rPr>
        <w:t>, compared to</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RFA alone. The authors conclude that increasing RFA heating time in combination with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significantly improves OS and establishes an improvement of over two years versus the control arm when the heating time per milliliter of tumor is greater than 2.5 minutes. This finding is consistent with the Company’s own results, which defined the optimized RFA procedure as a 45-minute treatment for tumors with a diameter of 3 centimeters. Thus, the NIH analysis lends support to the hypothesis underpinning the OPTIMA Study.</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November 4, 2019, the Company announced that the DMC unanimously recommended the OPTIMA Study continue according to protocol. The recommendation was based on a review of blinded safety and data integrity from 556 patients enrolled in the Company’s multinational, double-blind, placebo-controlled pivotal Phase III OPTIMA Study. The DMC’s pre-planned interim efficacy review followed 128 patient events, or deaths, which occurred in August 2019. Data presented demonstrated that PFS and OS data appear to be tracking with patient data observed at a similar point in the Company’s subgroup of patients followed prospectively in the earlier Phase III HEAT Study, upon which the OPTIMA Study is based.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data review demonstrated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OPTIMA Study patient demographics and risk factors are consistent with what the Company observed in the HEAT Study subgroup with all data quality metrics meeting expectations.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Median PFS for the OPTIMA Study reached 17 months as of August 2019. These blinded data compare favorably with 16 months median PFS for all 285 patients in the HEAT Study subgroup of patients treated with RFA &gt;45 minutes.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Median OS for the OPTIMA Study has not been reached as of August 5, 2019, however median OS appears to be consistent with the HEAT Study subgroup of patients treated with RFA &gt;45 minutes and followed prospectively for overall survival.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OPTIMA Study has lost only 4 patients to follow-up from the initiation of the trial in September 2014 through August 2019 while the trial design allows for 3% risk for loss per year, which at this point would have exceeded 60 patients.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35" w:name="page36"/>
    <w:bookmarkEnd w:id="35"/>
    <w:p>
      <w:pPr>
        <w:jc w:val="both"/>
        <w:spacing w:after="0" w:line="275" w:lineRule="auto"/>
        <w:rPr>
          <w:sz w:val="20"/>
          <w:szCs w:val="20"/>
          <w:color w:val="auto"/>
        </w:rPr>
      </w:pPr>
      <w:r>
        <w:rPr>
          <w:rFonts w:ascii="Arial" w:cs="Arial" w:eastAsia="Arial" w:hAnsi="Arial"/>
          <w:sz w:val="17"/>
          <w:szCs w:val="17"/>
          <w:color w:val="auto"/>
        </w:rPr>
        <w:t>Unblinded PFS and OS were tracking similarly to the subgroup of patients who received more than 45 minutes of RFA in our HEAT Study and followed prospectively for more than three years. This subgroup in the HEAT Study demonstrated a 2-year overall survival advantage and a median time to death of more than 7 ½ years. This tracking appears to bode well for success at the second of two pre-planned interim efficacy analysis, which is intended after a minimum of 158 patient deaths and is projected to occur during the second quarter of 2020. The hazard ratio for success at 158 events is 0.70. This is below the hazard ratio of 0.65 observed in the HEAT Study subgroup of patients treated with RFA &gt; 45 minutes.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15, 2020, the Company announced that the prescribed minimum number of events of 158 patient deaths had been reached for the second pre-specified interim analysis of the OPTIMA Phase III Study. The hazard ratio for success at 158 deaths is 0.70, which represents a 30% reduction in the risk of death compared with RFA alone.</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July 13, 2020, the Company announced that it has received a recommendation from the DMC to consider stopping the global OPTIMA Study. The recommendation was made following the second pre-planned interim safety and efficacy analysis by the DMC on July 9, 2020. The DMC analysis found that the pre-specified boundary for stopping the trial for futility of 0.900 was crossed with an actual value of 0.903. However, the 2-sided p-value of 0.524 for this analysis provides uncertainty, subsequently, the DMC has left the final decision of whether or not to stop the OPTIMA Study to Celsion. There were no safety concerns noted during the interim analysis. The Company intends to follow the advice of the DMC and will consider our options either to stop the study or continue to follow patients after a thorough review of the data, and an evaluation of our probability of success. Timing for this decision is made less urgent by the fact that the OPTIMA Study has been fully enrolled since August 2018 and that the vast majority of the trial expenses have already been incurred. On August 4, 2020, the Company issued a press release announcing it will continue following patients for overall survival (“OS”), noting that the unexpected and marginally crossed futility boundary, suggested by the Kaplan-Meier analysis at the second interim analysis on July 9, 2020, may be associated with a data maturity issue.</w:t>
      </w:r>
    </w:p>
    <w:p>
      <w:pPr>
        <w:spacing w:after="0" w:line="18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On October 12, 2020, the Company issued a letter to stockholders providing an update on the ongoing data analysis from its Phase III OPTIMA Study with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as well as growing interest among clinical investigators in conducting studies with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as a monotherapy or in combination with other therapies. In summary, the Company will continue to report findings from these independent statistical analyses before the end of the year, either or both of which will guide our decision to continue to follow patients to the final analysis at 197 or more deaths, a milestone that should be reached sometime in mid-2021.</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The HEAT Study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January 31, 2013, the Company announced that the HEAT Study, ThermoDox® in combination with RFA, did not meet the primary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endpoint, PFS, in the Phase III clinical trial enrolling 701 patients with primary liver cancer. This determination was made after conferring with the HEAT Study independent DMC, that the HEAT Study did not meet the goal of demonstrating a clinically meaningful improvement in progression free survival. In the trial, ThermoDox® was well-tolerated with no unexpected serious adverse events. Following the announcement of the HEAT Study results, we continued to follow patients for OS, the secondary endpoint of the HEAT Study. We have conducted a comprehensive analysis of the data from the HEAT Study to assess the future strategic value and development strategy for ThermoDox®.</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GEN-1</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GEN-1 is a DNA-based immunotherapeutic product candidate for the localized treatment of ovarian cancer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tumours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GEN-1 is based on the following.</w:t>
      </w:r>
    </w:p>
    <w:p>
      <w:pPr>
        <w:spacing w:after="0" w:line="178"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Loco-regional production of the potent cytokine IL-12 avoids toxicities and poor pharmacokinetics associated with systemic delivery of recombinant IL-12;</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Persistent local delivery of IL-12 lasts up to one week and dosing can be repeated;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Ideal for long-term maintenance therapy.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GEN-I OVATION Study. </w:t>
      </w:r>
      <w:r>
        <w:rPr>
          <w:rFonts w:ascii="Arial" w:cs="Arial" w:eastAsia="Arial" w:hAnsi="Arial"/>
          <w:sz w:val="16"/>
          <w:szCs w:val="16"/>
          <w:color w:val="auto"/>
        </w:rPr>
        <w:t>In February 2015, we announced that the FDA accepted, without objection, the Phase I dose-escalation clinical trial of GEN-1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combination with the standard of care in neoadjuvant ovarian cancer (the “OVATION Study”). On September 30, 2015, we announced enrollment of the first patient in the OVATION Study. The OVATION Study was designed to (i) identify a safe, tolerable and potentially therapeutically active dose of GEN-1 by recruiting and maximizing an immune response; (ii) to enroll three to six patients per dose level and will evaluate safety and efficacy and (iii) attempt to define an optimal dose for a follow-on Phase I/II study. In addition, the OVATION Study establishes a unique opportunity to assess how cytokine-based compounds such as GEN-1, directly affect ovarian cancer cells and the tumor microenvironment in newly diagnosed patients. The study was designed to characterize the nature of the immune response triggered by GEN-1 at various levels of the patients’ immune system, including:</w:t>
      </w:r>
    </w:p>
    <w:p>
      <w:pPr>
        <w:spacing w:after="0" w:line="166"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immunosuppressive cytokines associated with tumor suppression and growth, respectively;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GEN-1-treated tumor tissue.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initiated the OVATION Study at four clinical sites at the University of Alabama at Birmingham, Oklahoma University Medical Center, Washington University in St. Louis, and the Medical College of Wisconsin. During 2016 and 2017, we announced data from the first fourteen patients in the OVATION Study, who completed treatment. On October 3, 2017, we announced final clinical and translational research data from the OVATION Study.</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Key translational research findings from all evaluable patients are consistent with the earlier reports from partial analysis of the data and are summarized below:</w:t>
      </w:r>
    </w:p>
    <w:p>
      <w:pPr>
        <w:spacing w:after="0" w:line="170" w:lineRule="exact"/>
        <w:rPr>
          <w:sz w:val="20"/>
          <w:szCs w:val="20"/>
          <w:color w:val="auto"/>
        </w:rPr>
      </w:pPr>
    </w:p>
    <w:p>
      <w:pPr>
        <w:jc w:val="both"/>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intraperitoneal treatment of GEN-1 in conjunction with neoadjuvant chemotherapy resulted in dose 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are consistent with an IL-12 based immune mechanism;</w:t>
      </w:r>
    </w:p>
    <w:p>
      <w:pPr>
        <w:spacing w:after="0" w:line="18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Consistent with the previous partial reports, the effects observed in the IHC analysis were pronounced decreases in the density of immunosuppressive T-cell signals (Foxp3, PD-1, PDL-1, IDO-1) and increases in CD8+ cells in the tumor microenvironment;</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ratio of CD8+ cells to immunosuppressive cells was increased in approximately 75% of patients suggesting an overall shift in the tumor microenvironment from immunosuppressive to pro-immune stimulatory following treatment with GEN-1. An increase in CD8+ to immunosuppressive T-cell populations is a leading indicator and believed to be a good predictor of improved overall survival;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Analysis of peritoneal fluid by cell sorting, not reported before, shows a treatment-related decrease in the percentage of immunosuppressive T-cell (Foxp3+), which is consistent with the reduction of Foxp3+ T-cells in the primary tumor tissue, and a shift in tumor naïve CD8+ cell population to more efficient tumor killing memory effector CD8+ cells.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reported positive clinical data from the first fourteen patients who completed treatment in the OVATION Study. GEN-1 plus standard chemotherapy produced positive clinical results, with no dose limiting toxicities and positive dose dependent efficacy signals which correlate well with positive surgical outcomes as summarized below:</w:t>
      </w:r>
    </w:p>
    <w:p>
      <w:pPr>
        <w:spacing w:after="0" w:line="184" w:lineRule="exact"/>
        <w:rPr>
          <w:sz w:val="20"/>
          <w:szCs w:val="20"/>
          <w:color w:val="auto"/>
        </w:rPr>
      </w:pPr>
    </w:p>
    <w:p>
      <w:pPr>
        <w:jc w:val="both"/>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 the fourteen patients treated in the entire study, two patients demonstrated a complete response, ten patients demonstrated a partial response and two patients demonstrated stable disease, as measured by RECIST criteria. This translates to a 100% disease control rate and an 86% objective response rate (“ORR”). Of the five patients treated in the highest dose cohort, there was a 100% ORR with one complete response and four partial responses;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Fourteen patients had successful resections of their tumors, with nine patients (64%) having a complete tumor resection (“R0”), which indicates a microscopically margin-negative resection in which no gross or microscopic tumor remains in the tumor bed. Seven out of eight (88%) patients in the highest two dose cohorts experienced a R0 surgical resection. All five patients treated at the highest dose cohort experienced a R0 surgical resection; and</w:t>
      </w:r>
    </w:p>
    <w:p>
      <w:pPr>
        <w:spacing w:after="0" w:line="18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All patients experienced a clinically significant decrease in their CA-125 protein levels as of their most recent study visit. CA-125 is used to monitor certain cancers during and after treatment. CA-125 is present in greater concentrations in ovarian cancer cells than in other cells.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 2019, the Company announced final PFS results from the OVATION Study. Median PFS in patients treated per protocol (n=14) was 21 months and was 17.1 months for the intent-to-treat population (n=18) for all dose cohorts, including three patients who dropped out of the study after 13 days or less, and two patients who did not receive full NAC and GEN-1 cycles. Under the current standard of care, in women with Stage III/IV ovarian cancer undergoing NAC, the disease progresses within about 12 months on average. The results from the OVATION Study support continued evaluation of GEN-1 based on promising tumor response, as reported in the PFS data, and the ability for surgeons to completely remove visible tumor at debulking surgery. GEN-1 was well tolerated, and no dose-limiting toxicities were detected. Intraperitoneal administration of GEN-1 was feasible with broad patient acceptance.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GEN-1 OVATION 2 Study. </w:t>
      </w:r>
      <w:r>
        <w:rPr>
          <w:rFonts w:ascii="Arial" w:cs="Arial" w:eastAsia="Arial" w:hAnsi="Arial"/>
          <w:sz w:val="18"/>
          <w:szCs w:val="18"/>
          <w:color w:val="auto"/>
        </w:rPr>
        <w:t>The Company held an Advisory Board Meeting on September 27, 2017 with the clinical investigators and scientific experts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those from Roswell Park Cancer Institute, Vanderbilt University Medical School, and M.D. Anderson Cancer Center to review and finalize clinical, translational research and safety data from the Phase IB OVATION Study in order to determine the next steps forward for our GEN-1 immunotherapy program.</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November 13, 2017, the Company filed its Phase I/II clinical trial protocol with the FDA for GEN-1 for the localized treatment of ovarian cancer. The protocol is designed with a single dose escalation phase to 100 mg/m² to identify a safe and tolerable dose of GEN-1 while maximizing an immune response. The Phase I portion of the study will be followed by a continuation at the selected dose in 130 patients randomized Phase II study.</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OVATION 2 Study, patients in the GEN-1 treatment arm will receive GEN-1 plus chemotherapy pre- and post-interval debulking surgery. The OVATION 2 Study will include up to 130 patients with Stage III/IV ovarian cancer, with 12 to 15 patients in the Phase I portion and up to 118 patients in Phase II. The study is powered to show a 33% improvement in the primary endpoint, PFS, when comparing GEN-1 with neoadjuvant + adjuvant chemotherapy versus neoadjuvant + adjuvant chemotherapy alone. The PFS primary analysis will be conducted after at least 80 events have been observed or after all patients have been followed for at least 16 months, whichever is later.</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5, 2019, the Company announced that the independent Data Safety Monitoring Board (DSMB) completed its safety review of data from the first eight patients enrolled in the ongoing Phase I/II OVATION 2 Study. Based on the DSMB’s recommendation, the study will continue as planned and the Company will proceed with completing enrollment in the Phase I portion of the trial.</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Company announced encouraging initial clinical data from the first 15 patients enrolled in the ongoing Phase I/II OVATION 2 Study for patients newly diagnosed with Stage III and IV ovarian cancer. The OVATION 2 Study combines GEN-1, the Company’s IL-12 gene-mediated immunotherapy, with standard-of-care neoadjuvant chemotherapy (NACT). Following NACT, patients undergo interval debulking surgery (IDS), followed by three additional cycles of chemotherapy.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ind w:right="20"/>
        <w:spacing w:after="0" w:line="277" w:lineRule="auto"/>
        <w:rPr>
          <w:sz w:val="20"/>
          <w:szCs w:val="20"/>
          <w:color w:val="auto"/>
        </w:rPr>
      </w:pPr>
      <w:r>
        <w:rPr>
          <w:rFonts w:ascii="Arial" w:cs="Arial" w:eastAsia="Arial" w:hAnsi="Arial"/>
          <w:sz w:val="18"/>
          <w:szCs w:val="18"/>
          <w:color w:val="auto"/>
        </w:rPr>
        <w:t>GEN-1 plus standard NACT produced positive dose-dependent efficacy results, with no dose-limiting toxicities, which correlates well with successful surgical outcomes as summarized below:</w:t>
      </w:r>
    </w:p>
    <w:p>
      <w:pPr>
        <w:spacing w:after="0" w:line="170" w:lineRule="exact"/>
        <w:rPr>
          <w:sz w:val="20"/>
          <w:szCs w:val="20"/>
          <w:color w:val="auto"/>
        </w:rPr>
      </w:pPr>
    </w:p>
    <w:p>
      <w:pPr>
        <w:jc w:val="both"/>
        <w:ind w:left="660" w:hanging="328"/>
        <w:spacing w:after="0" w:line="30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Of the 15 patients treated in the Phase I portion of the OVATION 2 Study, nine patients were treated with GEN-1 at a dose of 100 mg/m² plus NACT and six patients were treated with NACT only. All 15 patients had successful resections of their tumors, with seven out of nine patients (78%) in the GEN-1 treatment arm having an R0 resection, which indicates a microscopically margin-negative resection in which no gross or microscopic tumor remains in the tumor bed. Only three out of six patients (50%) in the NACT only treatment arm had a R0 resection.</w:t>
      </w:r>
    </w:p>
    <w:p>
      <w:pPr>
        <w:spacing w:after="0" w:line="157"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When combining these results with the surgical resection rates observed in the Company’s prior Phase Ib dose-escalation trial (the OVATION 1 Study), a population of patients with inclusion criteria identical to the OVATION 2 Study, the data reflect the strong dose-dependent efficacy of adding GEN-1 to the current standard of care NACT:</w:t>
      </w:r>
    </w:p>
    <w:p>
      <w:pPr>
        <w:spacing w:after="0" w:line="183" w:lineRule="exact"/>
        <w:rPr>
          <w:rFonts w:ascii="Arial" w:cs="Arial" w:eastAsia="Arial" w:hAnsi="Arial"/>
          <w:sz w:val="18"/>
          <w:szCs w:val="18"/>
          <w:color w:val="auto"/>
        </w:rPr>
      </w:pPr>
    </w:p>
    <w:p>
      <w:pPr>
        <w:ind w:left="8620" w:hanging="202"/>
        <w:spacing w:after="0"/>
        <w:tabs>
          <w:tab w:leader="none" w:pos="8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of Patients</w:t>
      </w:r>
    </w:p>
    <w:p>
      <w:pPr>
        <w:spacing w:after="0" w:line="23"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with</w:t>
      </w:r>
    </w:p>
    <w:p>
      <w:pPr>
        <w:spacing w:after="0" w:line="9"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R0 Resections</w:t>
      </w:r>
    </w:p>
    <w:p>
      <w:pPr>
        <w:spacing w:after="0" w:line="29" w:lineRule="exact"/>
        <w:rPr>
          <w:sz w:val="20"/>
          <w:szCs w:val="20"/>
          <w:color w:val="auto"/>
        </w:rPr>
      </w:pPr>
    </w:p>
    <w:tbl>
      <w:tblPr>
        <w:tblLayout w:type="fixed"/>
        <w:tblInd w:w="660" w:type="dxa"/>
        <w:tblCellMar>
          <w:top w:w="0" w:type="dxa"/>
          <w:left w:w="0" w:type="dxa"/>
          <w:bottom w:w="0" w:type="dxa"/>
          <w:right w:w="0" w:type="dxa"/>
        </w:tblCellMar>
      </w:tblPr>
      <w:tr>
        <w:trPr>
          <w:trHeight w:val="20"/>
        </w:trPr>
        <w:tc>
          <w:tcPr>
            <w:tcW w:w="486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3"/>
        </w:trPr>
        <w:tc>
          <w:tcPr>
            <w:tcW w:w="48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0, 36, 47 mg/m² of GEN-1 plus NACT</w:t>
            </w:r>
          </w:p>
        </w:tc>
        <w:tc>
          <w:tcPr>
            <w:tcW w:w="2800" w:type="dxa"/>
            <w:vAlign w:val="bottom"/>
            <w:shd w:val="clear" w:color="auto" w:fill="CCEEFF"/>
          </w:tcPr>
          <w:p>
            <w:pPr>
              <w:ind w:left="1900"/>
              <w:spacing w:after="0" w:line="203" w:lineRule="exact"/>
              <w:rPr>
                <w:sz w:val="20"/>
                <w:szCs w:val="20"/>
                <w:color w:val="auto"/>
              </w:rPr>
            </w:pPr>
            <w:r>
              <w:rPr>
                <w:rFonts w:ascii="Arial" w:cs="Arial" w:eastAsia="Arial" w:hAnsi="Arial"/>
                <w:sz w:val="18"/>
                <w:szCs w:val="18"/>
                <w:color w:val="auto"/>
              </w:rPr>
              <w:t>n=12</w:t>
            </w:r>
          </w:p>
        </w:tc>
        <w:tc>
          <w:tcPr>
            <w:tcW w:w="13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42%</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61, 79, 100 mg/m² of GEN-1 plus NACT</w:t>
            </w:r>
          </w:p>
        </w:tc>
        <w:tc>
          <w:tcPr>
            <w:tcW w:w="2800" w:type="dxa"/>
            <w:vAlign w:val="bottom"/>
          </w:tcPr>
          <w:p>
            <w:pPr>
              <w:ind w:left="1900"/>
              <w:spacing w:after="0"/>
              <w:rPr>
                <w:sz w:val="20"/>
                <w:szCs w:val="20"/>
                <w:color w:val="auto"/>
              </w:rPr>
            </w:pPr>
            <w:r>
              <w:rPr>
                <w:rFonts w:ascii="Arial" w:cs="Arial" w:eastAsia="Arial" w:hAnsi="Arial"/>
                <w:sz w:val="18"/>
                <w:szCs w:val="18"/>
                <w:color w:val="auto"/>
              </w:rPr>
              <w:t>n=17</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r>
    </w:tbl>
    <w:p>
      <w:pPr>
        <w:spacing w:after="0" w:line="187" w:lineRule="exact"/>
        <w:rPr>
          <w:sz w:val="20"/>
          <w:szCs w:val="20"/>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objective response rate (ORR) as measured by Response Evaluation Criteria in Solid Tumors (RECIST) criteria for the 0, 36, 47 mg/m² dose GEN-1 patients were comparable, as expected, to the higher (61, 79, 100 mg/m²) dose GEN-1 patients, with both groups demonstrating an approximate 80% ORR.</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23, 2020, the Company announced that the European Medicines Agency (EMA) Committee for Orphan Medicinal Products (COMP) has recommended that GEN-1 be designated as an orphan medicinal product for the treatment of ovarian cancer. GEN-1, designed using Celsion’s proprietary TheraPlas platform technology, is an IL-12 DNA plasmid vector encased in a non-viral nanoparticle delivery system, which enables cell transfection followed by persistent, local secretion of the IL-12 protein. GEN-1 previously received orphan designation from the FDA and is currently being evaluated in a Phase I/II clinical trial (the OVATION 2 Study) for the treatment of newly diagnosed patients with Stage III and IV ovarian cancer.</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March 26, 2020, the Company announced with Medidata, a Dassault Systèmes company, that examining matched patient data provided by Medidata in a synthetic control arm (SCA) with results from the Company’s completed Phase Ib dose-escalating OVATION I Study with GEN-1 in Stage III/IV ovarian cancer patients showed positive results in progression-free survival (PFS). The hazard ratio (HR) was 0.53 in the intent-to-treat (ITT) group, showing strong signals of efficacy. GEN-1, designed using Celsion’s proprietary TheraPlas platform technology, is an IL-12 DNA plasmid vector encased in a non-viral nanoparticle delivery system, which enables cell transfection followed by persistent, local secretion of the IL-12 protein. Celsion believes these data may warrant consideration of strategies to accelerate the clinical development program for GEN-1 in newly diagnosed, advanced ovarian cancer patients by the FDA. In its March 2019 discussion with Celsion, the FDA noted that preliminary findings from the Phase Ib OVATION I Study were exciting but lacked a control group to evaluate GEN-1’s independent impact on impressive tumor response, surgical results and PFS. The FDA encouraged the Company to continue its GEN-1 development program and consult with FDA with new findings that may have a bearing on designations such as Fast Track and Breakthrough Therapy. SCAs have the potential to revolutionize clinical trials in certain oncology indications and some other diseases where a randomized control is not ethical or practical. SCAs are formed by carefully selecting control patients from historical clinical trials to match the demographic and disease characteristics of the patients treated with the new investigational product. SCAs have been shown to mimic the results of traditional randomized controls so that the treatment effects of an investigational product can be visible by comparison to the SCA. SCAs can help advance the scientific validity of single arm trials, and in certain indications, reduce time and cost, and expose fewer patients to placebos or existing standard-of-care treatments that might not be effective for them.</w:t>
      </w:r>
    </w:p>
    <w:p>
      <w:pPr>
        <w:spacing w:after="0" w:line="18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July 27, 2020, the Company announced the randomization of the first two patients in the Phase II portion of the Phase I/II OVATION 2 Study with GEN-1 in advanced ovarian cancer. The Company anticipates completing enrolment of up to 118 patients in the third quarter of 2021. Because this is an open-label study, the Company intends to provide clinical updates throughout the course of treatment including response rates and surgical resection scores.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TheraPlas Technology Platform. </w:t>
      </w:r>
      <w:r>
        <w:rPr>
          <w:rFonts w:ascii="Arial" w:cs="Arial" w:eastAsia="Arial" w:hAnsi="Arial"/>
          <w:sz w:val="17"/>
          <w:szCs w:val="17"/>
          <w:color w:val="auto"/>
        </w:rPr>
        <w:t>TheraPlas is a technology platform for the delivery of DNA and messenger RNA (“mRNA”) therapeutics via synthetic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DNA/RNA from degradation and promote trafficking into cells and through intracellular compartments. We designed the delivery system of TheraPlas by chemically modifying the low molecular weight polymer to improve its gene transfer activity without increasing toxicity. We believe TheraPlas is a viable alternative to current approaches to gene delivery due to several distinguishing characteristics, including enhanced molecular versatility that allows for complex modifications to improve activity and safety.</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Technology Development and Licensing Agreements. </w:t>
      </w:r>
      <w:r>
        <w:rPr>
          <w:rFonts w:ascii="Arial" w:cs="Arial" w:eastAsia="Arial" w:hAnsi="Arial"/>
          <w:sz w:val="18"/>
          <w:szCs w:val="18"/>
          <w:color w:val="auto"/>
        </w:rPr>
        <w:t>Our current efforts and resources are applied on the development and commercialization of cancer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drugs including tumor-targeting chemotherapy treatments using focused heat energy in combination with heat-activated drug delivery systems, immunotherapies, and RNA-based therapies.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8, 2016, we signed the GEN-1 Agreement with Hisun to pursue an expanded partnership for the technology transfer relating to the clinical and commercial manufacture and supply of GEN-1, Celsion’s proprietary gene mediated, IL-12 immunotherapy, for the China territory, with the option to expand into other countries in the rest of the world after all necessary regulatory approvals are obtained. The GEN-1 Agreement will help to support supply for both ongoing and planned clinical studies in the U.S. and for potential future studies of GEN-1 in China. GEN-1 is currently being evaluated by Celsion in first line ovarian cancer patients.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2012, Celsion and Hisun signed a long-term commercial supply agreement for the production of ThermoDox®. Hisun is one the largest manufacturers of chemotherapy agents globally, including doxorubicin. In July 2013, the ThermoDox® collaboration was expanded to focus on next generation liposomal formulation development with the goal of creating safer, more efficacious versions of marketed cancer chemotherapeutics. During 2015, Hisun successfully completed the manufacture of three registration batches for ThermoDox® and has obtained regulatory approvals to supply ThermoDox® to participating clinical trial sites in all of the countries of South East Asia and North America, as well as to the European Union countries allowing for early access to ThermoDox®. The future manufacturing of clinical and commercial supplies by Hisun will result in a cost structure allowing Celsion to profitably access all global markets, including third world countries, and help accelerate the Company’s product development program in China for ThermoDox® in primary liver cancer and other approved indications.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Plan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“Part II, Item 1A. Risk Factors” in this Quarterly Report on Form 10-Q.</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U.S. Food and Drug Administration. The Company has not generated significant revenue and has incurred significant net losses in each year since our inception. As of September 30, 2020, the Company has incurred approximately $309 million of cumulative net losses and we had approximately $18.3 million in cash, investment securities, and interest receivable.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new product candidates. There can be no assurance that the Company will be able to commercialize its technology successfully or that profitability will ever be achieved. The operating results of the Company have fluctuated significantly in the past.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COVID-19 Pandemic</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2020, the World Health Organization (“WHO”) declared an outbreak of coronavirus, COVID-19, to be a “Public Health Emergency of International Concern,” and the U.S. Department of Health and Human Services declared a public health emergency to aid the U.S. healthcare community in responding to COVID-19. This virus has spread to over 100 countries, including the United States. Governments and businesses around the world have taken unprecedented actions to mitigate the spread of COVID-19, including, but not limited to, shelter-in-place orders, quarantines, significant restrictions on travel, as well as restrictions that prohibit many employees from going to work. Uncertainty with respect to the economic impacts of the pandemic has introduced significant volatility in the financial markets. The Company did not observe significant impacts on its business or results of operations for the three-month and nine-month periods ended September 30, 2020 due to the global emergence of COVID-19. While the extent to which COVID-19 impacts the Company’s future results will depend on future developments, the pandemic and associated economic impacts could result in a material impact to the Company’s future financial condition, results of operations and cash flows.</w:t>
      </w:r>
    </w:p>
    <w:p>
      <w:pPr>
        <w:spacing w:after="0" w:line="1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ability to raise additional capital may be adversely impacted by potential worsening global economic conditions and the recent disruptions to, and volatility in, financial markets in the United States and worldwide resulting from the ongoing COVID-19 pandemic. The disruptions caused by COVID-19 may also disrupt the clinical trials process and enrolment of patients. This may delay commercialization efforts. The Company continues to monitor its operating activities in light of these events and it is reasonably possible that the virus could have a negative effect on the Company’s financial condition and results of operations. The specific impact, if any, is not readily determinable as of the date of these financial statements.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the Company has entered into research and development agreements;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product candidates;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July 13, 2020, the Company announced that it has received a recommendation from the independent Data Monitoring Committee (DMC) to consider stopping the global Phase III OPTIMA Study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combination with radiofrequency ablation (RFA) for the treatment of hepatocellular carcinoma (HCC), or primary liver cancer. The recommendation was made following the second pre-planned interim safety and efficacy analysis by the DMC on July 9, 2020. The DMC’s analysis found that the pre-specified boundary for stopping the trial for futility of 0.900 was crossed with an actual value of 0.903. The Company followed the advice of the DMC and considered its options to either stop the study or continue to follow patients after a thorough review of the data, and an evaluation of the probability of success. Timing for this decision was made less urgent by the fact that the OPTIMA Study has been fully enrolled since August 2018 and that the vast majority of the trial expenses have already been incurred. On August 4, 2020, the Company issued a press release announcing it will continue following patients for overall survival (“OS”), noting that the unexpected and marginally crossed futility boundary, suggested by the Kaplan-Meier analysis at the second interim analysis on July 9, 2020, may be associated with a data maturity issue. On October 12, 2020, the Company issued a letter to stockholders providing an update on the ongoing data analysis from its Phase III OPTIMA</w:t>
      </w:r>
    </w:p>
    <w:p>
      <w:pPr>
        <w:spacing w:after="0" w:line="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Study with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as well as growing interest among clinical investigators in conducting studies with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as a monotherapy or in combination with other therapies. In summary, the Company will continue to report findings from these independent statistical analyses before the end of the year, either or both of which will guide our decision to continue to follow patients to the final analysis at 197 or more deaths, a milestone that should be reached sometime in mid-2021.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jc w:val="both"/>
        <w:spacing w:after="0" w:line="273" w:lineRule="auto"/>
        <w:rPr>
          <w:sz w:val="20"/>
          <w:szCs w:val="20"/>
          <w:color w:val="auto"/>
        </w:rPr>
      </w:pPr>
      <w:r>
        <w:rPr>
          <w:rFonts w:ascii="Arial" w:cs="Arial" w:eastAsia="Arial" w:hAnsi="Arial"/>
          <w:sz w:val="17"/>
          <w:szCs w:val="17"/>
          <w:color w:val="auto"/>
        </w:rPr>
        <w:t>During 2019 and 2018, the Company submitted applications to sell a portion of the Company’s State of New Jersey net operating losses as part of the Technology Business Tax Certificate Program sponsored by The New Jersey Economic Development Authority. Under the program, emerging biotechnology companies with unused NOLs and unused research and development credits are allowed to sell these benefits to other New Jersey-based companies. In 2018 and 2019, the Company sold NOLs totaling $13 million receiving net proceeds of $12.2 million. In June 2020 and as updated in September 2020, the Company filed an application with the New Jersey Economic Development Authority to sell substantially all of its remaining State of New Jersey net operating losses totaling $2.0 million available under the program.</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2018, the Company entered into the Horizon Credit Agreement with Horizon Technology Finance Corporation (“Horizon”) that provided $10 million in new capital (the “Horizon Credit Agreement”). The obligations under the Horizon Credit Agreement are secured by a first-priority security interest in substantially all assets of Celsion other than intellectual property assets. Payments under the loan agreement are interest only (calculated based on one-month LIBOR plus 7.625%) for the first twenty-four (24) months through July 2020, followed by a 24-month amortization period of principal and interest starting on August 1, 2020 and ending through the scheduled maturity date. On August 28, 2020, in connection with the Amendment to the Horizon Credit Agreement, Celsion repaid $5 million of the initial $10 million and $0.2 million in related end of term charges, and the remaining $5 million in obligations were restructured as more fully discussed in Note 10.</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$18.3 million in cash, investments, interest receivable and up to $2.0 million in potential proceeds from the sale of the 2019 State of New Jersey net operating losses, coupled with $10.8 million of remaining availability under the Capital-on-Demand™ Sales Agreement with JonesTrading Institutional Services LLC, as well as up to $24.5 million of remaining availability under the LPC Purchase Agreement with Lincoln Park Capital Fund, LLC, the Company believes it has sufficient capital resources to fund its operations through the end of 2021.</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State of New Jersey net operating losses and other sources. If the Company raises funds by selling additional shares of common stock or other securities convertible into common stock, the ownership interest of existing stockholders may be diluted.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Debt and Other Forms of Financing</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fourth quarters of 2019 and 2018, the Company received eligibility from the New Jersey Economic Development Authority to sell $11.1 million and $1.9 million, respectively, of its unused New Jersey net operating losses under the Technology Business Tax Certificate Program, and after selling these net operating losses, received $10.4 million and $1.8 million of non-dilutive funding in the fourth quarter of 2018 and second quarter of 2020, respectively. In June 2020 and as updated in September 2020, the Company filed an application with the New Jersey Economic Development Authority to sell substantially all the remaining $2.0 million of its State of New Jersey net operating losses available under the program.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jc w:val="both"/>
        <w:spacing w:after="0" w:line="271" w:lineRule="auto"/>
        <w:rPr>
          <w:sz w:val="20"/>
          <w:szCs w:val="20"/>
          <w:color w:val="auto"/>
        </w:rPr>
      </w:pPr>
      <w:r>
        <w:rPr>
          <w:rFonts w:ascii="Arial" w:cs="Arial" w:eastAsia="Arial" w:hAnsi="Arial"/>
          <w:sz w:val="17"/>
          <w:szCs w:val="17"/>
          <w:color w:val="auto"/>
        </w:rPr>
        <w:t>On April 23, 2020, we entered into the April PPP Loan, pursuant to the CARES Act and administered by the SBA. We thereafter received proceeds of $632,220 under the April PPP Loan. The April PPP Loan application required Celsion to certify that there was economic uncertainty surrounding the Company and that, as such, the April PPP Loan was necessary to support our ongoing operations. Celsion made this certification in good faith after analyzing, among other things, its financial situation and access to alternative forms of capital, and believed that the Company satisfied all eligibility criteria for the April PPP Loan, and that our receipt of the April PPP Loan proceeds was consistent with the broad objectives of the PPP of the CARES Act. The certification given with respect to the April PPP Loan does not contain any objective criteria and is subject to interpretation. Considering subsequent guidance issued by the U.S. Small Business Administration in consultation with the U.S. Department of the Treasury at that time, out of an abundance of caution we returned the proceeds of the PPP Loan in full on May 13, 2020.</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Shortly after the April PPP Loan was repaid, the SBA provided further guidance with respect to these certifications providing a safe harbor under which companies such as Celsion with PPP loans of less than $2 million will be deemed to have made these certifications in good faith. Therefore, as the Company continued to believe it qualifies for a loan under the PPP, it reapplied for and eventually received the May PPP Loan for $692,530 on May 26, 2020. The May PPP Loan is guaranteed by the SBA and evidenced the Note in the principal amount of $692,530 payable to the lender. Pursuant to the terms of the Note, it may be prepaid in part or in full, at any time, without penalty. On June 22, 2020, as disclosed in the Company’s Current Report on Form 8-K filed on the same date, the Company commenced an offering of 2,666,667 shares of its common stock which closed on June 24, 2020 (Note 11) and received net proceeds of approximately $9.1 million. In light of the proceeds received from this equity offering, the Company elected to repay the May PPP Loan in full (including interest accrued of $577), on June 24, 2020, terminating all obligations of the Company under the Note.</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2018, the Company entered into a Credit Agreement with Horizon that provided $10 million in capital. The obligations under the Horizon Credit Agreement are secured by a first-priority security interest in substantially all assets of Celsion other than intellectual property assets. Payments under the loan agreement are interest only (calculated based on one-month LIBOR plus 7.625%) for the first twenty-four (24) months after through July 2020, closing, followed by a 24-month amortization period of principal and interest starting on August 1, 2020 and ending through the scheduled maturity date. On August 28, 2020, in connection with an amendment to the Horizon Credit Agreement, Celsion repaid $5 million of the $10 million loan and $0.2 million in related end of term charges, and the remaining $5 million in obligations were restructured as more fully discussed in Note 10.</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2019 and thus far in 2020, we issued a total of 17.8 million shares of common stock in the following equity transactions raising approximately $30.7 million in gross proceeds.</w:t>
      </w:r>
    </w:p>
    <w:p>
      <w:pPr>
        <w:spacing w:after="0" w:line="170" w:lineRule="exact"/>
        <w:rPr>
          <w:sz w:val="20"/>
          <w:szCs w:val="20"/>
          <w:color w:val="auto"/>
        </w:rPr>
      </w:pPr>
    </w:p>
    <w:p>
      <w:pPr>
        <w:jc w:val="both"/>
        <w:ind w:left="520" w:hanging="512"/>
        <w:spacing w:after="0" w:line="25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June 22, 2020, the Company entered into an underwriting agreement (the “Underwriting Agreement”) with Oppenheimer &amp; Co. Inc. (the “Underwriter”), relating to the issuance and sale (the “Underwritten Offering”) of approximately 2.7 million shares of the Company’s common stock. Pursuant to the terms of the Underwriting Agreement, the Underwriter purchased the shares at a price of $3.4875 per share. The Underwriter offered the shares at a public offering price of $3.75 per share, reflecting an underwriting discount equal to $0.2625, or 7.0% of the public offering price. The net proceeds to the Company from the Underwritten Offering, after deducting the underwriting discount and estimated offering expenses payable by the Company, are approximately $9.1 million. The Underwritten Offering closed on June 24, 2020 and was made pursuant to the Company’s effective shelf registration statement on Form S-3 (File No. 333- 227236) filed with the Securities and Exchange Commission on September 7, 2018, and declared effective on October 12, 2018, including the base prospectus dated October 12, 2018 included therein and the related prospectus supplement.</w:t>
      </w:r>
    </w:p>
    <w:p>
      <w:pPr>
        <w:spacing w:after="0" w:line="196" w:lineRule="exact"/>
        <w:rPr>
          <w:rFonts w:ascii="Arial" w:cs="Arial" w:eastAsia="Arial" w:hAnsi="Arial"/>
          <w:sz w:val="18"/>
          <w:szCs w:val="18"/>
          <w:color w:val="auto"/>
        </w:rPr>
      </w:pPr>
    </w:p>
    <w:p>
      <w:pPr>
        <w:jc w:val="both"/>
        <w:ind w:left="520" w:hanging="512"/>
        <w:spacing w:after="0" w:line="268"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 February 27, 2020, we entered into a Securities Purchase Agreement (the “Purchase Agreement”) with several institutional investors, pursuant to which we agreed to issue and sell, in a registered direct offering (the “February 2020 Offering”), an aggregate of 4.6 million shares (the “Shares”) of our common stock at an offering price of $1.05 per share for gross proceeds of approximately $4.8 million before the deduction of the Placement Agent fees and offering expenses. The Shares were offered by the Company pursuant to a registration statement on Form S-3 (File No. 333-227236). The Purchase Agreement contained customary representations, warranties and agreements by the Company and customary conditions to closing. In a concurrent private placement (the “Private Placement”), the Company issued to the investors that participated in the February Offering, for no additional consideration, warrants, to purchase up to 3.0 million shares of Common Stock (the “Original Warrants”). The Original Warrants were initially exercisable six months following their and were set to expire on the five-year anniversary of such initial exercise date. The Warrants had an exercise price of $1.15 per share subject to adjustment as provided therein. On March 12, 2020 the Company entered into private exchange agreements (the “Exchange Agreements”) with holders the Warrants. Pursuant to the Exchange Agreements, in return for a higher exercise price of $1.24 per share of Common Stock, the Company issued new warrants to the Investors to purchase up to 3.2 million shares of Common Stock (the “Exchange Warrants”) in exchange for the Original Warrants. The Exchange Warrants, like the Original Warrants, are initially exercisable six months following their issuance (the “Initial Exercise Date”) and expire on the five-year anniversary of their Initial Exercise Date. Other than having a higher exercise price, different issue date, Initial Exercise Date and expiration date, the terms of the Exchange Warrants are identical to those of the Original Warrants.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jc w:val="both"/>
        <w:ind w:left="520" w:hanging="512"/>
        <w:spacing w:after="0" w:line="286" w:lineRule="auto"/>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August 31, 2018, the Company entered into the 2018 Aspire Purchase Agreement with Aspire Capital Fund LLC (“Aspire Capital”) which provides that, upon the terms and subject to the conditions and limitations set forth therein, Aspire Capital was committed to purchase up to an aggregate of $15.0 million of shares of the Company’s common stock over the 24-month term of the 2018 Aspire Purchase Agreement. On October 12, 2018, the Company filed with the SEC a prospectus supplement to the 2018 Shelf Registration Statement registering all of the shares of common stock that may be offered to Aspire Capital from time to time. The timing and amount of sales of the Company’s common stock to Aspire Capital. Aspire Capital has no right to require any sales by the Company but is obligated to make purchases from the Company as directed by the Company in accordance with the Purchase Agreement. There were no limitations on use of proceeds, financial or business covenants, restrictions on future funding, rights of first refusal, participation rights, penalties, or liquidated damages in the Purchase Agreement. In consideration for entering into the Purchase Agreement, concurrently with the execution of the Purchase Agreement in 2018, the Company issued to Aspire Capital 164,835 Commitment Shares. The 2018 Aspire Purchase Agreement could be terminated by the Company at any time, at its discretion, without any cost to the Company. During 2019 the Company sold and issued an aggregate of 3.3 million shares under the Purchase Agreement, receiving approximately $6.3 million. All proceeds from the Company received under the 2018 Aspire Purchase Agreement were used for working capital and general corporate purposes. As a result of the Company and Aspire Capital entering into a new purchase agreement on October 28, 2019 discussed in the next paragraph, the 2018 Aspire Purchase Agreement was terminated. The Company sold a total of 3.4 million shares receiving $6.5 million under the 2018 Aspire Agreement during 2018 through its termination in 2019.</w:t>
      </w:r>
    </w:p>
    <w:p>
      <w:pPr>
        <w:spacing w:after="0" w:line="167" w:lineRule="exact"/>
        <w:rPr>
          <w:rFonts w:ascii="Arial" w:cs="Arial" w:eastAsia="Arial" w:hAnsi="Arial"/>
          <w:sz w:val="16"/>
          <w:szCs w:val="16"/>
          <w:color w:val="auto"/>
        </w:rPr>
      </w:pPr>
    </w:p>
    <w:p>
      <w:pPr>
        <w:jc w:val="both"/>
        <w:ind w:left="520" w:hanging="512"/>
        <w:spacing w:after="0" w:line="268"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October 28, 2019, Company entered into the 2019 Aspire Purchase Agreement with Aspire Capital. The terms and conditions pursuant to the 2019 Aspire Purchase Agreement were substantially similar to the 2018 Aspire Purchase Agreement. Pursuant to the new 2019 Aspire Purchase Agreement, Aspire Capital was committed to purchase up to an aggregate of $10.0 million of shares of the Company’s common stock over the 24-month term of the 2019 Aspire Purchase Agreement. Concurrently with entering into the 2019 Aspire Purchase Agreement, the Company also entered into a registration rights agreement with Aspire Capital (the “Registration Rights Agreement”), in which the Company agreed to file one or more registration statements, as permissible and necessary to register under the Securities Act, registering the sale of the shares of the Company’s common stock that have been and may be issued to Aspire Capital under the 2019 Aspire Purchase Agreement. In consideration for entering into the 2019 Aspire Purchase Agreement, the Company issued to Aspire Capital an additional 0.1 million Commitment Shares. On November 8, 2019, the Company filed with the SEC a Registration Statement on Form S-1 registering all the shares of common stock that may be offered to Aspire Capital from time to time under the 2019 Aspire Purchase Agreement. During 2019, the Company sold 0.5 million shares of common stock under the 2019 Aspire Purchase Agreement, receiving approximately $0.7 million in gross proceeds. On March 5, 2020, the Company delivered notice to Aspire Capital terminating the 2019 Aspire Purchase Agreement effective as of March 6, 2020. During the first quarter of 2020 though the date of termination, the Company sold 1.0 million shares of common stock under the 2019 Aspire Purchase Agreement and received $1.6 million in gross proceeds.</w:t>
      </w:r>
    </w:p>
    <w:p>
      <w:pPr>
        <w:spacing w:after="0" w:line="187" w:lineRule="exact"/>
        <w:rPr>
          <w:rFonts w:ascii="Arial" w:cs="Arial" w:eastAsia="Arial" w:hAnsi="Arial"/>
          <w:sz w:val="17"/>
          <w:szCs w:val="17"/>
          <w:color w:val="auto"/>
        </w:rPr>
      </w:pPr>
    </w:p>
    <w:p>
      <w:pPr>
        <w:jc w:val="both"/>
        <w:ind w:left="520" w:hanging="512"/>
        <w:spacing w:after="0" w:line="270" w:lineRule="auto"/>
        <w:tabs>
          <w:tab w:leader="none" w:pos="520" w:val="left"/>
        </w:tabs>
        <w:numPr>
          <w:ilvl w:val="0"/>
          <w:numId w:val="16"/>
        </w:numPr>
        <w:rPr>
          <w:rFonts w:ascii="Arial" w:cs="Arial" w:eastAsia="Arial" w:hAnsi="Arial"/>
          <w:sz w:val="32"/>
          <w:szCs w:val="32"/>
          <w:color w:val="auto"/>
          <w:vertAlign w:val="superscript"/>
        </w:rPr>
      </w:pPr>
      <w:r>
        <w:rPr>
          <w:rFonts w:ascii="Arial" w:cs="Arial" w:eastAsia="Arial" w:hAnsi="Arial"/>
          <w:sz w:val="16"/>
          <w:szCs w:val="16"/>
          <w:color w:val="auto"/>
        </w:rPr>
        <w:t>On December 4, 2018, the Company entered into a new Capital on Demand</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Sales Agreement (the “Capital on Demand Agreement”) with JonesTrading Institutional Services LLC, as sales agent (“JonesTrading”), pursuant to which the Company may offer and sell, from time to time, through JonesTrading shares of common stock having an aggregate offering price of up to $16.0 million. The Company intends to use the net proceeds from the offering, if any, for general corporate purposes, including research and development activities, capital expenditures and working capital. The Company is not obligated to sell any Common Stock under the Capital on Demand Agreement and, subject to the terms and conditions of the Capital on Demand Agreement, JonesTrading will use commercially reasonable efforts, consistent with its normal trading and sales practices and applicable state and federal law, rules and regulations and the rules of The Nasdaq Capital Market, to sell common stock from time to time based upon Celsion’s instructions, including any price, time or size limits or other customary parameters or conditions the Company may impose. Under the Capital on Demand Agreement, JonesTrading may sell common stock by any method deemed to be an “at the market offering” as defined in Rule 415 promulgated under the Securities Act. The Capital on Demand Agreement will terminate upon the earlier of (i) the sale of all shares of our common stock subject to the Sales Agreement, and (ii) the termination of the Capital on Demand Agreement by JonesTrading or Celsion. The Capital on Demand Agreement may be terminated by JonesTrading or the Company at any time upon 10 days’ notice to the other party, or by JonesTrading at any time in certain circumstances, including the occurrence of a material adverse change in the Company. During 2019 and in 2020 thus far, the Company sold 0.5 million and 2.5 million shares of common stock under the Capital on Demand Agreement, respectively, receiving gross proceeds of approximately $1.0 million and $4.5 million,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p>
      <w:pPr>
        <w:jc w:val="both"/>
        <w:ind w:left="520" w:hanging="512"/>
        <w:spacing w:after="0" w:line="283" w:lineRule="auto"/>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September 8, 2020, the Company entered into a purchase agreement (the “LPC Purchase Agreement”) and a Registration Rights Agreement (the “Registration Rights Agreement”) with Lincoln Park Capital Fund, LLC (“Lincoln Park”), pursuant to which, upon the terms and subject to the conditions and limitations set forth therein, the Company has the right to sell to Lincoln Park up to $26.0 million of shares of the Company’s Common Stock at the Company’s discretion as described below (the “ LPC Offering”). Over the 36-month term of the LPC Purchase Agreement, we have the right, but not the obligation, from time to time, in our sole discretion and subject to certain conditions, including that the closing price of our Common Stock is not below $0.25 per share, to direct Lincoln Park to purchase up to an aggregate amount of $26.0 million (subject to certain limitations) of shares of Common Stock. Under the Purchase Agreement, on any business day selected by us, we may direct Lincoln Park to purchase up to 400,000 shares (the “Regular Purchase Share Limit”) of our Common Stock (each such purchase, a “Regular Purchase”). Lincoln Park’s maximum obligation under any single Regular Purchase will not exceed $1,500,000 unless we mutually agree to increase the maximum amount of such Regular Purchase. The purchase price for shares of Common Stock to be purchased by Lincoln Park under a Regular Purchase will be the equal to the lower of (in each case, subject to the adjustments described in the LPC Purchase Agreement): (i) the lowest sale price for our Common Stock on The Nasdaq Capital Market on the applicable purchase date, and (ii) the arithmetic average of the three lowest sale prices for our Common Stock on The Nasdaq Capital Market during the ten trading days prior to the purchase date. If we direct Lincoln Park to purchase the maximum number of shares of Common Stock we then may sell in a Regular Purchase, then in addition to such Regular Purchase, and subject to certain conditions and limitations in the LPC Purchase Agreement, we may direct Lincoln Park to make an “accelerated purchase” of an additional amount of Common Stock that may not exceed the lesser of (i) 300% of the number of shares purchased pursuant to the corresponding Regular Purchase and (ii) 30% of the total number of shares of our Common Stock traded on The Nasdaq Capital Market during a specified period on the applicable purchase date as set forth in the Purchase Agreement. Under certain circumstances and in accordance with the Purchase Agreement, the Company may direct Lincoln Park to purchase shares in multiple accelerated purchases on the same trading day. The Purchase Agreement prohibits us from issuing or selling to Lincoln Park under the Purchase Agreement: (i) in excess of 6,688,588 shares of our Common Stock (the “Exchange Cap”), unless we obtain stockholder approval to issue shares in excess of the Exchange Cap or the average price of all applicable sales of our Common Stock to Lincoln Park under the LPC Purchase Agreement equal or exceed the lower of (a) the Nasdaq Official Closing Price (as defined in the Purchase Agreement) immediately preceding the execution of the LPC Purchase Agreement or (b) the average of the five Nasdaq Official Closing Prices for the Common Stock immediately preceding the execution of the LPC Purchase Agreement, as adjusted in accordance with the rules of The Nasdaq Capital Market, and (ii) any shares of our Common Stock if those shares, when aggregated with all other shares of our Common Stock then beneficially owned by Lincoln Park and its affiliates would result in Lincoln Park and its affiliates having beneficial ownership of more than 9.99% of the then total outstanding shares of our Common Stock. The LPC Purchase Agreement does not limit our ability to raise capital from other sources at our sole discretion, except that we may not enter into any equity line or similar transaction for 36 months, other than an “at-the-market” offering. The LPC Purchase Agreement and the Registration Rights Agreement contain customary representations, warranties and agreements of us and Lincoln Park, indemnification rights and other obligations of the parties. We have the right to terminate the Purchase Agreement at any time on one business days’ notice to Lincoln Park, at no cost to us. As consideration for entering into the Purchase Agreement, we issued 437,828 shares of our Common Stock to Lincoln Park (the “LPC Commitment Shares”). We will not receive any cash proceeds from the issuance of the LPC Commitment Shares. Also pursuant to the Purchase Agreement, Lincoln Park has agreed to an initial purchase of 1,000,000 shares of our Common Stock for an aggregate purchase price of $1,000,000 or $1.00 per share. Lincoln Park has covenanted not to cause or engage in any manner whatsoever, any direct or indirect short selling or hedging of our shares of Common Stock. The Offering is being made pursuant to our effective Registration Statement on Form S-3 (File No. 333-227236) (the “Registration Statement”), which was previously filed with the SEC on September 7, 2018, and declared effective by the SEC on October 12, 2018, and the prospectus supplement related to the Offering filed with the SEC on September 8, 2020. Pursuant to the Registration Rights Agreement, under certain circumstances, if the Registration Statement is no longer available for use with respect to the Offering, we will be required to file additional registration statement(s). During 2020 and thus far, the Company sold and issued an aggregate of 2.6 million shares, including the LPC Commitment Shares, under the LPC Purchase Agreement, receiving approximately $1.8 million in gross proceeds.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significant accounting policies are more fully described in Note 1 to our consolidated financial statements included in our 2019 Annual Report on Form 10-K for the year ended December 31, 2019 filed with the SEC on March 25, 2020.</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the FASB issued Accounting Standard Update No. 2016-13, “Financial Instruments – Credit Losses (Topic 326): Measurement of Credit Losses on Financial Instruments”, which modifies the measurement of expected credit losses on certain financial instruments. The Company is considering adopting ASU 2016-13 in its first quarter of 2021 utilizing the modified retrospective transition method. Based on the composition of the Company’s investment portfolio and current market conditions, the adoption of ASU 2016-13 is not expected to have a material impact on its consolidated financial statements.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Disclosure Framework – Changes to the Disclosure Requirements for 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Measurement</w:t>
      </w:r>
      <w:r>
        <w:rPr>
          <w:rFonts w:ascii="Arial" w:cs="Arial" w:eastAsia="Arial" w:hAnsi="Arial"/>
          <w:sz w:val="17"/>
          <w:szCs w:val="17"/>
          <w:color w:val="auto"/>
        </w:rPr>
        <w:t>, which adds and modifies certain disclosure requirements for fair value measurements. Under the new guidance, entities will no longer</w:t>
      </w:r>
      <w:r>
        <w:rPr>
          <w:rFonts w:ascii="Arial" w:cs="Arial" w:eastAsia="Arial" w:hAnsi="Arial"/>
          <w:sz w:val="17"/>
          <w:szCs w:val="17"/>
          <w:i w:val="1"/>
          <w:iCs w:val="1"/>
          <w:color w:val="auto"/>
        </w:rPr>
        <w:t xml:space="preserve"> </w:t>
      </w:r>
      <w:r>
        <w:rPr>
          <w:rFonts w:ascii="Arial" w:cs="Arial" w:eastAsia="Arial" w:hAnsi="Arial"/>
          <w:sz w:val="17"/>
          <w:szCs w:val="17"/>
          <w:color w:val="auto"/>
        </w:rPr>
        <w:t>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 unrealized gains and losses included in other comprehensive income. This update is effective for annual periods beginning after December 15, 2019, and interim periods within those periods, and early adoption is permitted. The adoption of this standard did not have an impact on the Company’s financial statements.</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December 2019, the FASB issued ASU No. 2019-12, Income Taxes (Topic 740). The standard simplifies the accounting for incomes taxes by removing certain exceptions to the general principles in Topic 740 related to the approach for intra-period tax allocation and the recognition of deferred tax liabilities for outside basis differences. The standard also clarifies the accounting for transactions that result in a step-up in the tax basis of goodwill. The standard also improves consistent application of and simplifies GAAP for other areas of Topic 740 by clarifying and amending existing guidance. The amendment is effective for fiscal years, and interim periods within those fiscal years, beginning after December 15, 2020. Early adoption is permitted. The Company is currently evaluating the impact that the adoption of this standard will have on its consolidated financial statements.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FINANCIAL REVIEW FOR THE THREE AND NINE MONTHS ENDED SEPTEMBER 30,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September 30, 2020, our net loss was $8.1 million compared to a net loss of $5.5 million for the same three-month period of 2019. For the nine months ended September 30, 2020, our net loss was $18.5 million compared to a net loss of $13.7 million for the same nine-month period of 2019.</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$18.3 million in cash, investments, interest receivable and income tax receivable at September 30, 2020, coupled with future sales of the Company’s State of New Jersey net operating losses well as the remaining availability under the Capital on Demand Equity Agreement and the LPC Purchase Agreement, the Company believes it has sufficient capital resources to fund its operations through the end of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Three Months Ended September 30,</w:t>
            </w:r>
          </w:p>
        </w:tc>
        <w:tc>
          <w:tcPr>
            <w:tcW w:w="1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5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ind w:left="580"/>
              <w:spacing w:after="0"/>
              <w:rPr>
                <w:sz w:val="20"/>
                <w:szCs w:val="20"/>
                <w:color w:val="auto"/>
              </w:rPr>
            </w:pPr>
            <w:r>
              <w:rPr>
                <w:rFonts w:ascii="Arial" w:cs="Arial" w:eastAsia="Arial" w:hAnsi="Arial"/>
                <w:sz w:val="18"/>
                <w:szCs w:val="18"/>
                <w:b w:val="1"/>
                <w:bCs w:val="1"/>
                <w:color w:val="auto"/>
                <w:w w:val="88"/>
              </w:rPr>
              <w:t>(In thousands)</w:t>
            </w:r>
          </w:p>
        </w:tc>
        <w:tc>
          <w:tcPr>
            <w:tcW w:w="8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w w:val="92"/>
              </w:rPr>
              <w:t>Change Increase (Decrease)</w:t>
            </w:r>
          </w:p>
        </w:tc>
        <w:tc>
          <w:tcPr>
            <w:tcW w:w="220" w:type="dxa"/>
            <w:vAlign w:val="bottom"/>
          </w:tcPr>
          <w:p>
            <w:pPr>
              <w:spacing w:after="0"/>
              <w:rPr>
                <w:sz w:val="20"/>
                <w:szCs w:val="20"/>
                <w:color w:val="auto"/>
              </w:rPr>
            </w:pPr>
          </w:p>
        </w:tc>
      </w:tr>
      <w:tr>
        <w:trPr>
          <w:trHeight w:val="237"/>
        </w:trPr>
        <w:tc>
          <w:tcPr>
            <w:tcW w:w="5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2019</w:t>
            </w:r>
          </w:p>
        </w:tc>
        <w:tc>
          <w:tcPr>
            <w:tcW w:w="3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r>
      <w:tr>
        <w:trPr>
          <w:trHeight w:val="237"/>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Clinical Research</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1,880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41"/>
              <w:spacing w:after="0"/>
              <w:rPr>
                <w:sz w:val="20"/>
                <w:szCs w:val="20"/>
                <w:color w:val="auto"/>
              </w:rPr>
            </w:pPr>
            <w:r>
              <w:rPr>
                <w:rFonts w:ascii="Arial" w:cs="Arial" w:eastAsia="Arial" w:hAnsi="Arial"/>
                <w:sz w:val="18"/>
                <w:szCs w:val="18"/>
                <w:color w:val="auto"/>
              </w:rPr>
              <w:t>3,304</w:t>
            </w:r>
          </w:p>
        </w:tc>
        <w:tc>
          <w:tcPr>
            <w:tcW w:w="22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Arial" w:cs="Arial" w:eastAsia="Arial" w:hAnsi="Arial"/>
                <w:sz w:val="18"/>
                <w:szCs w:val="18"/>
                <w:color w:val="auto"/>
              </w:rPr>
              <w:t>(1,424)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(43.1)%</w:t>
            </w:r>
          </w:p>
        </w:tc>
      </w:tr>
      <w:tr>
        <w:trPr>
          <w:trHeight w:val="25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Chemistry, Manufacturing and Controls</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612</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370</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242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w:t>
            </w:r>
          </w:p>
        </w:tc>
      </w:tr>
      <w:tr>
        <w:trPr>
          <w:trHeight w:val="203"/>
        </w:trPr>
        <w:tc>
          <w:tcPr>
            <w:tcW w:w="51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Research and development expenses</w:t>
            </w: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2,492</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3,674</w:t>
            </w:r>
          </w:p>
        </w:tc>
        <w:tc>
          <w:tcPr>
            <w:tcW w:w="3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(1,182)</w:t>
            </w:r>
          </w:p>
        </w:tc>
        <w:tc>
          <w:tcPr>
            <w:tcW w:w="32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(32.2)%</w:t>
            </w:r>
          </w:p>
        </w:tc>
      </w:tr>
      <w:tr>
        <w:trPr>
          <w:trHeight w:val="25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1,793</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1,838</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0"/>
        </w:trPr>
        <w:tc>
          <w:tcPr>
            <w:tcW w:w="51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4,285</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5,512</w:t>
            </w:r>
          </w:p>
        </w:tc>
        <w:tc>
          <w:tcPr>
            <w:tcW w:w="3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(1,227</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44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(22.3)%</w:t>
            </w:r>
          </w:p>
        </w:tc>
      </w:tr>
      <w:tr>
        <w:trPr>
          <w:trHeight w:val="229"/>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(4,160</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0"/>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301"/>
              <w:spacing w:after="0"/>
              <w:rPr>
                <w:sz w:val="20"/>
                <w:szCs w:val="20"/>
                <w:color w:val="auto"/>
              </w:rPr>
            </w:pPr>
            <w:r>
              <w:rPr>
                <w:rFonts w:ascii="Arial" w:cs="Arial" w:eastAsia="Arial" w:hAnsi="Arial"/>
                <w:sz w:val="18"/>
                <w:szCs w:val="18"/>
                <w:b w:val="1"/>
                <w:bCs w:val="1"/>
                <w:color w:val="auto"/>
                <w:w w:val="91"/>
              </w:rPr>
              <w:t>Nine Months Ended September 30,</w:t>
            </w:r>
          </w:p>
        </w:tc>
        <w:tc>
          <w:tcPr>
            <w:tcW w:w="1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5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8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w w:val="92"/>
              </w:rPr>
              <w:t>Change Increase (Decrease)</w:t>
            </w:r>
          </w:p>
        </w:tc>
        <w:tc>
          <w:tcPr>
            <w:tcW w:w="220" w:type="dxa"/>
            <w:vAlign w:val="bottom"/>
          </w:tcPr>
          <w:p>
            <w:pPr>
              <w:spacing w:after="0"/>
              <w:rPr>
                <w:sz w:val="20"/>
                <w:szCs w:val="20"/>
                <w:color w:val="auto"/>
              </w:rPr>
            </w:pPr>
          </w:p>
        </w:tc>
      </w:tr>
      <w:tr>
        <w:trPr>
          <w:trHeight w:val="236"/>
        </w:trPr>
        <w:tc>
          <w:tcPr>
            <w:tcW w:w="5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2019</w:t>
            </w:r>
          </w:p>
        </w:tc>
        <w:tc>
          <w:tcPr>
            <w:tcW w:w="3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r>
      <w:tr>
        <w:trPr>
          <w:trHeight w:val="237"/>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Clinical Research</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6,793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41"/>
              <w:spacing w:after="0"/>
              <w:rPr>
                <w:sz w:val="20"/>
                <w:szCs w:val="20"/>
                <w:color w:val="auto"/>
              </w:rPr>
            </w:pPr>
            <w:r>
              <w:rPr>
                <w:rFonts w:ascii="Arial" w:cs="Arial" w:eastAsia="Arial" w:hAnsi="Arial"/>
                <w:sz w:val="18"/>
                <w:szCs w:val="18"/>
                <w:color w:val="auto"/>
              </w:rPr>
              <w:t>8,886</w:t>
            </w:r>
          </w:p>
        </w:tc>
        <w:tc>
          <w:tcPr>
            <w:tcW w:w="22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Arial" w:cs="Arial" w:eastAsia="Arial" w:hAnsi="Arial"/>
                <w:sz w:val="18"/>
                <w:szCs w:val="18"/>
                <w:color w:val="auto"/>
              </w:rPr>
              <w:t>(2,093)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(23.6)%</w:t>
            </w:r>
          </w:p>
        </w:tc>
      </w:tr>
      <w:tr>
        <w:trPr>
          <w:trHeight w:val="25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Chemistry, Manufacturing and Controls</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1,742</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1,114</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628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03"/>
        </w:trPr>
        <w:tc>
          <w:tcPr>
            <w:tcW w:w="51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Research and development expenses</w:t>
            </w: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8,535</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10,000</w:t>
            </w:r>
          </w:p>
        </w:tc>
        <w:tc>
          <w:tcPr>
            <w:tcW w:w="3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(1,465)</w:t>
            </w:r>
          </w:p>
        </w:tc>
        <w:tc>
          <w:tcPr>
            <w:tcW w:w="32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(14.7)%</w:t>
            </w:r>
          </w:p>
        </w:tc>
      </w:tr>
      <w:tr>
        <w:trPr>
          <w:trHeight w:val="25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5,533</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6,193</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(660)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10"/>
        </w:trPr>
        <w:tc>
          <w:tcPr>
            <w:tcW w:w="51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14,068</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16,193</w:t>
            </w:r>
          </w:p>
        </w:tc>
        <w:tc>
          <w:tcPr>
            <w:tcW w:w="3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(2,125</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44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(13.1)%</w:t>
            </w:r>
          </w:p>
        </w:tc>
      </w:tr>
      <w:tr>
        <w:trPr>
          <w:trHeight w:val="230"/>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(13,693</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(15,818</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a technology development contract with Hisun, pursuant to which Hisun paid us a non-refundable technology transfer fee of $5.0 million to support our development of ThermoDox® in the China territory. The $5.0 million received as a non-refundable payment from Hisun in the first quarter of 2013 has been recorded to deferred revenue and will be amortized over the ten-year term of the agreement; therefore, we recorded deferred revenue of $125,000 in each of the third quarters of 2020 and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Research and development (“R&amp;D”) expenses decreased by $1.2 million to $2.5 million in the third quarter of 2020 from $3.7 million in the same period of 2019. Costs associated with the OPTIMA Study decreased to $0.5 million in the third quarter of 2020 compared to $1.2 million in the same period of 2019. Costs associated the OVATION 2 Study were comparable at $0.2 million in each of the third quarters of 2020 and 2019. During the third quarter of 2020, the Company began enrollment in the Phase II portion of the OVATION II Study. Regulatory costs were $0.1 million in the third quarter of 2020 compared to $0.2 million in the same period of 2019. Other clinical costs were $0.5 million in the third quarter of 2020 compared to $0.8 million in the same period of 2019. Costs associated with the development of GEN-1 to support the OVATION 2 Study were $0.7 million in the third quarter of 2020 compared to $0.8 million in the same period of 2019. Production costs associated with the development of ThermoDox® increased to $0.6 million in the third quarter of 2020 compared to $0.4 million in the same period of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were comparable at $1.8 million in each of the third quarters of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IPR&amp;D Liability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IPR&amp;D is reviewed for impairment at least annually as of our third quarter ended September 30 by assessing if any events or changes in circumstances have occurred which indicate that the carrying value of the assets might not be recoverable. At September 30, 2020, after our assessment of the totality of the events that could impair IPR&amp;D, the Company determined certain IPR&amp;D assets related to the development of its GBM product candidate may be impaired. To arrive at this determination, the Company assessed the status of studies in GBM conducted by its competitors and the Company’s strategic commitment of resources to its studies in primary liver cancer and ovarian cancer. The Company concluded that the GBM asset, valued at $2.4 million, was fully impaired and wrote off the GBM asset, incurring a non-cash charge of $2.4 million in the third quarter of 2020. During 2019, the Company concluded no IPR&amp;D asset was impaired during that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 and Warrant Expense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are fair valued at the end of each quarter and any change in their value is recognized in the condensed consolidated financial statements.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28, 2019, the Company and EGWU, Inc, entered into the Amended Asset Purchase Agreement discussed in Note 8. Pursuant to the Amended Asset Purchase Agreement, payment of the earnout milestone liability related to the Ovarian Cancer Indication of $12.4 million has been modified. The Company has the option to make the payment as follows:</w:t>
      </w:r>
    </w:p>
    <w:p>
      <w:pPr>
        <w:spacing w:after="0" w:line="184" w:lineRule="exact"/>
        <w:rPr>
          <w:sz w:val="20"/>
          <w:szCs w:val="20"/>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$7.0 million in cash within 10 business days of achieving the milestone; or</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$12.4 million in cash, common stock of the Company, or a combination of either, within one year of achieving the milestone.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provided EGWU, Inc. 200,000 warrants to purchase common stock at a strike price of $0.01 per warrant share as consideration for entering into the amended agreement. These warrant shares have no expiration and were fair valued at $2.00 using the closing price of a share of Celsion stock on the date of issuance offset by the exercise price and recorded as an expense in the income statement and were classified as equity on the balance sheet.</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2020, and June 30, 2020, the Company fair valued the earn-out milestone liability at $7.1 million and $6.0 million, respectively and recognized a non-cash charge of $1.1 million during the third quarter of 2020. In assessing the earnout milestone liability at September 30, 2020, the Company fair valued each of the two payment options per the Amended Asset Purchase Agreement and weighted them at 50% and 50% probability for the $7.0 million and the $12.4 million payments,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jc w:val="both"/>
        <w:spacing w:after="0" w:line="259" w:lineRule="auto"/>
        <w:rPr>
          <w:sz w:val="20"/>
          <w:szCs w:val="20"/>
          <w:color w:val="auto"/>
        </w:rPr>
      </w:pPr>
      <w:r>
        <w:rPr>
          <w:rFonts w:ascii="Arial" w:cs="Arial" w:eastAsia="Arial" w:hAnsi="Arial"/>
          <w:sz w:val="18"/>
          <w:szCs w:val="18"/>
          <w:color w:val="auto"/>
        </w:rPr>
        <w:t>As of September 30, 2019, and June 30, 2019, the Company fair valued the earn-out milestone liability at $5.8 million and $5.9 million, respectively and recognized a non-cash gain of $0.1 million during the third quarter of 2019. In assessing the earnout milestone liability at September 30, 2019, the Company the fair valued each of the two payment options per the Amended Asset Purchase Agreement and weighted them at 80% and 20% probability for the $7.0 million and the $12.4 million payments,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realized $0.2 million of investment income from its short-term investments during the third quarter of 2019. Investment income was insignificant in the third quarter of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Horizon Credit Agreement, the Company incurred $0.5 million and $0.3 million in interest expense in each of the third quarters of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a technology development contract with Hisun, pursuant to which Hisun paid us a non-refundable technology transfer fee of $5.0 million to support our development of ThermoDox® in the China territory. The $5.0 million received as a non-refundable payment from Hisun in the first quarter of 2013 has been recorded to deferred revenue and will be amortized over the ten-year term of the agreement; therefore, we recorded deferred revenue of $375,000 in each of the first nine months of 2020 and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R&amp;D expenses decreased by $1.5 million to $8.5 million in the first nine-months of 2020 from $10.0 million in the same period of 2019. Costs associated with the OPTIMA Study decreased to $1.8 million in the first nine months of 2020 compared to $3.3 million in the same period of 2019. Costs associated with the OVATION 2 Study increased to $0.7 million in the first nine months of 2020 compared to $0.4 million in the same period of 2019. Regulatory costs were $0.5 million in the first nine-months of 2020 compared to $0.9 million in the same period of 2019. Other clinical costs were $1.5 million in the first nine months of 2020 compared to $2.0 million in the same period of 2019. Costs associated with the development of GEN-1 to support the OVATION 2 Study were $2.3 million in the first nine months of 2020 compared to $2.3 million in the same period of 2019. Production costs associated with the development of ThermoDox® increased to $1.7 million in the first nine months of 2020 compared to $1.1 million in the same period of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decreased to $5.5 million in the first nine-months of 2020 compared to $6.2 million in the same period of 2019. This decrease is primarily attributable to lower personnel costs and professional fees in the first nine months of 2020 when compared to the same period of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IPR&amp;D Liability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IPR&amp;D is reviewed for impairment at least annually as of our third quarter ended September 30 by assessing if any events or changes in circumstances have occurred which indicate that the carrying value of the assets might not be recoverable. At September 30, 2020, after our assessment of the totality of the events that could impair IPR&amp;D, the Company determined certain IPR&amp;D assets related to the development of its GBM product candidate may be impaired. To arrive at this determination, the Company assessed the status of studies in GBM conducted by its competitors and the Company’s strategic commitment of resources to its studies in primary liver cancer and ovarian cancer. The Company concluded that the GBM asset, valued at $2.4 million, was fully impaired and wrote off the GBM asset, incurring a non-cash charge of $2.4 million in the third quarter of 2020. During 2019, the Company concluded no IPR&amp;D asset was impaired during that period.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u w:val="single" w:color="auto"/>
          <w:color w:val="auto"/>
        </w:rPr>
        <w:t>Change in Earn-out Milestone Liability and Warrant Expense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are fair valued at the end of each quarter and any change in their value is recognized in the condensed consolidated financial statements.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28, 2019, the Company and EGWU, Inc, entered into the Amended Asset Purchase Agreement discussed in Note 8. Pursuant to the Amended Asset Purchase Agreement, payment of the earnout milestone liability related to the Ovarian Cancer Indication of $12.4 million has been modified. The Company has the option to make the payment as follows:</w:t>
      </w:r>
    </w:p>
    <w:p>
      <w:pPr>
        <w:spacing w:after="0" w:line="184" w:lineRule="exact"/>
        <w:rPr>
          <w:sz w:val="20"/>
          <w:szCs w:val="20"/>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$7.0 million in cash within 10 business days of achieving the milestone; or</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$12.4 million in cash, common stock of the Company, or a combination of either, within one year of achieving the milestone.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provided EGWU, Inc. 200,000 warrants to purchase common stock at a strike price of $0.01 per warrant share as consideration for entering into the amended agreement. These warrant shares have no expiration and were fair valued at $2.00 using the closing price of a share of Celsion stock on the date of issuance offset by the exercise price and recorded as an expense in the income statement and were classified as equity on the balance sheet.</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2020, and December 31, 2019, the Company fair valued the earn-out milestone liability at $7.1 million and $5.7 million, respectively and recognized a non-cash charge of $1.4 million during the first nine-months of 2020. In assessing the earnout milestone liability at September 30, 2020, the Company fair valued each of the two payment options per the Amended Asset Purchase Agreement and weighted them at 50% and 50% probability for the $7.0 million and the $12.4 million payments,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2019, and December 31, 2018, the Company fair valued the earn-out milestone liability at $5.8 million and $8.9 million, respectively and recognized a non-cash benefit of $3.1 million during the first nine-months of 2019. In assessing the earnout milestone liability at September 30, 2019, the Company the fair valued each of the two payment options per the Amended Asset Purchase Agreement and weighted them at 80% and 20% probability for the $7.0 million and the $12.4 million payments,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realized $0.1 million and $0.4 million of investment income from its short-term investments during the first half of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Horizon Credit Agreement, the Company incurred $0.7 million in interest expense in each of the first halves of 2020 and 2019.</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Since inception we have incurred significant losses and negative cash flows from operations. We have financed our operations primarily through the net proceeds from the sales of equity, credit facilities and amounts received under our product licensing agreement with Yakult and our technology</w:t>
      </w:r>
    </w:p>
    <w:p>
      <w:pPr>
        <w:jc w:val="both"/>
        <w:spacing w:after="0" w:line="259" w:lineRule="auto"/>
        <w:rPr>
          <w:sz w:val="20"/>
          <w:szCs w:val="20"/>
          <w:color w:val="auto"/>
        </w:rPr>
      </w:pPr>
      <w:r>
        <w:rPr>
          <w:rFonts w:ascii="Arial" w:cs="Arial" w:eastAsia="Arial" w:hAnsi="Arial"/>
          <w:sz w:val="16"/>
          <w:szCs w:val="16"/>
          <w:color w:val="auto"/>
        </w:rPr>
        <w:t>development agreement with Hisun. The process of developing and commercializing ThermoDox</w:t>
      </w:r>
      <w:r>
        <w:rPr>
          <w:rFonts w:ascii="Arial" w:cs="Arial" w:eastAsia="Arial" w:hAnsi="Arial"/>
          <w:sz w:val="26"/>
          <w:szCs w:val="26"/>
          <w:color w:val="auto"/>
          <w:vertAlign w:val="superscript"/>
        </w:rPr>
        <w:t>®</w:t>
      </w:r>
      <w:r>
        <w:rPr>
          <w:rFonts w:ascii="Arial" w:cs="Arial" w:eastAsia="Arial" w:hAnsi="Arial"/>
          <w:sz w:val="16"/>
          <w:szCs w:val="16"/>
          <w:color w:val="auto"/>
        </w:rPr>
        <w:t>,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$309 million at September 30, 2020.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0" w:name="page51"/>
    <w:bookmarkEnd w:id="50"/>
    <w:p>
      <w:pPr>
        <w:jc w:val="both"/>
        <w:spacing w:after="0" w:line="275" w:lineRule="auto"/>
        <w:rPr>
          <w:sz w:val="20"/>
          <w:szCs w:val="20"/>
          <w:color w:val="auto"/>
        </w:rPr>
      </w:pPr>
      <w:r>
        <w:rPr>
          <w:rFonts w:ascii="Arial" w:cs="Arial" w:eastAsia="Arial" w:hAnsi="Arial"/>
          <w:sz w:val="17"/>
          <w:szCs w:val="17"/>
          <w:color w:val="auto"/>
        </w:rPr>
        <w:t>At September 30, 2020 we had total current assets of $19.9 million (including cash and cash equivalents of $18.3 million) and current liabilities of $5.4 million, resulting in net working capital of $14.5 million. At December 31, 2019 we had total current assets of $16.2 million (including cash, cash equivalents, short-term investment, interest receivable of $14.9 million) and current liabilities of $7.9 million, resulting in net working capital of $8.3 million.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operating activities for the first nine-months of 2020 was $11.9 million. Net cash provided by investing activities was $7.9 million during the first nine-months of 2020. Net cash provided by financing activities was $15.4 million during the first nine-months of 2020 from net proceeds received through the sale of our common stock partially which offset by $5.2 million loan and end of term fee payment in connection with the Amendment to the Horizon Credit Agreement. The Company also received $1.3 million from two PPP Loans in 2020 pursuant to the CARES Act which have been paid back in full as of September 30, 2020.</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expect to seek additional capital through further public or private equity offerings, debt financing, additional strategic alliance and licensing arrangements, collaborative arrangements, potential sales of our net operating losses,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adequate funds are not available through either the capital markets, strategic alliances, collaborators, or sales of our net operating losses,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until it is required to fund operations while at the same time maximizing the income, we receive from our investments without significantly increasing risk. Our cash flow and earnings are subject to fluctuations due to changes in interest rates in our investment portfolio. We maintain a portfolio of various issuers, types, and maturities. These securities are classified as available-for-sale and, consequently, are recorded on the condensed consolidated balance sheet at fair value with unrealized gains or losses reported as a component of accumulated other comprehensive loss included in stockholders’ equity.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highlight w:val="white"/>
        </w:rPr>
        <w:t>Except as discussed herein, the information required in this Item 3 is not significantly different from the information set forth in “Item 7A. Quantitative and Qualitative Disclosures About Market Risk” in our 2019 Form 10-K and is therefore not presented 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Exchange Act of 1934. Based on that evaluation, our principal executive officer and principal financial officer have concluded that, as of September 30, 2020, which is the end of the period covered by this report, our disclosure controls and procedures are effective at the reasonable assurance level in alerting them in a timely manner to material information required to be included in our periodic reports with the SEC.</w:t>
      </w:r>
    </w:p>
    <w:p>
      <w:pPr>
        <w:spacing w:after="0" w:line="1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that occurred during the period covered by this report that have materially affected, or are reasonably likely to materially affect, our internal control over financial reporting.</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September 20, 2019, a purported stockholder of the Company filed a derivative and putative class action lawsuit against the Company and certain officers and directors (the “Shareholder Action”). The Company was a defendant in this derivative and putative class action lawsuit in the Superior Court of New Jersey, Chancery Division, filed by a shareholder against the Company (as both a class action defendant and nominal defendant), and certain of its officers and directors (the “Individual Defendants”), with the caption O’Connor v. Braun et al., Docket No. MER-C-000068-19. The Shareholder Action alleged breaches of the defendants’ fiduciary duties based on allegations that the defendants omitted or made improper statements when seeking shareholder approval of the 2018 Stock Incentive Plan. The Shareholder Action sought, among other things, any damages sustained by the Company as a result of the defendants’ alleged wrongdoing, a declaratory judgment against all defendants invalidating the 2018 Stock Incentive Plan and declaring any awards made under the Plan invalid, rescinded, and subject to disgorgement, an order disgorging the equity awards granted to the Individual Defendants under the 2018 Stock Incentive Plan, and attorneys’ fees and costs. Without admitting the validity of any of the claims asserted in the Shareholder Action, or any liability with respect thereto, and expressly denying all allegations of wrongdoing, fault, liability, or damage against the Company and the Individual Defendants arising out of any of the conduct, statements, acts or omissions alleged, or that could have been alleged, in the Shareholder Action, the Company and the Individual Defendants concluded that it is desirable that the claims be settled on the terms and subject to the conditions set forth in the Settlement Agreement. The Company and the Individual Defendants are entering into the Settlement Agreement for settlement purposes only and solely to avoid the cost and disruption of further litigation.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24, 2020, the Company, the Individual Defendants, and the plaintiff (the “Parties”) entered into a Settlement Agreement and Release (the “Settlement Agreement”), which memorializes the terms of the Parties’ settlement of the Shareholder Action (the “Settlement”). The Settlement calls for repricing of certain stock options and payment of plaintiff legal fees of $187,500. On July 24, 2020, the Court issued an order approving the Parties’ proposed form of notice to shareholders regarding the Settlement. On August 3, 2020, the Company filed notice of the Settlement Agreement on Form 8-K as filed with the SEC. A hearing was held on September 8, 2020 whereby the Court issued a final approval approving the Settlement. Pursuant to the Settlement, the Company paid $187,500 on October 1, 2020.</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October 29, 2020, a putative securities class action was filed against the Company and certain of its officers and directors (the “Spar Individual Defendants”) in the United States District Court for the District of New Jersey, captioned </w:t>
      </w:r>
      <w:r>
        <w:rPr>
          <w:rFonts w:ascii="Arial" w:cs="Arial" w:eastAsia="Arial" w:hAnsi="Arial"/>
          <w:sz w:val="18"/>
          <w:szCs w:val="18"/>
          <w:i w:val="1"/>
          <w:iCs w:val="1"/>
          <w:color w:val="auto"/>
        </w:rPr>
        <w:t>Spar v. Celsion Corporation, et al.</w:t>
      </w:r>
      <w:r>
        <w:rPr>
          <w:rFonts w:ascii="Arial" w:cs="Arial" w:eastAsia="Arial" w:hAnsi="Arial"/>
          <w:sz w:val="18"/>
          <w:szCs w:val="18"/>
          <w:color w:val="auto"/>
        </w:rPr>
        <w:t>, Case No. 1:20-cv-15228. The plaintiff alleges that the Company and Individual Defendants made false and misleading statements regarding one of the Company’s product candidates, ThermoDox®, and brings claims for damages under Section 10(b) of the Exchange Act and Rule 10b-5 promulgated thereunder against all Defendants, and under Section 20(a) of the Exchange Act of 1934 against the Spar Individual Defendants. The Company believes that the case is without merit and intend to defend it vigorously. Due to the early stage of the case, neither the likelihood that a loss, if any, will be realized, nor an estimate of the possible loss or range of loss, if any, can be determined.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following is a summary of the risk factors, uncertainties, and assumptions that we believe are most relevant to our business. These are factors that, individually or in the aggregate, we think could cause our actual results to differ significantly from expected or historical results and our forward-looking statements. We note these factors for investors as permitted by Section 21E of the Exchange Act and Section 27A of the Securities Act. Additional risks that we currently believe are immaterial may also impair our business operations. Investors should carefully consider the risks described below before making an investment decision and understand that it is not possible to predict or identify all such factors. Consequently, investors should not consider the following to be a complete discussion of all potential risks or uncertainties that may impact our business.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 The description provided in this Item 1A includes any material changes to and supersedes the description of the risk factors associated with our business previously disclosed in Item 1A of our Annual Report on Form 10-K for the fiscal year ended December 31, 2019 filed on March 25, 2020 with the SEC. In assessing these risks, investors should also refer to the other information contained or incorporated by reference in this Quarterly Report and our other filings made from time to time with the SEC.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a history of significant losses from operations and expect to continue to incur significant losses for the foreseeable future.</w:t>
      </w: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Since our inception, our expenses have substantially exceeded our revenue, resulting in continuing losses and an accumulated deficit of $309 million at September 30, 2020. For the year ended December 31, 2019 and the nine-months ended September 30, 2020, we incurred net losses of $16.9 million and $18.5 million, respectively. We currently have no product revenue and do not expect to generate any product revenue for the foreseeable future. Because we are committed to continuing our product research, development, clinical trial and commercialization programs, we will continue to incur significant operating losses unless and until we complete the development of ThermoDox®, GEN-1 and other new product candidates and these product candidates have been clinically tested, approved by the United States Food and Drug Administration (FDA) and successfully marketed. The amount of future losses is uncertain. Our ability to achieve profitability, if ever, will depend on, among other things, us or our collaborators successfully developing product candidates, obtaining regulatory approvals to market and commercialize product candidates, manufacturing any approved products on commercially reasonable terms, delays or setbacks we may experience associated with our preclinical studies, clinical trials, third parties, or supply chain due to the COVID-19 pandemic, establishing a sales and marketing organization or suitable third-party alternatives for any approved product and raising sufficient funds to finance business activities. If we or our collaborators are unable to develop and commercialize one or more of our product candidates or if sales revenue from any product candidate that receives approval is insufficient, we will not achieve profitability, which could have a material adverse effect on our business, financial condition, results of operations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expect to generate revenue for the foreseeable future.</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devoted our resources to developing a new generation of products and will not be able to market these products until we have completed clinical trials and obtain all necessary governmental approvals. ThermoDox® and the product candidates we purchased in our acquisition of EGEN, including GEN-1, are still in various stages of development and trials and cannot be marketed until we have completed clinical testing and obtained necessary governmental approval. Following our announcement on January 31, 2013 that the HEAT Study failed to meet its primary endpoint of progression free survival, we continued to follow the patients enrolled in the HEAT Study to the secondary endpoint, overall survival. Based on the overall survival data from the post-hoc analysis of results from the HEAT Study, we launched a pivotal, double-blind, placebo-controlled Phase III trial of ThermoDox® in combination with RFA in primary liver cancer, known as the OPTIMA Study, in the first half of 2014. GEN-1 is currently in an early stage of clinical development for the treatment of ovarian cancer. We conducted a Phase I dose-escalation clinical trial of GEN-1 in combination with the standard of care in neo-adjuvant ovarian cancer starting in the second half of 2015 and completing enrollment in 2017. We also expanded our ovarian cancer development program to include a Phase I/II dose escalating trial evaluating GEN-1 in ovarian cancer patients. Our delivery technology platforms, TheraPlas and TheraSilence, are in preclinical stages of development. Accordingly, our revenue sources are, and will remain, extremely limited until our product candidates are clinically tested, approved by the FDA or foreign regulatory agencies and successfully marketed. We cannot guarantee that any of our product candidates will be approved by the FDA or any foreign regulatory agency or marketed, successfully or otherwise, at any time in the foreseeable future or at all.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p>
      <w:pPr>
        <w:jc w:val="both"/>
        <w:spacing w:after="0" w:line="282" w:lineRule="auto"/>
        <w:rPr>
          <w:sz w:val="20"/>
          <w:szCs w:val="20"/>
          <w:color w:val="auto"/>
        </w:rPr>
      </w:pPr>
      <w:r>
        <w:rPr>
          <w:rFonts w:ascii="Arial" w:cs="Arial" w:eastAsia="Arial" w:hAnsi="Arial"/>
          <w:sz w:val="18"/>
          <w:szCs w:val="18"/>
          <w:b w:val="1"/>
          <w:bCs w:val="1"/>
          <w:color w:val="auto"/>
        </w:rPr>
        <w:t>Drug development is an inherently uncertain process with a high risk of failure at every stage of development. Our lead drug candidate failed to meet its primary endpoint in our earlier Phase III clinical trial.</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31, 2013, we announced that ThermoDox® in combination with RFA failed to meet the primary endpoint of the Phase III clinical trial for primary liver cancer, known as the HEAT study. We have not completed our final analysis of the data and do not know the extent to which, if any, the failure of ThermoDox® to meet its primary endpoint in the Phase III trial could impact our other ongoing studies of ThermoDox® including a pivotal, double-blind, placebo-controlled Phase III trial of ThermoDox® in combination with RFA in primary liver cancer, known as the OPTIMA study, which we launched in the first half of 2014. The trial design of the OPTIMA study is based on the overall survival data from the post-hoc analysis of results from the HEAT study. We completed a Phase I dose-escalation clinical trial of GEN-1 in combination with the standard of care in neo-adjuvant ovarian cancer in the third quarter of 2017 and expanded our clinical development program for GEN-1 into a follow-on Phase I/II trial for newly diagnosed ovarian cancer in 2018.</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July 13, 2020, the Company announced that it has received a recommendation from the independent Data Monitoring Committee (DMC) to consider stopping the global Phase III OPTIMA Study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combination with radiofrequency ablation (RFA) for the treatment of hepatocellular carcinoma (HCC), or primary liver cancer. The recommendation was made following the second pre-planned interim safety and efficacy analysis by the DMC on July 9, 2020. The DMC’s analysis found that the pre-specified boundary for stopping the trial for futility of 0.900 was crossed with an actual value of 0.903. The Company followed the advice of the DMC and considered its options to either stop the study or continue to follow patients after a thorough review of the data, and an evaluation of the probability of success. Timing for this decision was made less urgent by the fact that the OPTIMA Study has been fully enrolled since August 2018 and that the vast majority of the trial expenses have already been incurred. On August 4, 2020, the Company issued a press release announcing it will continue following patients for overall survival (“OS”), noting that the unexpected and marginally crossed futility boundary, suggested by the Kaplan-Meier analysis at the second interim analysis on July 9, 2020, may be associated with a data maturity issue. On October 12, 2020, the Company issued a letter to stockholders providing an update on the ongoing data analysis from its Phase III OPTIMA</w:t>
      </w:r>
    </w:p>
    <w:p>
      <w:pPr>
        <w:spacing w:after="0" w:line="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Study with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as well as growing interest among clinical investigators in conducting studies with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as a monotherapy or in combination with other therapies. In summary, the Company will continue to report findings from these independent statistical analyses before the end of the year, either or both of which will guide our decision to continue to follow patients to the final analysis at 197 or more deaths, a milestone that should be reached sometime in mid-2021.</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Preclinical testing and clinical trials are long, expensive, and highly uncertain processes and failure can unexpectedly occur at any stage of clinical development, as evidenced by the failure of ThermoDox® to meet its primary endpoint in the HEAT study. Drug development is inherently risky and clinical trials take us several years to complete.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have the financial resources to continue development of, or to enter into collaborations for, a product candidate if we experience any problems or other unforeseen events that delay or prevent regulatory approval of, or our ability to commercialize, product candidates. The failure of one or more of our drug candidates or development programs could have a material adverse effect on our business, financial condition, and results of operations.</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will need to raise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not generated significant revenue and have incurred significant net losses in each year since our inception. For the year ended December 31, 2019 and the nine-months ended September 30, 2020, we incurred net losses of $16.9 million and $18.5 million, respectively. We have incurred approximately $309 million of cumulative net losses. As of September 30, 2020, we had cash and cash equivalents of $18.3 million.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jc w:val="both"/>
        <w:spacing w:after="0" w:line="287" w:lineRule="auto"/>
        <w:rPr>
          <w:sz w:val="20"/>
          <w:szCs w:val="20"/>
          <w:color w:val="auto"/>
        </w:rPr>
      </w:pPr>
      <w:r>
        <w:rPr>
          <w:rFonts w:ascii="Arial" w:cs="Arial" w:eastAsia="Arial" w:hAnsi="Arial"/>
          <w:sz w:val="16"/>
          <w:szCs w:val="16"/>
          <w:color w:val="auto"/>
        </w:rPr>
        <w:t>We have substantial future capital requirements to continue our research and development activities and advance our product candidates through various development stages. For example, ThermoDox® is currently being evaluated in a Phase III clinical trial in combination with RFA for the treatment of primary liver cancer and other preclinical studies. On July 13, 2020, the Company announced that it has received a recommendation from the independent</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Data Monitoring Committee (DMC) to consider stopping the global Phase III OPTIMA Study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combination with radiofrequency ablation (RFA) for the treatment of hepatocellular carcinoma (HCC), or primary liver cancer. The recommendation was made following the second pre-planned interim safety and efficacy analysis by the DMC on July 9, 2020. The DMC’s analysis found that the pre-specified boundary for stopping the trial for futility of 0.900 was crossed with an actual value of 0.903. The Company followed the advice of the DMC and considered its options to either stop the study or continue to follow patients after a thorough review of the data, and an evaluation of the probability of success. Timing for this decision was made less urgent by the fact that the OPTIMA Study has been fully enrolled since August 2018 and that the vast majority of the trial expenses have already been incurred. On August 4, 2020, the Company issued a press release announcing it will continue following patients for overall survival (“OS”), noting that the unexpected and marginally crossed futility boundary, suggested by the Kaplan-Meier analysis at the second interim analysis on July 9, 2020, may be associated with a data maturity issue. On October 12, 2020, the Company issued a letter to stockholders providing an update on the ongoing data analysis</w:t>
      </w:r>
    </w:p>
    <w:p>
      <w:pPr>
        <w:spacing w:after="0" w:line="7" w:lineRule="exact"/>
        <w:rPr>
          <w:sz w:val="20"/>
          <w:szCs w:val="20"/>
          <w:color w:val="auto"/>
        </w:rPr>
      </w:pPr>
    </w:p>
    <w:p>
      <w:pPr>
        <w:jc w:val="both"/>
        <w:spacing w:after="0" w:line="200" w:lineRule="auto"/>
        <w:rPr>
          <w:sz w:val="20"/>
          <w:szCs w:val="20"/>
          <w:color w:val="auto"/>
        </w:rPr>
      </w:pPr>
      <w:r>
        <w:rPr>
          <w:rFonts w:ascii="Arial" w:cs="Arial" w:eastAsia="Arial" w:hAnsi="Arial"/>
          <w:sz w:val="18"/>
          <w:szCs w:val="18"/>
          <w:color w:val="auto"/>
        </w:rPr>
        <w:t>from its Phase III OPTIMA Study with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as well as growing interest among clinical investigators in conducting studies with 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as a monotherapy or in combination with other therapies. In summary, the Company will continue to report findings from these independent statistical analyses before the end of the year, either or both of which will guide our decision to continue to follow patients to the final analysis at 197 or more deaths, a milestone that should be reached sometime in mid-2021.</w:t>
      </w:r>
    </w:p>
    <w:p>
      <w:pPr>
        <w:spacing w:after="0" w:line="20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completed a Phase I dose-escalation clinical trial of GEN-1 in combination with the standard of care in neo-adjuvant ovarian cancer in the third quarter of 2017 and expanded our clinical development program for GEN-1 into a follow-on Phase I/II trial for newly diagnosed ovarian cancer in 2018.</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 complete the development and commercialization of our product candidates, we will need to raise substantial amounts of additional capital to fund our operations. Our future capital requirements will depend upon numerous unpredictable factors, including, without limitation, the cost, timing, progress and outcomes of clinical studies and regulatory reviews of our proprietary drug candidates, including any unforeseen delays or increased costs we may incur as a result of the COVID-19 pandemic or other causes, our efforts to implement new collaborations, licenses and strategic transactions, general and administrative expenses, capital expenditures and other unforeseen uses of cash. We do not have any committed sources of financing and cannot assure you that alternate funding will be available in a timely manner, on acceptable terms or at all. We may need to pursue dilutive equity financings, such as the issuance of shares of common stock, convertible debt or other convertible or exercisable securities. Such dilutive equity financings could dilute the percentage ownership of our current common stockholders and could significantly lower the market value of our common stock. In addition, a financing could result in the issuance of new securities that may have rights, preferences, or privileges senior to those of our existing stockholders.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we are unable to obtain additional capital on a timely basis or on acceptable terms, we may be required to delay, reduce or terminate our research and development programs and preclinical studies or clinical trials, if any, limit strategic opportunities or undergo corporate restructuring activities. We also could be required to seek funds through arrangements with collaborators or others that may require us to relinquish rights to some of our technologies, product candidates or potential markets or that could impose onerous financial or other terms. Furthermore, if we cannot fund our ongoing development and other operating requirements, particularly those associated with our obligations to conduct clinical trials under our licensing agreements, we will be in breach of these licensing agreements and could therefore lose our license rights, which could have material adverse effects on our business.</w:t>
      </w:r>
    </w:p>
    <w:p>
      <w:pPr>
        <w:spacing w:after="0" w:line="16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obtain regulatory approvals from the FDA and foreign regulatory agencies, we must conduct clinical trials demonstrating that our products are safe and effective. We may need to amend ongoing trials, or the FDA and/or foreign regulatory agencies may require us to perform additional trials beyond those we planned. The testing and approval process require substantial time, effort and resources, and generally takes a number of years to complete. The time to complete testing and obtaining approvals is uncertain, and the FDA and foreign regulatory agencies have substantial discretion, at any phase of development, to terminate clinical studies, require additional clinical studies or other testing, delay or withhold approval, and mandate product withdrawals, including recalls. In addition, our drug candidates may have undesirable side effects or other unexpected characteristics that could cause us or regulatory authorities to interrupt, delay or halt clinical trials and could result in a more restricted label or the delay or denial of regulatory approval by regulatory authorities.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6" w:name="page57"/>
    <w:bookmarkEnd w:id="56"/>
    <w:p>
      <w:pPr>
        <w:jc w:val="both"/>
        <w:spacing w:after="0" w:line="291" w:lineRule="auto"/>
        <w:rPr>
          <w:sz w:val="20"/>
          <w:szCs w:val="20"/>
          <w:color w:val="auto"/>
        </w:rPr>
      </w:pPr>
      <w:r>
        <w:rPr>
          <w:rFonts w:ascii="Arial" w:cs="Arial" w:eastAsia="Arial" w:hAnsi="Arial"/>
          <w:sz w:val="16"/>
          <w:szCs w:val="16"/>
          <w:color w:val="auto"/>
        </w:rPr>
        <w:t>Even if we receive regulatory approval of a product, the approval may limit the indicated uses for which the drug may be marketed. The failure to obtain timely regulatory approval of product candidates, the imposition of marketing limitations, or a product withdrawal would negatively impact our business, results of operations and financial condition. Even if we receive approval, we will be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 Finally, even if we obtain FDA approval of any of our product candidates, we may never obtain approval or commercialize such products outside of the United States, given that we may be subject to additional or different regulatory burdens in other markets. This could limit our ability to realize their full market potential.</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industry is highly regulated by the FDA and comparable foreign regulatory agencies. We must comply with extensive, strictly enforced regulatory requirements to develop, obtain, and maintain marketing approval for any of our product candidates.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Securing FDA or comparable foreign regulatory approval requires the submission of extensive preclinical and clinical data and supporting information for each therapeutic indication to establish the product candidate’s safety and efficacy for its intended use. It takes years to complete the testing of a new drug or biological product and development delays and/or failure can occur at any stage of testing. Any of our present and future clinical trials may be delayed, halted, not authorized, or approval of any of our products may be delayed or may not be obtained due to any of the following:</w:t>
      </w:r>
    </w:p>
    <w:p>
      <w:pPr>
        <w:spacing w:after="0" w:line="171" w:lineRule="exact"/>
        <w:rPr>
          <w:sz w:val="20"/>
          <w:szCs w:val="20"/>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factors related to the COVID-19 pandemic, including regulators or institutional review boards, or IRBs, or ethics committees may not authorize us or our investigators to commence a clinical trial or conduct a clinical trial at a prospective trial site</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preclinical test or clinical trial may fail to produce safety and efficacy results satisfactory to the FDA or comparable foreign regulatory authorities;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preclinical and clinical data can be interpreted in different ways, which could delay, limit, or prevent marketing approval;</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or inconclusive results from a preclinical test or clinical trial or adverse events during a clinical trial could cause a preclinical study or clinical trial to be repeated or a development program to be terminated, even if other studies relating to the development program are ongoing or have been completed and were successful;</w:t>
      </w:r>
    </w:p>
    <w:p>
      <w:pPr>
        <w:spacing w:after="0" w:line="18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can place a clinical hold on a trial if, among other reasons, it finds that subjects enrolled in the trial are or would be exposed to an unreasonable and significant risk of illness or injury;</w:t>
      </w:r>
    </w:p>
    <w:p>
      <w:pPr>
        <w:spacing w:after="0" w:line="170" w:lineRule="exact"/>
        <w:rPr>
          <w:rFonts w:ascii="Arial" w:cs="Arial" w:eastAsia="Arial" w:hAnsi="Arial"/>
          <w:sz w:val="18"/>
          <w:szCs w:val="18"/>
          <w:color w:val="auto"/>
        </w:rPr>
      </w:pPr>
    </w:p>
    <w:p>
      <w:pPr>
        <w:jc w:val="both"/>
        <w:ind w:left="660" w:right="20" w:hanging="65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facilities that we utilize, or the processes or facilities of third-party vendors, including without limitation the contract manufacturers who will be manufacturing drug substance and drug product for us or any potential collaborators, may not satisfactorily complete inspections by the FDA or comparable foreign regulatory authorities; and</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encounter delays or rejections based on changes in FDA policies or the policies of comparable foreign regulatory authorities during the period in which we develop a product candidate, or the period required for review of any final marketing approval before we are able to market any product candidate.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information generated during the clinical trial process is susceptible to varying interpretations that could delay, limit, or prevent marketing approval at any stage of the approval process. 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p>
      <w:pPr>
        <w:jc w:val="both"/>
        <w:spacing w:after="0" w:line="270" w:lineRule="auto"/>
        <w:rPr>
          <w:sz w:val="20"/>
          <w:szCs w:val="20"/>
          <w:color w:val="auto"/>
        </w:rPr>
      </w:pPr>
      <w:r>
        <w:rPr>
          <w:rFonts w:ascii="Arial" w:cs="Arial" w:eastAsia="Arial" w:hAnsi="Arial"/>
          <w:sz w:val="17"/>
          <w:szCs w:val="17"/>
          <w:color w:val="auto"/>
        </w:rPr>
        <w:t>Separately, in response to the COVID-19 global pandemic, on March 10, 2020, the FDA announced its intention to postpone most inspections of foreign manufacturing facilities and products through at least April 2020, though no set end date has been determined. On March 18, 2020, the FDA announced its intention to temporarily postpone routine surveillance inspections of domestic manufacturing facilities. Regulatory authorities outside the United States may adopt similar restrictions or other policy measures in response to the COVID-19 pandemic and provide guidance regarding the conduct of clinical trials, which guidance continues to evolve. In April 2020, the FDA stated that its New Drug Program was continuing to meet program user fee performance goals, but due to many agency staff working on COVID-19 activities, it was possible that the FDA would not be able to sustain that level of performance indefinitely.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outbreak of the novel coronavirus disease, COVID-19, could adversely impact our business, including our preclinical studies and clinical trials.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2020, the World Health Organization declared COVID-19 a global pandemic, and the U.S. Department of Health and Human Services declared a public health emergency to aid the U.S. healthcare community in responding to COVID-19. This virus continues to spread globally and, as of June 2020, has spread to over 100 countries, including the United States. Governments and businesses around the world have taken unprecedented actions to mitigate the spread of COVID-19, including, but not limited to, shelter-in-place orders, quarantines, and significant restrictions on travel, as well as restrictions that prohibit many employees from going to work. Uncertainty with respect to the economic impacts of the pandemic has introduced significant volatility in the financial markets. The Company did not observe significant impacts on its business or results of operations for the three-months or nine-months ended September 30, 2020 due to the global emergence of COVID-19. While the extent to which COVID-19 impacts the Company’s future results will depend on future developments, the pandemic and associated economic impacts could result in a material impact to the Company’s future financial condition, results of operations and cash flows.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ability to raise additional capital may be adversely impacted by potential worsening global economic conditions and the recent disruptions to, and volatility in, financial markets in the United States and worldwide resulting from the ongoing COVID-19 pandemic.</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disruptions caused by COVID-19 may also disrupt preclinical studies, the clinical trials process and enrollment of patients. This may delay commercialization efforts. The Company is currently monitoring its operating activities in light of these events and it is reasonably possible that the virus could have a negative effect on the Company’s financial condition and results of operations, the specific impact is not readily determinable as of the date of this report.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as of the date of this report, we have not experienced any material disruptions to the execution of the clinical trials and the research and development activities that we currently have underway, as a result of the pandemic we may experience disruptions that could severely impact research and development timelines and outcomes, including, but not limited to:</w:t>
      </w:r>
    </w:p>
    <w:p>
      <w:pPr>
        <w:spacing w:after="0" w:line="184" w:lineRule="exact"/>
        <w:rPr>
          <w:sz w:val="20"/>
          <w:szCs w:val="20"/>
          <w:color w:val="auto"/>
        </w:rPr>
      </w:pPr>
    </w:p>
    <w:p>
      <w:pPr>
        <w:ind w:left="660" w:hanging="38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225" w:lineRule="exact"/>
        <w:rPr>
          <w:rFonts w:ascii="Arial" w:cs="Arial" w:eastAsia="Arial" w:hAnsi="Arial"/>
          <w:sz w:val="18"/>
          <w:szCs w:val="18"/>
          <w:color w:val="auto"/>
        </w:rPr>
      </w:pPr>
    </w:p>
    <w:p>
      <w:pPr>
        <w:ind w:left="660" w:hanging="38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225" w:lineRule="exact"/>
        <w:rPr>
          <w:rFonts w:ascii="Arial" w:cs="Arial" w:eastAsia="Arial" w:hAnsi="Arial"/>
          <w:sz w:val="18"/>
          <w:szCs w:val="18"/>
          <w:color w:val="auto"/>
        </w:rPr>
      </w:pPr>
    </w:p>
    <w:p>
      <w:pPr>
        <w:ind w:left="660" w:hanging="38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8" w:name="page59"/>
    <w:bookmarkEnd w:id="58"/>
    <w:p>
      <w:pPr>
        <w:jc w:val="both"/>
        <w:ind w:left="660" w:hanging="382"/>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state or foreign governments, employers and others or interruption of clinical trial subject visits and study procedures (such as procedures that are deemed non-essential under law, regulation or institutional policies), which may impact the integrity of subject data and clinical study endpoints;</w:t>
      </w:r>
    </w:p>
    <w:p>
      <w:pPr>
        <w:spacing w:after="0" w:line="186" w:lineRule="exact"/>
        <w:rPr>
          <w:rFonts w:ascii="Arial" w:cs="Arial" w:eastAsia="Arial" w:hAnsi="Arial"/>
          <w:sz w:val="18"/>
          <w:szCs w:val="18"/>
          <w:color w:val="auto"/>
        </w:rPr>
      </w:pPr>
    </w:p>
    <w:p>
      <w:pPr>
        <w:ind w:left="660" w:hanging="38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225" w:lineRule="exact"/>
        <w:rPr>
          <w:rFonts w:ascii="Arial" w:cs="Arial" w:eastAsia="Arial" w:hAnsi="Arial"/>
          <w:sz w:val="18"/>
          <w:szCs w:val="18"/>
          <w:color w:val="auto"/>
        </w:rPr>
      </w:pPr>
    </w:p>
    <w:p>
      <w:pPr>
        <w:ind w:left="660" w:right="20" w:hanging="38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170" w:lineRule="exact"/>
        <w:rPr>
          <w:rFonts w:ascii="Arial" w:cs="Arial" w:eastAsia="Arial" w:hAnsi="Arial"/>
          <w:sz w:val="18"/>
          <w:szCs w:val="18"/>
          <w:color w:val="auto"/>
        </w:rPr>
      </w:pPr>
    </w:p>
    <w:p>
      <w:pPr>
        <w:ind w:left="660" w:hanging="38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contracted research facilities;</w:t>
      </w:r>
    </w:p>
    <w:p>
      <w:pPr>
        <w:spacing w:after="0" w:line="225" w:lineRule="exact"/>
        <w:rPr>
          <w:rFonts w:ascii="Arial" w:cs="Arial" w:eastAsia="Arial" w:hAnsi="Arial"/>
          <w:sz w:val="18"/>
          <w:szCs w:val="18"/>
          <w:color w:val="auto"/>
        </w:rPr>
      </w:pPr>
    </w:p>
    <w:p>
      <w:pPr>
        <w:ind w:left="660" w:hanging="38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costs we may incur as a result of the impact of the COVID-19 pandemic, including the costs of mitigation efforts;</w:t>
      </w:r>
    </w:p>
    <w:p>
      <w:pPr>
        <w:spacing w:after="0" w:line="225" w:lineRule="exact"/>
        <w:rPr>
          <w:rFonts w:ascii="Arial" w:cs="Arial" w:eastAsia="Arial" w:hAnsi="Arial"/>
          <w:sz w:val="18"/>
          <w:szCs w:val="18"/>
          <w:color w:val="auto"/>
        </w:rPr>
      </w:pPr>
    </w:p>
    <w:p>
      <w:pPr>
        <w:ind w:left="660" w:hanging="38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deterioration of worldwide credit and financial markets that could limit our ability to obtain external financing to fund our operations and capital expenditures;</w:t>
      </w:r>
    </w:p>
    <w:p>
      <w:pPr>
        <w:spacing w:after="0" w:line="170" w:lineRule="exact"/>
        <w:rPr>
          <w:rFonts w:ascii="Arial" w:cs="Arial" w:eastAsia="Arial" w:hAnsi="Arial"/>
          <w:sz w:val="18"/>
          <w:szCs w:val="18"/>
          <w:color w:val="auto"/>
        </w:rPr>
      </w:pPr>
    </w:p>
    <w:p>
      <w:pPr>
        <w:ind w:left="660" w:hanging="382"/>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investment-related risks, including difficulties in liquidating investments due to current market conditions and adverse investment performance;</w:t>
      </w:r>
    </w:p>
    <w:p>
      <w:pPr>
        <w:spacing w:after="0" w:line="248" w:lineRule="exact"/>
        <w:rPr>
          <w:rFonts w:ascii="Arial" w:cs="Arial" w:eastAsia="Arial" w:hAnsi="Arial"/>
          <w:sz w:val="16"/>
          <w:szCs w:val="16"/>
          <w:color w:val="auto"/>
        </w:rPr>
      </w:pPr>
    </w:p>
    <w:p>
      <w:pPr>
        <w:ind w:left="660" w:right="20" w:hanging="38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limitations on employee resources that would otherwise be focused on the conduct of our research and development activities, including because of sickness of employees or their families or the desire of employees to avoid contact with large groups of people; or</w:t>
      </w:r>
    </w:p>
    <w:p>
      <w:pPr>
        <w:spacing w:after="0" w:line="146" w:lineRule="exact"/>
        <w:rPr>
          <w:rFonts w:ascii="Arial" w:cs="Arial" w:eastAsia="Arial" w:hAnsi="Arial"/>
          <w:sz w:val="17"/>
          <w:szCs w:val="17"/>
          <w:color w:val="auto"/>
        </w:rPr>
      </w:pPr>
    </w:p>
    <w:p>
      <w:pPr>
        <w:jc w:val="both"/>
        <w:ind w:left="660" w:hanging="382"/>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interruptions or limitations of the types described affecting our service providers and collaboration partners, including contract research organizations running clinical trials and collaboration partners sponsoring clinical trials in which we are supplying our product candidates or otherwise participating.</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the trading prices for common stock of other biopharmaceutical companies have been highly volatile as a result of the COVID-19 pandemic. The COVID-19 pandemic continues to rapidly evolve. The extent to which the outbreak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diagnose, contain and treat the disease. If we or any of the third parties with whom we engage were to experience shutdowns or other business disruptions, our ability to conduct our business and development activities in the manner and on the timelines presently planned could be materially and negatively impacted. There can be no assurance that any such disruptions or delays will not materially adversely impact our business, results of operations, access to financial resources and our financial condition.</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New gene-based products for therapeutic applications are subject to extensive regulation by the FDA and comparable agencies in other countries. The precise regulatory requirements with which we will have to comply, now and in the future, are uncertain due to the novelty of the gene-based products we are developing.</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regulatory approval process for novel product candidates such as ours can be significantly more expensive and take longer than for other, better known or more extensively studied product candidates. Limited data exist regarding the safety and efficacy of DNA-based therapeutics compared with conventional therapeutics, and government regulation of DNA-based therapeutics is evolving. Regulatory requirements governing gene and cell therapy products have changed frequently and may continue to change in the future. The FDA has established the Office of Cellular, Tissue and Gene Therapies within its Center for Biologics Evaluation and Research (CBER), to consolidate the review of gene therapy and related products, and has established the Cellular, Tissue and Gene Therapies Advisory Committee to advise CBER in its review. It is difficult to determine how long it will take or how much it will cost to obtain regulatory approvals for our product candidates in either the U.S. or the European Union or how long it will take to commercialize our product candidates.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9" w:name="page60"/>
    <w:bookmarkEnd w:id="59"/>
    <w:p>
      <w:pPr>
        <w:jc w:val="both"/>
        <w:spacing w:after="0" w:line="288" w:lineRule="auto"/>
        <w:rPr>
          <w:sz w:val="20"/>
          <w:szCs w:val="20"/>
          <w:color w:val="auto"/>
        </w:rPr>
      </w:pPr>
      <w:r>
        <w:rPr>
          <w:rFonts w:ascii="Arial" w:cs="Arial" w:eastAsia="Arial" w:hAnsi="Arial"/>
          <w:sz w:val="16"/>
          <w:szCs w:val="16"/>
          <w:color w:val="auto"/>
        </w:rPr>
        <w:t>Adverse events or the perception of adverse events in the field of gene therapy generally, or with respect to our product candidates specifically, may have a particularly negative impact on public perception of gene therapy and result in greater governmental regulation, including future bans or stricter standards imposed on gene-based therapy clinical trials, stricter labeling requirements and other regulatory delays in the testing or approval of our potential products. For example, if we were to engage an NIH-funded institution to conduct a clinical trial, we may be subject to review by the NIH Office of Biotechnology Activities’ Recombinant DNA Advisory Committee (the RAC). If undertaken, RAC can delay the initiation of a clinical trial, even if the FDA has reviewed the trial design and details and approved its initiation. Conversely, the FDA can put an investigational new drug (IND) application on a clinical hold even if the RAC has provided a favorable review or an exemption from in-depth, public review. Such committee and advisory group reviews and any new guidelines they promulgate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Any increased scrutiny could delay or increase the costs of our product development efforts or clinical trials.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Even if our products receive regulatory approval, they may still face future development and regulatory difficulties. Government regulators may impose significant restrictions on a product’s indicated uses or marketing or impose ongoing requirements for potentially costly post-approval studies. This governmental oversight may be particularly strict with respect to gene-based therapies.</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continue our development of our product candidates and initiate clinical trials of our additional product candidates, serious adverse events, undesirable side effects or unexpected characteristics may emerge causing us to abandon these product candidates or limit their development to more narrow uses or subpopulations in which the serious adverse events, undesirable side effects or other characteristics are less prevalent, less severe or more acceptable from a risk-benefit perspective.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Even if our product candidates initially show promise in these early clinical trials, the side effects of drugs are frequently only detectable after they are tested in large, Phase 3 clinical trials or, in some cases, after they are made available to patients on a commercial scale after approval. Sometimes, it can be difficult to determine if the serious adverse or unexpected side effects were caused by the product candidate or another factor, especially in oncology subjects who may suffer from other medical conditions and be taking other medications. If serious adverse or unexpected side effects are identified during development and are determined to be attributed to our product candidate, we may be required to develop a Risk Evaluation and Mitigation Strategy (REMS) to mitigate those serious safety risks, which could impose significant distribution and use restrictions on our products.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drug-related side effects could also affect subject recruitment or the ability of enrolled subjects to complete the trial, result in potential product liability claims, reputational harm, withdrawal of approvals, a requirement to include additional warnings on the label or to create a medication guide outlining the risks of such side effects for distribution to patients. It can also result in patient harm, liability lawsuits, and reputational harm. Any of these occurrences could prevent us from achieving or maintaining market acceptance and may harm our business, financial condition, and prospects significantly.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0" w:name="page61"/>
    <w:bookmarkEnd w:id="60"/>
    <w:p>
      <w:pPr>
        <w:jc w:val="both"/>
        <w:spacing w:after="0" w:line="282" w:lineRule="auto"/>
        <w:rPr>
          <w:sz w:val="20"/>
          <w:szCs w:val="20"/>
          <w:color w:val="auto"/>
        </w:rPr>
      </w:pPr>
      <w:r>
        <w:rPr>
          <w:rFonts w:ascii="Arial" w:cs="Arial" w:eastAsia="Arial" w:hAnsi="Arial"/>
          <w:sz w:val="18"/>
          <w:szCs w:val="18"/>
          <w:b w:val="1"/>
          <w:bCs w:val="1"/>
          <w:color w:val="auto"/>
        </w:rPr>
        <w:t>If we encounter difficulties enrolling patients in our clinical trials, our clinical development activities could be delayed or otherwise adversely affected.</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spacing w:after="0" w:line="18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patient eligibility and exclusion criteria defined in the protocol;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 and the process for identifying patients;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our research programs resulting from factors related to the COVID-19 pandemic;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or availability of patients to participate in our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competing commercially available therapies and other competing drug candidates’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and maintain patient informed consents;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Certain of our planned clinical trials may also involve invasive procedures, which may lead some patients to drop out of trials to avoid these follow-up procedures.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timely enrollment in clinical trials is reliant on clinical trial sites which may be adversely affected by global health matters, including, among other things, pandemics. For example, our clinical trial sites may be located in regions currently being affected by the COVID-19 coronavirus. Some factors from the COVID-19 coronavirus outbreak that we believe may adversely affect enrollment in our trials include:</w:t>
      </w:r>
    </w:p>
    <w:p>
      <w:pPr>
        <w:spacing w:after="0" w:line="184" w:lineRule="exact"/>
        <w:rPr>
          <w:sz w:val="20"/>
          <w:szCs w:val="20"/>
          <w:color w:val="auto"/>
        </w:rPr>
      </w:pPr>
    </w:p>
    <w:p>
      <w:pPr>
        <w:jc w:val="both"/>
        <w:ind w:left="66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diversion of healthcare resources away from the conduct of clinical trial matters to focus on pandemic concerns, including the attention of infectious disease physicians serving as our clinical trial investigators, hospitals serving as our clinical trial sites and hospital staff supporting the conduct of our clinical trials;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patients who would otherwise be candidates for enrollment in our clinical trials, may become infected with the COVID-19 coronavirus, which may kill some patients and render others too ill to participate, limiting the available pool of participants for our trials;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on travel that interrupt key trial activities, such as clinical trial site initiations and monitoring;</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investigational drug product and comparator drugs used in our trials; and</w:t>
      </w:r>
    </w:p>
    <w:p>
      <w:pPr>
        <w:spacing w:after="0" w:line="170" w:lineRule="exact"/>
        <w:rPr>
          <w:rFonts w:ascii="Arial" w:cs="Arial" w:eastAsia="Arial" w:hAnsi="Arial"/>
          <w:sz w:val="18"/>
          <w:szCs w:val="18"/>
          <w:color w:val="auto"/>
        </w:rPr>
      </w:pPr>
    </w:p>
    <w:p>
      <w:pPr>
        <w:jc w:val="center"/>
        <w:ind w:left="5540" w:right="240" w:hanging="5208"/>
        <w:spacing w:after="0" w:line="527" w:lineRule="auto"/>
        <w:tabs>
          <w:tab w:leader="none" w:pos="662"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employee furlough days that delay necessary interactions with local regulators, ethics committees and other important agencies and contractors.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1" w:name="page62"/>
    <w:bookmarkEnd w:id="61"/>
    <w:p>
      <w:pPr>
        <w:jc w:val="both"/>
        <w:spacing w:after="0" w:line="263" w:lineRule="auto"/>
        <w:rPr>
          <w:sz w:val="20"/>
          <w:szCs w:val="20"/>
          <w:color w:val="auto"/>
        </w:rPr>
      </w:pPr>
      <w:r>
        <w:rPr>
          <w:rFonts w:ascii="Arial" w:cs="Arial" w:eastAsia="Arial" w:hAnsi="Arial"/>
          <w:sz w:val="18"/>
          <w:szCs w:val="18"/>
          <w:color w:val="auto"/>
        </w:rPr>
        <w:t>These and other factors arising from the COVID-19 coronavirus could worsen in countries that are already afflicted with the virus or could continue to spread to additional countries, each of which may further adversely impact our clinical trials. The global outbreak of the COVID-19 coronavirus continues to evolve and the conduct of our trials may continue to be adversely affected, despite efforts to mitigate this impact.</w:t>
      </w:r>
    </w:p>
    <w:p>
      <w:pPr>
        <w:spacing w:after="0" w:line="180"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We may not successfully engage in future strategic transactions, which could adversely affect our ability to develop and commercialize product candidates, impact our cash position, increase our expense, and present significant distractions to our management.</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future, we may consider strategic alternatives intended to further the development of our business, which may include acquiring businesses, technologies, or products, out- or in-licensing product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product candidates and have a negative impact on the competitiveness of any product candidate that reaches market.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Strategic transactions, such as acquisitions, partnerships, and collaborations, including the EGEN asset acquisition, involve numerous risks, including:</w:t>
      </w:r>
    </w:p>
    <w:p>
      <w:pPr>
        <w:spacing w:after="0" w:line="248" w:lineRule="exact"/>
        <w:rPr>
          <w:sz w:val="20"/>
          <w:szCs w:val="20"/>
          <w:color w:val="auto"/>
        </w:rPr>
      </w:pPr>
    </w:p>
    <w:p>
      <w:pPr>
        <w:ind w:left="980" w:hanging="648"/>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failure of markets for the products of acquired businesses, technologies, or product lines to develop as expected;</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uncertainties in identifying and pursuing acquisition targets;</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challenges in achieving strategic objectives, cost savings and other benefits expected from acquisitions;</w:t>
      </w:r>
    </w:p>
    <w:p>
      <w:pPr>
        <w:spacing w:after="0" w:line="225"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 that the financial returns on acquisitions will not support the expenditures incurred to acquire such businesses or the capital expenditures needed to develop such businesses;</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assimilating the acquired businesses, technologies, or product lines;</w:t>
      </w:r>
    </w:p>
    <w:p>
      <w:pPr>
        <w:spacing w:after="0" w:line="225"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failure to successfully manage additional business locations, including the additional infrastructure and resources necessary to support and integrate such locations;</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existence of unknown product defects related to acquired businesses, technologies or product lines that may not be identified due to the inherent limitations involved in the due diligence process of an acquisition;</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2" w:name="page63"/>
    <w:bookmarkEnd w:id="62"/>
    <w:p>
      <w:pPr>
        <w:ind w:left="980" w:hanging="648"/>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associated with entering markets or conducting operations with which we have no or limited direct prior experience;</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associated with assuming the legal obligations of acquired businesses, technologies, or product lines;</w:t>
      </w:r>
    </w:p>
    <w:p>
      <w:pPr>
        <w:spacing w:after="0" w:line="225"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related to the effect that internal control processes of acquired businesses might have on our financial reporting and management’s report on our internal control over financial reporting;</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loss of key employees related to acquired businesses, technologies, or product lines; and</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incurrence of significant exit charges if products or technologies acquired in business combinations are unsuccessful.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never realize the perceived benefits of the EGEN asset acquisition or potential future transactions. We cannot assure you that we will be successful in overcoming problems encountered in connection with any transactions, and our inability to do so could significantly harm our business, results of operations and financial condition. These transactions could dilute a stockholder’s investment in us and cause us to incur debt, contingent liabilities and amortization/impairment charges related to intangible assets, all of which could materially and adversely affect our business, results of operations and financial condition. In addition, our effective tax rate for future periods could be negatively impacted by the EGEN asset acquisition or potential future transactions.</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success will depend, in a substantial part, on our ability to maintain our rights under license agreements granting us rights to use patented technologies. For instance, we are party 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If we breach any provisions of the license and research agreements, we may lose our ability to use the subject technology, as well as compensation for our efforts in developing or exploiting the technology. Any such loss of rights and access to technology could have a material adverse effect on our business.</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another’s claimed proprietary rights.</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any of our pending patent applications do not issue, or are deemed invalid following issuance, we may lose valuable intellectual property protection.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patent positions of pharmaceutical and biotechnology companies, such as ours, are uncertain and involve complex legal and factual issues. We own various U.S. and international patents and have pending U.S. and international patent applications that cover various aspects of our technologies. There can be no assurance that patents that have issued will be held valid and enforceable in a court of law through the entire patent term. Even for patents that are held valid and enforceable, the legal process associated with obtaining such a judgment is time consuming and costly. Additionally, issued patents can be subject to opposition, interferences or other proceedings that can result in the revocation of the patent or maintenance of the patent in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patents. We may have to participate in interference proceedings declared by the U.S. Patent and Trademark Office, which could result in a loss of the patent and/or substantial cost to us.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3" w:name="page64"/>
    <w:bookmarkEnd w:id="63"/>
    <w:p>
      <w:pPr>
        <w:jc w:val="both"/>
        <w:spacing w:after="0" w:line="254" w:lineRule="auto"/>
        <w:rPr>
          <w:sz w:val="20"/>
          <w:szCs w:val="20"/>
          <w:color w:val="auto"/>
        </w:rPr>
      </w:pPr>
      <w:r>
        <w:rPr>
          <w:rFonts w:ascii="Arial" w:cs="Arial" w:eastAsia="Arial" w:hAnsi="Arial"/>
          <w:sz w:val="18"/>
          <w:szCs w:val="18"/>
          <w:color w:val="auto"/>
        </w:rPr>
        <w:t>We have filed patent applications, and plan to file additional patent applications, covering various aspects of our technologies and our proprietary product candidates. There can be no assurance that the patent applications for which we apply would actually issue as patents or do so with commercially relevant 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third-party patent holder may assert a claim of patent infringement against us in the future. Alternatively, we may initiate litigation against the third-party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4" w:name="page65"/>
    <w:bookmarkEnd w:id="64"/>
    <w:p>
      <w:pPr>
        <w:jc w:val="both"/>
        <w:spacing w:after="0" w:line="261" w:lineRule="auto"/>
        <w:rPr>
          <w:sz w:val="20"/>
          <w:szCs w:val="20"/>
          <w:color w:val="auto"/>
        </w:rPr>
      </w:pPr>
      <w:r>
        <w:rPr>
          <w:rFonts w:ascii="Arial" w:cs="Arial" w:eastAsia="Arial" w:hAnsi="Arial"/>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do not independently conduct clinical trials for our drug candidates. We rely, and expect to continue to rely, on third-party clinical investigators, clinical research organizations (CROs), clinical data management organizations and consultants to design, conduct, supervise and monitor our clinical trials.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we do not conduct our own clinical trials, we must rely on the efforts of others and have reduced control over aspects of these activities, including, the timing of such trials, the costs associated with such trials and the procedures that are followed for such trials. We do not expect to significantly increase our personnel in the foreseeable future and may continue to rely on third parties to conduct all of our future clinical trials. 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product candidates.</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Despite our reliance on third parties to conduct our clinical trials, we are ultimately responsible for ensuring that each of our clinical trials is conducted in accordance with the general investigational plan and protocols for the trial. Moreover, the FDA requires clinical trials to be conducted in accordance with good clinical practices for conducting, recording and reporting the results of clinical trials to assure that data and reported results are credible and accurate and that the rights, integrity and confidentiality of clinical trial participants are protected. We also are required to register ongoing clinical trials and post the results of completed clinical trials on a government-sponsored database, </w:t>
      </w:r>
      <w:r>
        <w:rPr>
          <w:rFonts w:ascii="Arial" w:cs="Arial" w:eastAsia="Arial" w:hAnsi="Arial"/>
          <w:sz w:val="16"/>
          <w:szCs w:val="16"/>
          <w:b w:val="1"/>
          <w:bCs w:val="1"/>
          <w:i w:val="1"/>
          <w:iCs w:val="1"/>
          <w:color w:val="auto"/>
        </w:rPr>
        <w:t>ClinicalTrials.gov</w:t>
      </w:r>
      <w:r>
        <w:rPr>
          <w:rFonts w:ascii="Arial" w:cs="Arial" w:eastAsia="Arial" w:hAnsi="Arial"/>
          <w:sz w:val="16"/>
          <w:szCs w:val="16"/>
          <w:color w:val="auto"/>
        </w:rPr>
        <w:t>, within certain timeframes. Failure to do so can result in fines, adverse publicity, and civil and criminal sanctions. Our reliance on third parties that we do not control does not relieve us of these responsibilities and requirements. If we or a third party we rely on fails to meet these requirements, we may not be able to obtain, or may be delayed in obtaining, marketing authorizations for our drug candidates and will not be able to, or may be delayed in our efforts to, successfully commercialize our drug candidates. This could have a material adverse effect on our business, financial condition, results of operations and prospects.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we rely on third party manufacturing and supply partners, our supply of research and development, preclinical and clinical development materials may become limited or interrupted or may not be of satisfactory quantity or quality.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third 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Good Manufacturing Practices.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5" w:name="page66"/>
    <w:bookmarkEnd w:id="65"/>
    <w:p>
      <w:pPr>
        <w:jc w:val="both"/>
        <w:ind w:right="20"/>
        <w:spacing w:after="0" w:line="282" w:lineRule="auto"/>
        <w:rPr>
          <w:sz w:val="20"/>
          <w:szCs w:val="20"/>
          <w:color w:val="auto"/>
        </w:rPr>
      </w:pPr>
      <w:r>
        <w:rPr>
          <w:rFonts w:ascii="Arial" w:cs="Arial" w:eastAsia="Arial" w:hAnsi="Arial"/>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research and development activities, pre-clinical tests, and clinical trials, and ultimately the manufacturing, marketing and labeling of our products, are all subject to extensive regulation by the FDA and foreign regulatory agencies.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 or royalties.</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FDA and foreign regulatory agencies require that the safety and efficacy of product candidates be supported through adequate and well-controlled clinical trials. If the results of pivotal clinical trials do not establish the safety and efficacy of our product candidates to the satisfaction of the FDA and other foreign regulatory agencies,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subject to the periodic inspection of our clinical trials, facilities, procedures and operations and/or the testing of our products by the FDA to determine whether our systems and processes, or those of our vendors and suppliers, are in compliance with FDA regulations. Following such inspections, the FDA may issue notices on Form 483 and warning letters that could cause us to modify certain activities identified during the inspection.</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criminal prosecution. Under certain circumstances, the FDA also has the authority to revoke previously granted product approvals. Although we have internal compliance programs, if these programs do not meet regulatory agency standards or if our compliance is deemed deficient in any significant way, it could have a material adverse effect on the Company.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 Labeling and promotional activities also are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Many states in which we do or may do business, or in which our products may be sold, if at all, impose licensing, labeling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many of the foreign countries in which we may do business or in which our products may be sold, we will be subject to regulation by national governments and supranational agencies as well as by local agencies affecting, among other things, product standards, packaging requirements, labeling requirements, import restrictions, tariff regulations, duties and tax requirements. There can be no assurance that one or more countries or agencies will not impose regulations or requirements that could have a material adverse effect on our ability to sell our products.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have obtained Orphan Drug Designation for ThermoDox® and may seek Orphan Drug Designation for other product candidates, but we may be unsuccessful or may be unable to maintain the benefits associated with Orphan Drug Designation, including the potential for market exclusivity.</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ThermoDox® has been granted orphan drug designation for primary liver cancer in both the U.S. and Europe. As part of our business strategy, we may seek Orphan Drug Designation for other product candidates, but we may be unsuccessful. Regulatory authorities in some jurisdictions, including the U.S.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6" w:name="page67"/>
    <w:bookmarkEnd w:id="66"/>
    <w:p>
      <w:pPr>
        <w:jc w:val="both"/>
        <w:spacing w:after="0" w:line="269" w:lineRule="auto"/>
        <w:rPr>
          <w:sz w:val="20"/>
          <w:szCs w:val="20"/>
          <w:color w:val="auto"/>
        </w:rPr>
      </w:pPr>
      <w:r>
        <w:rPr>
          <w:rFonts w:ascii="Arial" w:cs="Arial" w:eastAsia="Arial" w:hAnsi="Arial"/>
          <w:sz w:val="17"/>
          <w:szCs w:val="17"/>
          <w:color w:val="auto"/>
        </w:rPr>
        <w:t>Even though we have obtained Orphan Drug Designation for ThermoDox® and may obtain such designation for other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can be approved for the same condition. Even after an orphan product is approved, the FDA can subsequently approve the same drug with the same active moiety for the same condition if the FDA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other product candidates, we may never receive such designations.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Fast Track designation may not actually lead to a faster development or regulatory review or approval process.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ThermoDox® has received U.S. FDA Fast Track Designation. However, we may not experience a faster development process, review, or approval compared to conventional FDA procedures. The FDA may withdraw our Fast Track designation if the FDA believes that the designation is no longer supported by data from our clinical or pivotal development program. Our Fast Track designation does not guarantee that we will qualify for or be able to take advantage of the FDA’s expedited review procedures or that any application that we may submit to the FDA for regulatory approval will be accepted for filing or ultimately approved.</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Healthcare providers, physicians and third-party payors in the United States and elsewhere play a primary role in the recommendation and prescription of biopharmaceutical products. Arrangements with third-party payors and customers can expose biopharmaceutical manufacturers to broadly applicable fraud and abuse and other healthcare laws and regulations, including, without limitation, the federal Anti-Kickback Statute and the federal False Claims Act, which may constrain the business or financial arrangements and relationships through which such companies sell, market and distribute biopharmaceutical products.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The applicable federal, state, and foreign healthcare laws and regulations laws that may affect our ability to operate include, but are not limited to:</w:t>
      </w:r>
    </w:p>
    <w:p>
      <w:pPr>
        <w:spacing w:after="0" w:line="185" w:lineRule="exact"/>
        <w:rPr>
          <w:sz w:val="20"/>
          <w:szCs w:val="20"/>
          <w:color w:val="auto"/>
        </w:rPr>
      </w:pPr>
    </w:p>
    <w:p>
      <w:pPr>
        <w:jc w:val="both"/>
        <w:ind w:left="660" w:hanging="328"/>
        <w:spacing w:after="0" w:line="25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reward,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submitted for payment to any federal health care program that includes items or services that were made as a result of a violation of the federal Anti-Kickback Statute constitutes a false or fraudulent claim for purposes of the federal False Claims Act, or FCA. The Anti-Kickback Statute has been interpreted to apply to arrangements between biopharmaceutical manufacturers on the one hand and prescribers, purchasers, and formulary managers, among others, on the other. There are a number of statutory exceptions and regulatory safe harbors protecting some common activities from prosecution;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7" w:name="page68"/>
    <w:bookmarkEnd w:id="67"/>
    <w:p>
      <w:pPr>
        <w:jc w:val="both"/>
        <w:ind w:left="328" w:hanging="328"/>
        <w:spacing w:after="0" w:line="289" w:lineRule="auto"/>
        <w:tabs>
          <w:tab w:leader="none" w:pos="328"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FCA, and civil monetary penalty laws which prohibit, among other things, individuals or entities from knowingly presenting, or causing to be presented, false, fictious or fraudulent claims for payment to, or approval by Medicare, Medicaid, or other federal healthcare programs; knowingly making, using or causing to be made or used a false record or statement material to a false or fraudulent claim or an obligation to pay or transmit money or property to the federal government; or knowingly concealing or knowingly and improperly avoiding or decreasing or concealing an obligation to pay money to the federal government. A claim that includes items or services resulting from a violation of the federal Anti-Kickback Statute constitutes a false or fraudulent claim under the FCA. Manufacturers can be held liable under the FCA even when they do not submit claims directly to government payors if they are deemed to “cause” the submission of false or fraudulent claims. The FCA also permits a private individual acting as a “whistleblower” to bring qui tam actions on behalf of the federal government alleging violations of the FCA and to share in any monetary recovery;</w:t>
      </w:r>
    </w:p>
    <w:p>
      <w:pPr>
        <w:spacing w:after="0" w:line="166" w:lineRule="exact"/>
        <w:rPr>
          <w:rFonts w:ascii="Arial" w:cs="Arial" w:eastAsia="Arial" w:hAnsi="Arial"/>
          <w:sz w:val="16"/>
          <w:szCs w:val="16"/>
          <w:color w:val="auto"/>
        </w:rPr>
      </w:pPr>
    </w:p>
    <w:p>
      <w:pPr>
        <w:jc w:val="both"/>
        <w:ind w:left="328" w:hanging="328"/>
        <w:spacing w:after="0" w:line="272" w:lineRule="auto"/>
        <w:tabs>
          <w:tab w:leader="none" w:pos="328"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177" w:lineRule="exact"/>
        <w:rPr>
          <w:rFonts w:ascii="Arial" w:cs="Arial" w:eastAsia="Arial" w:hAnsi="Arial"/>
          <w:sz w:val="17"/>
          <w:szCs w:val="17"/>
          <w:color w:val="auto"/>
        </w:rPr>
      </w:pPr>
    </w:p>
    <w:p>
      <w:pPr>
        <w:jc w:val="both"/>
        <w:ind w:left="328" w:hanging="328"/>
        <w:spacing w:after="0" w:line="271" w:lineRule="auto"/>
        <w:tabs>
          <w:tab w:leader="none" w:pos="328" w:val="left"/>
        </w:tabs>
        <w:numPr>
          <w:ilvl w:val="0"/>
          <w:numId w:val="28"/>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which impose, among other things, requirements relating to the privacy, security and transmission of individually identifiable health information on certain covered healthcare providers, health plans, and healthcare clearinghouses, known as covered entities, as well as their respective “business associates,” those independent contractors or agents of covered entities that perform services for covered entities that involve the creation, use, receipt, maintenance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78" w:lineRule="exact"/>
        <w:rPr>
          <w:rFonts w:ascii="Arial" w:cs="Arial" w:eastAsia="Arial" w:hAnsi="Arial"/>
          <w:sz w:val="17"/>
          <w:szCs w:val="17"/>
          <w:color w:val="auto"/>
        </w:rPr>
      </w:pPr>
    </w:p>
    <w:p>
      <w:pPr>
        <w:jc w:val="both"/>
        <w:ind w:left="328" w:hanging="328"/>
        <w:spacing w:after="0" w:line="293" w:lineRule="auto"/>
        <w:tabs>
          <w:tab w:leader="none" w:pos="328"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federal Physician Payments Sunshine Act, created under the ACA, and its implementing regulations, which require some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in the previous year to certain non-physician providers such as physician assistants and nurse practitioners;</w:t>
      </w:r>
    </w:p>
    <w:p>
      <w:pPr>
        <w:spacing w:after="0" w:line="164" w:lineRule="exact"/>
        <w:rPr>
          <w:rFonts w:ascii="Arial" w:cs="Arial" w:eastAsia="Arial" w:hAnsi="Arial"/>
          <w:sz w:val="16"/>
          <w:szCs w:val="16"/>
          <w:color w:val="auto"/>
        </w:rPr>
      </w:pPr>
    </w:p>
    <w:p>
      <w:pPr>
        <w:ind w:left="328" w:hanging="328"/>
        <w:spacing w:after="0" w:line="277"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70" w:lineRule="exact"/>
        <w:rPr>
          <w:rFonts w:ascii="Arial" w:cs="Arial" w:eastAsia="Arial" w:hAnsi="Arial"/>
          <w:sz w:val="18"/>
          <w:szCs w:val="18"/>
          <w:color w:val="auto"/>
        </w:rPr>
      </w:pPr>
    </w:p>
    <w:p>
      <w:pPr>
        <w:jc w:val="both"/>
        <w:ind w:left="328" w:hanging="328"/>
        <w:spacing w:after="0" w:line="270" w:lineRule="auto"/>
        <w:tabs>
          <w:tab w:leader="none" w:pos="328"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third-party payors, including private insurers, and may be broader in scope than their federal equivalents; state and foreign laws that require biopharmaceutical companies to comply with the biopharmaceutical industry’s voluntary compliance guidelines and the relevant compliance guidance promulgated by the federal government or otherwise restrict payments that may be made to healthcare providers and other potential referral sources; state and foreign laws that require drug manufacturers to report information related to payments and other transfers of value to physicians and other healthcare providers, marketing expenditures or drug pricing; state and local laws that require the registration of biopharmaceutical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8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65" w:right="339" w:bottom="1440" w:gutter="0" w:footer="0" w:header="0"/>
        </w:sectPr>
      </w:pPr>
    </w:p>
    <w:bookmarkStart w:id="68" w:name="page69"/>
    <w:bookmarkEnd w:id="68"/>
    <w:p>
      <w:pPr>
        <w:jc w:val="both"/>
        <w:spacing w:after="0" w:line="277" w:lineRule="auto"/>
        <w:rPr>
          <w:sz w:val="20"/>
          <w:szCs w:val="20"/>
          <w:color w:val="auto"/>
        </w:rPr>
      </w:pPr>
      <w:r>
        <w:rPr>
          <w:rFonts w:ascii="Arial" w:cs="Arial" w:eastAsia="Arial" w:hAnsi="Arial"/>
          <w:sz w:val="18"/>
          <w:szCs w:val="18"/>
          <w:color w:val="auto"/>
        </w:rPr>
        <w:t>The distribution of biopharmaceutical products is subject to additional requirements and regulations, including extensive record-keeping, licensing, storage, and security requirements intended to prevent the unauthorized sale of biopharmaceutical products.</w:t>
      </w:r>
    </w:p>
    <w:p>
      <w:pPr>
        <w:spacing w:after="0" w:line="17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Ensuring business arrangements comply with applicable healthcare laws, as well as responding to possible investigations by government authorities, can be time- and resource-consuming and can divert a company’s attention from the business.</w:t>
      </w:r>
    </w:p>
    <w:p>
      <w:pPr>
        <w:spacing w:after="0" w:line="1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legislative and regulatory changes affecting the healthcare industry could have a material adverse effect on our business.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Political, economic and regulatory influences are subjecting the healthcare industry to potential fundamental changes that could substantially affect our results of operations by requiring, for example: (i) changes to our manufacturing arrangements; (ii) additions or modifications to product labeling; (iii) the recall or discontinuation of our products; or (iv) additional record-keeping requirements.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March 2010, the ACA was passed, which substantially changed the way health care is financed by both governmental and private insurers, and significantly impacted the U.S. biopharmaceutical industry.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9" w:name="page70"/>
    <w:bookmarkEnd w:id="69"/>
    <w:p>
      <w:pPr>
        <w:jc w:val="both"/>
        <w:spacing w:after="0" w:line="284" w:lineRule="auto"/>
        <w:rPr>
          <w:sz w:val="20"/>
          <w:szCs w:val="20"/>
          <w:color w:val="auto"/>
        </w:rPr>
      </w:pPr>
      <w:r>
        <w:rPr>
          <w:rFonts w:ascii="Arial" w:cs="Arial" w:eastAsia="Arial" w:hAnsi="Arial"/>
          <w:sz w:val="16"/>
          <w:szCs w:val="16"/>
          <w:color w:val="auto"/>
        </w:rPr>
        <w:t xml:space="preserve">Since its enactment, some of the provisions of the ACA have yet to be fully implemented, while certain provisions have been subject to judicial, congressional, and executive challenges. As a result, there have been delays in the implementation of, and action taken to repeal or replace, certain aspects of the ACA. Since January 2017, President Trump has signed two Executive Orders designed to delay the implementation of certain provisions of the ACA or otherwise circumvent some of the requirements for health insurance mandated by the ACA. The first Executive Order, singed on January 20, 2017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signed on October 13, 2017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The loss of the cost share reduction payments is expected to increase premiums on certain policies issued by qualified health plans under the ACA. Further, on June 14, 2018, U.S. Court of Appeals for the Federal Circuit ruled that the federal government was not required to pay more than $12 billion in ACA risk corridor payments to third-party payors who argued were owed to them. On December 10, 2019, the U.S. Supreme Court heard arguments in </w:t>
      </w:r>
      <w:r>
        <w:rPr>
          <w:rFonts w:ascii="Arial" w:cs="Arial" w:eastAsia="Arial" w:hAnsi="Arial"/>
          <w:sz w:val="16"/>
          <w:szCs w:val="16"/>
          <w:i w:val="1"/>
          <w:iCs w:val="1"/>
          <w:color w:val="auto"/>
        </w:rPr>
        <w:t>Moda Health Plan, Inc. v. United States.</w:t>
      </w:r>
      <w:r>
        <w:rPr>
          <w:rFonts w:ascii="Arial" w:cs="Arial" w:eastAsia="Arial" w:hAnsi="Arial"/>
          <w:sz w:val="16"/>
          <w:szCs w:val="16"/>
          <w:color w:val="auto"/>
        </w:rPr>
        <w:t xml:space="preserve"> On April 27, 2020, the U.S. Supreme Court held that the ACA requires the federal government to compensate insurers for significant losses their health plans incurred during the first three years of the ACA’s marketplaces, and that insurers can sue for nonpayment in the Court of Federal Claims. The effects of this decision on third-party payors, the viability of the ACA marketplace, providers, and potentially our business, are still uncertain. While Congress has not passed comprehensive repeal legislation, it has enacted laws that modify certain provisions of the ACA such as removing penalties, starting January 1, 2019, for not complying with the ACA’s individual mandate to carry health insurance, delaying the implementation of certain ACA-mandated fees, and increasing the point-of-sale discount that is owed by pharmaceutical manufacturers who participate in Medicare Part D. On December 14, 2018, a U.S. District Court Judge in the Northern District of Texas ruled that the ACA is unconstitutional in its entirety because the “individual mandate” was repealed by Congress as part of the Tax Cuts and Jobs Act of 2017.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 We cannot predict what effect further changes to the ACA would have on our business.</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including aggregate reductions of Medicare payments to providers of 2% per fiscal year. These reductions went into effect on April 1, 2013 and, due to subsequent legislative amendments to the statute, including the Bipartisan Budget Act of 2018, or BBA, will remain in effect through 2030, unless additional congressional action is taken. The BBA also amended the ACA, effective January 1, 2019, by increasing the point-of-sale discount that is owed by pharmaceutical manufacturers who participate in Medicare Part D and closing the coverage gap in most Medicare drug plans, commonly referred to as the “donut hole”. However, pursuant to the CARES Act, these reductions will be suspended from May 1, 2020 through December 31, 2020 due to the COVID-19 pandemic and extend the reductions by one year, through 2030, in order to offset the added expense of the 2020 suspension.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Several states have adopted price transparency requirements and those as well as any future federal price transparency requirements that may be implemented in the future could have a negative effect on our business. Additionally, we expect to experience pricing pressures in connection with the sale of any future approved product candidates due to the trend toward managed healthcare, the increasing influence of health maintenance organizations, cost containment initiatives and additional legislative changes.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0" w:name="page71"/>
    <w:bookmarkEnd w:id="70"/>
    <w:p>
      <w:pPr>
        <w:jc w:val="both"/>
        <w:spacing w:after="0" w:line="284" w:lineRule="auto"/>
        <w:rPr>
          <w:sz w:val="20"/>
          <w:szCs w:val="20"/>
          <w:color w:val="auto"/>
        </w:rPr>
      </w:pPr>
      <w:r>
        <w:rPr>
          <w:rFonts w:ascii="Arial" w:cs="Arial" w:eastAsia="Arial" w:hAnsi="Arial"/>
          <w:sz w:val="16"/>
          <w:szCs w:val="16"/>
          <w:color w:val="auto"/>
        </w:rPr>
        <w:t>At the federal level, the Trump administration’s budget for fiscal year 2021 includes a $135 billion allowance to support legislative proposals seeking to reduce drug prices, increase competition, lower out-of-pocket drug costs for patients, and increase patient access to lower-cost generic and biosimilar drugs. On March 10, 2020, the U.S. government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The Trump administration previously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or HHS, has solicited feedback on some of these measures and has implemented others under its existing authority. For example, in May 2019, CMS issued a final rule that would allow Medicare Advantage Plans the option of using step therapy, a type of prior authorization, for Part B drugs beginning January 1, 2020. This final rule codified CMS’s policy change that was effective January 1, 2019. Although a number of these and other measures may require additional authorization to become effective, Congress and the Trump administration have each indicated that it will continue to seek new legislative and/or administrative measures to control drug costs. For example, the Lower Drug Costs Now Act of 2019 was introduced in the House of Representatives on September 19, 2019 and would require HHS to directly negotiate drug prices with manufacturers. The Lower Drugs Costs Now Act of 2019 has passed out of the House and was delivered to the Senate on December 16, 2019. However, it is unclear whether this bill will make it through both chambers and be signed into law, and if enacted, what effect it would have on our business.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the state level, legislatures are increasingly passing legislation and implementing regulations designed to control biopharmaceutical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predict what healthcare reform initiatives may be adopted in the future. Further, federal and state legislative and regulatory developments are likely, and we expect ongoing initiatives in the United States to increase pressure on drug pricing. Such reforms could have an adverse effect on anticipated revenues from and any product candidates that we may successfully develop and for which we may obtain regulatory approval and may affect our overall financial condition and ability to develop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fail to comply with evolving European and other privacy laws.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Since we conduct clinical trials in the European Economic Area (“EEA”), we are subject to additional European data-privacy laws. The General Data Protection Regulation, (EU) 2016/679 (“GDPR”) became effective on May 25, 2018 and deals with the processing of personal data and on the free movement of such data. The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1" w:name="page72"/>
    <w:bookmarkEnd w:id="71"/>
    <w:p>
      <w:pPr>
        <w:jc w:val="both"/>
        <w:spacing w:after="0" w:line="255" w:lineRule="auto"/>
        <w:rPr>
          <w:sz w:val="20"/>
          <w:szCs w:val="20"/>
          <w:color w:val="auto"/>
        </w:rPr>
      </w:pPr>
      <w:r>
        <w:rPr>
          <w:rFonts w:ascii="Arial" w:cs="Arial" w:eastAsia="Arial" w:hAnsi="Arial"/>
          <w:sz w:val="18"/>
          <w:szCs w:val="18"/>
          <w:color w:val="auto"/>
        </w:rPr>
        <w:t>In particular, national laws of member states of the EU are in the process of being adapted to the requirements under the GDPR, thereby implementing national laws which may partially deviate from the GDPR and impose different obligations from country to country, so that we do not expect to operate in a uniform legal landscape in the EEA.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 Further, the impact of the impending “Brexit”, (whereby the United Kingdom is planning to leave the EEA in March of 2019), either with or without a “deal” is uncertain and cannot be predicted at this time.</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the event we continue to conduct clinical trials in the EEA, we must also ensure that we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Anype1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success of our products may be harmed if the government, private health insurers and other third-party payers do not provide sufficient coverage or reimbursement.</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ability to commercialize our new cancer treatment systems successfully will depend in part on the extent to which reimbursement for the costs of such products and related treatments will be available from third-party payors, which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 Patients are unlikely to use our product candidates unless coverage is provided and reimbursement is adequate to cover a significant portion of the cost. The reimbursement status of newly approved medical products is subject to significant uncertainty We cannot be sure that coverage and reimbursement will be available for, or accurately estimate the potential revenue from, our product candidates or assure that coverage and reimbursement will be available for any product that we may develop. Further, due to the COVID-19 pandemic, millions of individuals have lost or will be losing employer-based insurance coverage, which may adversely affect our ability to commercialize our product candidates even if there is adequate coverage and reimbursement from third-party payors.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Government authorities and other third-party payors decide which drugs and treatments they will cover and the amount of reimbursement.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Coverage and reimbursement by a third-party payor may depend upon a number of factors, including the third-party payor’s determination that use of a product is:</w:t>
      </w:r>
    </w:p>
    <w:p>
      <w:pPr>
        <w:spacing w:after="0" w:line="178"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2" w:name="page73"/>
    <w:bookmarkEnd w:id="72"/>
    <w:p>
      <w:pPr>
        <w:jc w:val="both"/>
        <w:spacing w:after="0" w:line="255" w:lineRule="auto"/>
        <w:rPr>
          <w:sz w:val="20"/>
          <w:szCs w:val="20"/>
          <w:color w:val="auto"/>
        </w:rPr>
      </w:pPr>
      <w:r>
        <w:rPr>
          <w:rFonts w:ascii="Arial" w:cs="Arial" w:eastAsia="Arial" w:hAnsi="Arial"/>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Government, private health insurers and other third-party payors are increasingly attempting to contain healthcare costs by limiting both coverage and the level of reimbursement for new therapeutic products approved for marketing by the FDA. For example, Congress passed the ACA in 2010 which enacted a number of reforms to expand access to health insurance while also reducing or constraining the growth of healthcare spending, enhancing remedies against fraud and abuse, adding new transparency requirements for healthcare industries, and imposing new taxes on fees on healthcare industry participants, among other policy reforms. Federal agencies, Congress and state legislatures have continued to show interest in implementing cost containment programs to limit the growth of health care costs, including price controls, price disclosures, restrictions on reimbursement and other fundamental changes to the healthcare delivery system. In addition, in recent years, Congress has enacted various laws seeking to reduce the federal debt level and contain healthcare expenditures, and the Medicare and other healthcare programs are frequently identified as potential targets for spending cuts. New government legislation or regulations related to pricing or other fundamental changes to the healthcare delivery system as well as a government or third-party payer decision not to approve pricing for, or provide adequate coverage or reimbursement of, our product candidates hold the potential to severely limit market opportunities of such products.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commercial success of our products will depend upon their acceptance by the medical community and third-party payors as clinically useful, cost effective and safe. Any of our drug candidates or similar product candidates being investigated by our competitors may prove not to be effective in trial or in practice, cause adverse events or other undesirable side effects. Our testing and clinical practice may not confirm the safety and efficacy of our product candidates or even if further testing and clinical practice produce positive results, the medical community may view these new forms of treatment as effective and desirable or our efforts to market our new products may fail. Market acceptance depends upon physicians and hospitals obtaining adequate reimbursement rates from third-party payors to make our products commercially viable. Any of these factors could have an adverse effect on our business, financial condition, and results of operations.</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3" w:name="page74"/>
    <w:bookmarkEnd w:id="73"/>
    <w:p>
      <w:pPr>
        <w:jc w:val="both"/>
        <w:spacing w:after="0" w:line="282" w:lineRule="auto"/>
        <w:rPr>
          <w:sz w:val="20"/>
          <w:szCs w:val="20"/>
          <w:color w:val="auto"/>
        </w:rPr>
      </w:pPr>
      <w:r>
        <w:rPr>
          <w:rFonts w:ascii="Arial" w:cs="Arial" w:eastAsia="Arial" w:hAnsi="Arial"/>
          <w:sz w:val="18"/>
          <w:szCs w:val="18"/>
          <w:b w:val="1"/>
          <w:bCs w:val="1"/>
          <w:color w:val="auto"/>
        </w:rPr>
        <w:t>Several of our current clinical trials are being conducted outside the United States, and the FDA may not accept data from trials conducted in foreign locations.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Several of our current clinical trials are being conducted outside the United States.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general, the patient population for any clinical trials conducted outside of the United States must be representative of the population for whom we intend to label the product in the United States. In addition, while these clinical trials are subject to the applicable local laws, FDA acceptance of the data will be dependent upon its determination that the trials also complied with all applicable U.S. laws and regulations. We cannot assure you that the FDA will accept data from trials conducted outside of the United States. If the FDA does not accept the data from such clinical trials, it would likely result in the need for additional trials, which would be costly and time-consuming and delay or permanently halt our development of our product candidates.</w:t>
      </w:r>
    </w:p>
    <w:p>
      <w:pPr>
        <w:spacing w:after="0" w:line="162"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expenses and there can be no assurance that such third parties will establish adequate sales and distribution capabilities or be successful in gaining market acceptance for our products and services.</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14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not be able to hire or retain key officers or employees that we need to implement our business strategy and develop our product candidates and business, including those purchased in the EGEN asset acquisition.</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success depends significantly on the continued contributions of our executive officers, scientific and technical personnel and consultants, including those retained in the EGEN asset acquisition, and on our ability to attract additional personnel as we seek to implement our business strategy and develop our product candidates and businesses. Our operations associated with the EGEN asset acquisition are located in Huntsville, Alabama. Key employees may depart if we fail to successfully manage this additional business location or in relation to any uncertainties or difficulties of integration with Celsion. We cannot guarantee that we will retain key employees to the same extent that we and EGEN retained each of our own employees in the past, which could have a negative impact on our business, results of operations and financial condition. Our integration of EGEN and ability to operate in the fields we acquired from EGEN may be more difficult if we lose key employees. Additionally, during our operating history, we have assigned many essential responsibilities to a relatively small number of individuals. However,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color w:val="auto"/>
        </w:rPr>
        <w:t>Our success will depend in part on our ability to grow and diversify, which in turn will require that we manage and control our growth effectively.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intense competition and the failure to compete effectively could adversely affect our ability to develop and market our products.</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5" w:name="page76"/>
    <w:bookmarkEnd w:id="75"/>
    <w:p>
      <w:pPr>
        <w:jc w:val="both"/>
        <w:spacing w:after="0" w:line="266" w:lineRule="auto"/>
        <w:rPr>
          <w:sz w:val="20"/>
          <w:szCs w:val="20"/>
          <w:color w:val="auto"/>
        </w:rPr>
      </w:pPr>
      <w:r>
        <w:rPr>
          <w:rFonts w:ascii="Arial" w:cs="Arial" w:eastAsia="Arial" w:hAnsi="Arial"/>
          <w:sz w:val="18"/>
          <w:szCs w:val="18"/>
          <w:b w:val="1"/>
          <w:bCs w:val="1"/>
          <w:color w:val="auto"/>
        </w:rPr>
        <w:t>We or the third parties upon whom we depend may be adversely affected by earthquakes, global pandemics or other natural disasters and our business continuity and disaster recovery plans may not adequately protect us from a serious disaster, including earthquakes, outbreak of disease or other natural disasters.</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current operations are located in our facilities in Lawrenceville, New Jersey.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For example, in January 2020, the World Health Organization declared COVID-19 a global pandemic, and the U.S. Department of Health and Human Services declared a public health emergency to aid the U.S. healthcare community in responding to COVID-19. This virus continues to spread globally and, as of June 2020, has spread to over 100 countries, including the United States. Governments and businesses around the world have taken unprecedented actions to mitigate the spread of COVID-19, including, but not limited to, shelter-in-place orders, quarantines, and significant restrictions on travel, as well as restrictions that prohibit many employees from going to work. An outbreak of communicable diseases in China or elsewhere, or the perception that such an outbreak could occur, and the measures taken by the governments of countries affected, could adversely affect our business, financial condition or results of operations by limiting our ability to manufacture products within or outside China, forcing temporary closure of facilities that we rely upon or increasing the costs associated with obtaining clinical supplies of our product candidates. Please see the risk factor titled “</w:t>
      </w:r>
      <w:r>
        <w:rPr>
          <w:rFonts w:ascii="Arial" w:cs="Arial" w:eastAsia="Arial" w:hAnsi="Arial"/>
          <w:sz w:val="17"/>
          <w:szCs w:val="17"/>
          <w:i w:val="1"/>
          <w:iCs w:val="1"/>
          <w:color w:val="auto"/>
        </w:rPr>
        <w:t>The outbreak</w:t>
      </w:r>
      <w:r>
        <w:rPr>
          <w:rFonts w:ascii="Arial" w:cs="Arial" w:eastAsia="Arial" w:hAnsi="Arial"/>
          <w:sz w:val="17"/>
          <w:szCs w:val="17"/>
          <w:color w:val="auto"/>
        </w:rPr>
        <w:t xml:space="preserve"> </w:t>
      </w:r>
      <w:r>
        <w:rPr>
          <w:rFonts w:ascii="Arial" w:cs="Arial" w:eastAsia="Arial" w:hAnsi="Arial"/>
          <w:sz w:val="17"/>
          <w:szCs w:val="17"/>
          <w:i w:val="1"/>
          <w:iCs w:val="1"/>
          <w:color w:val="auto"/>
        </w:rPr>
        <w:t>of the novel coronavirus disease, COVID-19, could adversely impact our business, including our preclinical studies and clinical trials</w:t>
      </w:r>
      <w:r>
        <w:rPr>
          <w:rFonts w:ascii="Arial" w:cs="Arial" w:eastAsia="Arial" w:hAnsi="Arial"/>
          <w:sz w:val="17"/>
          <w:szCs w:val="17"/>
          <w:color w:val="auto"/>
        </w:rPr>
        <w:t>” for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regarding the COVID-19 pandemic.</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w:t>
      </w:r>
    </w:p>
    <w:p>
      <w:pPr>
        <w:spacing w:after="0" w:line="16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instance, the loss of preclinical data or data from any clinical trial involving our product candidates could result in delays in our development and regulatory filing efforts and significantly increase our costs. To the extent that any disruption or privacy or security breach were to result in a loss of, or damage to, our data, or inappropriate disclosure of confidential or proprietary information, we could be subject to reputational harm, monetary fines, civil suits, civil penalties or criminal sanctions and requirements to disclose the breach, and other forms of liability and the development of our product candidates could be delayed.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Pandemics such as the COVID-19 coronavirus could have an adverse impact on our developmental programs and our financial condition.</w:t>
      </w: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2019, a novel strain of the COVID-19 coronavirus was first identified in Wuhan, Hubei Province, China. Any outbreak of contagious diseases, or other adverse public health developments, could have a material and adverse effect on our business operations. These could include disruptions or restrictions on our ability to travel, pursue partnerships and other business transactions, conduct clinical trials, make shipments of biologic materials, as well as be impacted by the temporary closure of the facilities of suppliers and clinical trial sites. Any disruption of suppliers, clinical trial sites or access to patients would likely impact our clinical trial enrollment progress and rates as well as our ability to access capital through the financial markets. The extent to which the COVID-19 coronavirus impacts our business will depend on future developments, which are highly uncertain and cannot be predicted, including new information which may emerge concerning the severity of the COVID-19 coronavirus and the actions to contain the COVID-19 coronavirus or treat its impact, among others.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market price of our common stock has been, and may continue to be volatile and fluctuate significantly, which could result in substantial losses for investors and subject us to securities class action litigation.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trading price for our common stock has been, and we expect it to continue to be, volatile.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The closing price of our common stock as reported on The Nasdaq Capital Market had a high price of $3.48 and a low price of $1.35 in the 52-week period ended December 31, 2018, a high price of $2.47 and a low price of $1.08 in the 52-week period ended December 31, 2019, and a high price of $5.26 and a low price of $0.47 from January 1, 2020 through November 13, 2020. Among the factors that may cause the market price of our common stock to fluctuate are the risks described in this “Risk Factors” section and other factors, including:</w:t>
      </w:r>
    </w:p>
    <w:p>
      <w:pPr>
        <w:spacing w:after="0" w:line="18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results of preclinical and clinical studies of our product candidates or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regulatory or legal developments in the U.S. and other countries, especially changes in laws and regulations applicable to our product candidates;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 candidates, clinical studies, manufacturing process or sales and marketing terms;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introductions and announcements of new products by us or our competitors, and the timing of these introductions or announcements;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other strategic transactions or capital commitments;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investors;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accounting principles or changes in interpretations of existing principles, which could affect our financial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our products to achieve or maintain market acceptance or commercial success;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 of competitive products and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market valuations or earnings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legislation or regulatory policies, practices, or 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commencement or outcome of litigation involving our company, our general industry or both;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7" w:name="page78"/>
    <w:bookmarkEnd w:id="77"/>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expected sales of our common stock by our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acquisitions and financings, including the EGEN asset acquisition;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15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We may be unable to maintain compliance with The Nasdaq Marketplace Rules which could cause our common stock to be delisted from The Nasdaq Capital Market. This could result in the lack of a market for our common stock, cause a decrease in the value of an investment in us, and adversely affect our business, financial condition, and results of operations.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currently listed on The Nasdaq Capital Market. To maintain the listing of our common stock on The Nasdaq Capital Market, we are required to meet certain listing requirements, including, among others, a minimum closing bid price of $1.00 per share.</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October 13, 2020, we received notice from The Nasdaq Stock Market that the closing bid price for our common stock had been below $1.00 per share for the previous 30 consecutive business days, and that we are therefore not in compliance with the minimum bid price requirement for continued inclusion on The Nasdaq Capital Market. The notice indicates that we will have 180 calendar days, until April 12, 2021, to regain compliance with this requirement. We can regain compliance with the $1.00 minimum bid listing requirement if the closing bid price of our common stock is at least $1.00 per share for a minimum of 10 consecutive business days during the 180-day compliance period. If we do not regain compliance during the initial compliance period, we may be eligible for additional time to regain compliance. If we are not able to regain compliance within applicable time periods, our common stock could be subject to delisting from The NASDAQ Capital Market. If our common stock is delisted, trading of the stock will most likely take place on an over-the-counter market established for unlisted securities. An investor is likely to find it less convenient to sell, or to obtain accurate quotations in seeking to buy, our common stock on an over-the-counter market, and many investors may not buy or sell our common stock due to difficulty in accessing over-the-counter markets, or due to policies preventing them from trading in securities not listed on a national exchange or other reasons.</w:t>
      </w:r>
    </w:p>
    <w:p>
      <w:pPr>
        <w:spacing w:after="0" w:line="1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as a delisted security, our common stock would be subject to SEC rules regarding “penny stock,” which impose additional disclosure requirements on broker-dealers. The regulations relating to penny stocks, coupled with the typically higher cost per trade to investors in penny stocks due to factors such as broker commissions generally representing a higher percentage of the price of a penny stock than of a higher priced stock, would further limit the ability and willingness of investors to trade in our common stock. For these reasons and others, delisting would adversely affect the liquidity, trading volume and price of our common stock, causing the value of an investment in us to decrease and having an adverse effect on our business, financial condition and results of operations, including our ability to attract and retain qualified executives and employees and to raise capital.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November 13, 2020, we had 37,417,716 shares of common stock outstanding, all of which,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stockholders may experience significant dilution as a result of future equity offerings or issuances and exercise of outstanding options and warrants.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asset acquisition. Our stockholders may experience significant dilution as a result of future equity offerings or issuances. Investors purchasing shares or other securities in the future could have rights superior to existing stockholders. As of November 13, 2020, we have a significant number of securities convertible into, or allowing the purchase of, our common stock, including 3,853,566 shares of common stock issuable upon exercise of warrants outstanding, 4,643,475 options to purchase shares of our common stock and restricted stock awards outstanding, and 2,002,453 shares of common stock reserved for future issuance under our stock incentive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adverse capital and credit market conditions could affect our liquidity.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tax law could adversely affect our financial condition and results of operations.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For example, on March 27, 2020, President Trump signed into law the “Coronavirus Aid, Relief, and Economic Security Act” or the CARES Act, which included certain changes in tax law intended to stimulate the U.S. economy in light of the COVID-19 coronavirus outbreak, including temporary beneficial changes to the treatment of net operating losses, interest deductibility limitations and payroll tax matters.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On December 22, 2017, the President of the United States signed into law the Tax Reform Act. The Tax Reform Act significantly changes U.S. tax law by, among other things, lowering corporate income tax rates, implementing a quasi-territorial tax system, providing a one-time transition toll charge on foreign earnings, creating a new limitation on the deductibility of interest expenses and modifying the limitation on officer compensation. The Tax Reform Act permanently reduces the U.S. corporate income tax rate from a maximum of 35% to a flat 21% rate, effective January 1, 2018. Net operating losses generated after December 31, 2017 are not subject to expiration, and generally </w:t>
      </w:r>
      <w:r>
        <w:rPr>
          <w:rFonts w:ascii="Arial" w:cs="Arial" w:eastAsia="Arial" w:hAnsi="Arial"/>
          <w:sz w:val="16"/>
          <w:szCs w:val="16"/>
          <w:color w:val="auto"/>
          <w:strike w:val="1"/>
        </w:rPr>
        <w:t>but</w:t>
      </w:r>
      <w:r>
        <w:rPr>
          <w:rFonts w:ascii="Arial" w:cs="Arial" w:eastAsia="Arial" w:hAnsi="Arial"/>
          <w:sz w:val="16"/>
          <w:szCs w:val="16"/>
          <w:color w:val="auto"/>
        </w:rPr>
        <w:t xml:space="preserve"> may not be carried back to prior taxable years except that, under the CARES Act, net operating losses generated in 2018, 2019 and 2020 may be carried back five taxable years. Additionally, for taxable years beginning after December 31, 2020, the deductibility of such federal net operating losses is limited to 80% of our taxable income in any future taxable year. 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2018, 2017 and years prior, we performed analyses to determine if there were changes in ownership, as defined by Section 382 of the Internal Revenue Code that would limit our ability to utilize certain net operating loss and tax credit carry forwards. We determined we experienced ownership changes, as defined by Section 382, in connection with certain common stock offerings in 2011, 2013, 2015, 2017 and 2018. As a result, the utilization of our federal tax net operating loss carry 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9" w:name="page80"/>
    <w:bookmarkEnd w:id="79"/>
    <w:p>
      <w:pPr>
        <w:jc w:val="both"/>
        <w:spacing w:after="0" w:line="282" w:lineRule="auto"/>
        <w:rPr>
          <w:sz w:val="20"/>
          <w:szCs w:val="20"/>
          <w:color w:val="auto"/>
        </w:rPr>
      </w:pPr>
      <w:r>
        <w:rPr>
          <w:rFonts w:ascii="Arial" w:cs="Arial" w:eastAsia="Arial" w:hAnsi="Arial"/>
          <w:sz w:val="18"/>
          <w:szCs w:val="18"/>
          <w:b w:val="1"/>
          <w:bCs w:val="1"/>
          <w:color w:val="auto"/>
        </w:rPr>
        <w:t>We have never paid cash dividends on our common stock in the past and do not anticipate paying cash dividends on our common stock in the foreseeable future.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jc w:val="both"/>
        <w:ind w:left="780" w:hanging="768"/>
        <w:spacing w:after="0" w:line="342" w:lineRule="auto"/>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87">
        <w:r>
          <w:rPr>
            <w:rFonts w:ascii="Arial" w:cs="Arial" w:eastAsia="Arial" w:hAnsi="Arial"/>
            <w:sz w:val="16"/>
            <w:szCs w:val="16"/>
            <w:u w:val="single" w:color="auto"/>
            <w:color w:val="0000EE"/>
          </w:rPr>
          <w:t>Registration Rights Agreement, dated September 8, 2020, by and between Celsion Corporation and Lincoln Park Capital Fund, LLC,</w:t>
        </w:r>
      </w:hyperlink>
      <w:r>
        <w:rPr>
          <w:rFonts w:ascii="Arial" w:cs="Arial" w:eastAsia="Arial" w:hAnsi="Arial"/>
          <w:sz w:val="16"/>
          <w:szCs w:val="16"/>
          <w:u w:val="single" w:color="auto"/>
          <w:color w:val="0000EE"/>
        </w:rPr>
        <w:t xml:space="preserve"> </w:t>
      </w:r>
      <w:hyperlink r:id="rId87">
        <w:r>
          <w:rPr>
            <w:rFonts w:ascii="Arial" w:cs="Arial" w:eastAsia="Arial" w:hAnsi="Arial"/>
            <w:sz w:val="16"/>
            <w:szCs w:val="16"/>
            <w:u w:val="single" w:color="auto"/>
            <w:color w:val="0000EE"/>
          </w:rPr>
          <w:t>incorporated herein by reference to Exhibit 4.1 to the Current Report on Form 8-K of the Company filed with the SEC on September 8, 2020</w:t>
        </w:r>
      </w:hyperlink>
    </w:p>
    <w:p>
      <w:pPr>
        <w:spacing w:after="0" w:line="124" w:lineRule="exact"/>
        <w:rPr>
          <w:sz w:val="20"/>
          <w:szCs w:val="20"/>
          <w:color w:val="auto"/>
        </w:rPr>
      </w:pPr>
    </w:p>
    <w:p>
      <w:pPr>
        <w:jc w:val="both"/>
        <w:ind w:left="780" w:hanging="768"/>
        <w:spacing w:after="0" w:line="259"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88">
        <w:r>
          <w:rPr>
            <w:rFonts w:ascii="Arial" w:cs="Arial" w:eastAsia="Arial" w:hAnsi="Arial"/>
            <w:sz w:val="18"/>
            <w:szCs w:val="18"/>
            <w:u w:val="single" w:color="auto"/>
            <w:color w:val="0000EE"/>
          </w:rPr>
          <w:t>Form of Amended and Restated Warrant (issued under First Amendment of Venture Loan and Security Agreement, dated as of August 1, 2020,</w:t>
        </w:r>
      </w:hyperlink>
      <w:r>
        <w:rPr>
          <w:rFonts w:ascii="Arial" w:cs="Arial" w:eastAsia="Arial" w:hAnsi="Arial"/>
          <w:sz w:val="18"/>
          <w:szCs w:val="18"/>
          <w:u w:val="single" w:color="auto"/>
          <w:color w:val="0000EE"/>
        </w:rPr>
        <w:t xml:space="preserve"> </w:t>
      </w:r>
      <w:hyperlink r:id="rId88">
        <w:r>
          <w:rPr>
            <w:rFonts w:ascii="Arial" w:cs="Arial" w:eastAsia="Arial" w:hAnsi="Arial"/>
            <w:sz w:val="18"/>
            <w:szCs w:val="18"/>
            <w:u w:val="single" w:color="auto"/>
            <w:color w:val="0000EE"/>
          </w:rPr>
          <w:t>by and among Celsion Corporation, Horizon Funding I, LLC, Horizon Funding Trust 2019-1, and Horizon Technology Finance Corporation, as</w:t>
        </w:r>
      </w:hyperlink>
      <w:r>
        <w:rPr>
          <w:rFonts w:ascii="Arial" w:cs="Arial" w:eastAsia="Arial" w:hAnsi="Arial"/>
          <w:sz w:val="18"/>
          <w:szCs w:val="18"/>
          <w:u w:val="single" w:color="auto"/>
          <w:color w:val="0000EE"/>
        </w:rPr>
        <w:t xml:space="preserve"> </w:t>
      </w:r>
      <w:hyperlink r:id="rId88">
        <w:r>
          <w:rPr>
            <w:rFonts w:ascii="Arial" w:cs="Arial" w:eastAsia="Arial" w:hAnsi="Arial"/>
            <w:sz w:val="18"/>
            <w:szCs w:val="18"/>
            <w:u w:val="single" w:color="auto"/>
            <w:color w:val="0000EE"/>
          </w:rPr>
          <w:t>Collateral Agent), incorporated herein by reference to Exhibit 4.1 to the Current Report on Form 8-K of the Company filed with the SEC on</w:t>
        </w:r>
      </w:hyperlink>
      <w:r>
        <w:rPr>
          <w:rFonts w:ascii="Arial" w:cs="Arial" w:eastAsia="Arial" w:hAnsi="Arial"/>
          <w:sz w:val="18"/>
          <w:szCs w:val="18"/>
          <w:u w:val="single" w:color="auto"/>
          <w:color w:val="0000EE"/>
        </w:rPr>
        <w:t xml:space="preserve"> </w:t>
      </w:r>
      <w:hyperlink r:id="rId88">
        <w:r>
          <w:rPr>
            <w:rFonts w:ascii="Arial" w:cs="Arial" w:eastAsia="Arial" w:hAnsi="Arial"/>
            <w:sz w:val="18"/>
            <w:szCs w:val="18"/>
            <w:u w:val="single" w:color="auto"/>
            <w:color w:val="0000EE"/>
          </w:rPr>
          <w:t>September 4, 2020</w:t>
        </w:r>
      </w:hyperlink>
    </w:p>
    <w:p>
      <w:pPr>
        <w:spacing w:after="0" w:line="187" w:lineRule="exact"/>
        <w:rPr>
          <w:rFonts w:ascii="Arial" w:cs="Arial" w:eastAsia="Arial" w:hAnsi="Arial"/>
          <w:sz w:val="18"/>
          <w:szCs w:val="18"/>
          <w:u w:val="single" w:color="auto"/>
          <w:color w:val="0000EE"/>
        </w:rPr>
      </w:pPr>
    </w:p>
    <w:p>
      <w:pPr>
        <w:jc w:val="both"/>
        <w:ind w:left="780" w:right="20" w:hanging="768"/>
        <w:spacing w:after="0" w:line="308" w:lineRule="auto"/>
        <w:tabs>
          <w:tab w:leader="none" w:pos="760" w:val="left"/>
        </w:tabs>
        <w:rPr>
          <w:rFonts w:ascii="Arial" w:cs="Arial" w:eastAsia="Arial" w:hAnsi="Arial"/>
          <w:sz w:val="17"/>
          <w:szCs w:val="17"/>
          <w:u w:val="single" w:color="auto"/>
          <w:color w:val="0000EE"/>
        </w:rPr>
      </w:pPr>
      <w:r>
        <w:rPr>
          <w:rFonts w:ascii="Arial" w:cs="Arial" w:eastAsia="Arial" w:hAnsi="Arial"/>
          <w:sz w:val="18"/>
          <w:szCs w:val="18"/>
          <w:color w:val="auto"/>
        </w:rPr>
        <w:t>10.1</w:t>
      </w:r>
      <w:r>
        <w:rPr>
          <w:sz w:val="20"/>
          <w:szCs w:val="20"/>
          <w:color w:val="auto"/>
        </w:rPr>
        <w:tab/>
      </w:r>
      <w:hyperlink r:id="rId89">
        <w:r>
          <w:rPr>
            <w:rFonts w:ascii="Arial" w:cs="Arial" w:eastAsia="Arial" w:hAnsi="Arial"/>
            <w:sz w:val="17"/>
            <w:szCs w:val="17"/>
            <w:u w:val="single" w:color="auto"/>
            <w:color w:val="0000EE"/>
          </w:rPr>
          <w:t>Purchase Agreement, dated September 8, 2020, by and between Celsion Corporation and Lincoln Park Capital Fund, LLC, incorporated herein</w:t>
        </w:r>
      </w:hyperlink>
      <w:r>
        <w:rPr>
          <w:rFonts w:ascii="Arial" w:cs="Arial" w:eastAsia="Arial" w:hAnsi="Arial"/>
          <w:sz w:val="17"/>
          <w:szCs w:val="17"/>
          <w:u w:val="single" w:color="auto"/>
          <w:color w:val="0000EE"/>
        </w:rPr>
        <w:t xml:space="preserve"> </w:t>
      </w:r>
      <w:hyperlink r:id="rId89">
        <w:r>
          <w:rPr>
            <w:rFonts w:ascii="Arial" w:cs="Arial" w:eastAsia="Arial" w:hAnsi="Arial"/>
            <w:sz w:val="17"/>
            <w:szCs w:val="17"/>
            <w:u w:val="single" w:color="auto"/>
            <w:color w:val="0000EE"/>
          </w:rPr>
          <w:t>by reference to Exhibit 10.1 to the Current Report on Form 8-K of the Company filed with the SEC on September 8, 2020</w:t>
        </w:r>
      </w:hyperlink>
    </w:p>
    <w:p>
      <w:pPr>
        <w:spacing w:after="0" w:line="146" w:lineRule="exact"/>
        <w:rPr>
          <w:sz w:val="20"/>
          <w:szCs w:val="20"/>
          <w:color w:val="auto"/>
        </w:rPr>
      </w:pPr>
    </w:p>
    <w:p>
      <w:pPr>
        <w:jc w:val="both"/>
        <w:ind w:left="780" w:right="20" w:hanging="768"/>
        <w:spacing w:after="0" w:line="286" w:lineRule="auto"/>
        <w:tabs>
          <w:tab w:leader="none" w:pos="760" w:val="left"/>
        </w:tabs>
        <w:rPr>
          <w:rFonts w:ascii="Arial" w:cs="Arial" w:eastAsia="Arial" w:hAnsi="Arial"/>
          <w:sz w:val="17"/>
          <w:szCs w:val="17"/>
          <w:u w:val="single" w:color="auto"/>
          <w:color w:val="0000EE"/>
        </w:rPr>
      </w:pPr>
      <w:r>
        <w:rPr>
          <w:rFonts w:ascii="Arial" w:cs="Arial" w:eastAsia="Arial" w:hAnsi="Arial"/>
          <w:sz w:val="18"/>
          <w:szCs w:val="18"/>
          <w:color w:val="auto"/>
        </w:rPr>
        <w:t>10.2</w:t>
      </w:r>
      <w:r>
        <w:rPr>
          <w:sz w:val="20"/>
          <w:szCs w:val="20"/>
          <w:color w:val="auto"/>
        </w:rPr>
        <w:tab/>
      </w:r>
      <w:hyperlink r:id="rId90">
        <w:r>
          <w:rPr>
            <w:rFonts w:ascii="Arial" w:cs="Arial" w:eastAsia="Arial" w:hAnsi="Arial"/>
            <w:sz w:val="17"/>
            <w:szCs w:val="17"/>
            <w:u w:val="single" w:color="auto"/>
            <w:color w:val="0000EE"/>
          </w:rPr>
          <w:t>First Amendment of Venture Loan and Security Agreement, dated as of August 1, 2020, by and among Celsion Corporation, Horizon Funding I,</w:t>
        </w:r>
      </w:hyperlink>
      <w:r>
        <w:rPr>
          <w:rFonts w:ascii="Arial" w:cs="Arial" w:eastAsia="Arial" w:hAnsi="Arial"/>
          <w:sz w:val="17"/>
          <w:szCs w:val="17"/>
          <w:u w:val="single" w:color="auto"/>
          <w:color w:val="0000EE"/>
        </w:rPr>
        <w:t xml:space="preserve"> </w:t>
      </w:r>
      <w:hyperlink r:id="rId90">
        <w:r>
          <w:rPr>
            <w:rFonts w:ascii="Arial" w:cs="Arial" w:eastAsia="Arial" w:hAnsi="Arial"/>
            <w:sz w:val="17"/>
            <w:szCs w:val="17"/>
            <w:u w:val="single" w:color="auto"/>
            <w:color w:val="0000EE"/>
          </w:rPr>
          <w:t>LLC, Horizon Funding Trust 2019-1, and Horizon Technology Finance Corporation, as Collateral Agent, incorporated herein by reference to</w:t>
        </w:r>
      </w:hyperlink>
      <w:r>
        <w:rPr>
          <w:rFonts w:ascii="Arial" w:cs="Arial" w:eastAsia="Arial" w:hAnsi="Arial"/>
          <w:sz w:val="17"/>
          <w:szCs w:val="17"/>
          <w:u w:val="single" w:color="auto"/>
          <w:color w:val="0000EE"/>
        </w:rPr>
        <w:t xml:space="preserve"> </w:t>
      </w:r>
      <w:hyperlink r:id="rId90">
        <w:r>
          <w:rPr>
            <w:rFonts w:ascii="Arial" w:cs="Arial" w:eastAsia="Arial" w:hAnsi="Arial"/>
            <w:sz w:val="17"/>
            <w:szCs w:val="17"/>
            <w:u w:val="single" w:color="auto"/>
            <w:color w:val="0000EE"/>
          </w:rPr>
          <w:t>Exhibit 10.1 to the Current Report on Form 8-K of the Company filed with the SEC on September 4, 2020</w:t>
        </w:r>
      </w:hyperlink>
    </w:p>
    <w:p>
      <w:pPr>
        <w:spacing w:after="0" w:line="165" w:lineRule="exact"/>
        <w:rPr>
          <w:rFonts w:ascii="Arial" w:cs="Arial" w:eastAsia="Arial" w:hAnsi="Arial"/>
          <w:sz w:val="17"/>
          <w:szCs w:val="17"/>
          <w:u w:val="single" w:color="auto"/>
          <w:color w:val="0000EE"/>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83">
        <w:r>
          <w:rPr>
            <w:rFonts w:ascii="Arial" w:cs="Arial" w:eastAsia="Arial" w:hAnsi="Arial"/>
            <w:sz w:val="16"/>
            <w:szCs w:val="16"/>
            <w:u w:val="single" w:color="auto"/>
            <w:color w:val="0000EE"/>
          </w:rPr>
          <w:t>Certification of Chief Executive Officer pursuant to Rule 13a-14(a)/15d-14(a), as adopted pursuant to Section 302 of the Sarbanes-Oxley Act of</w:t>
        </w:r>
      </w:hyperlink>
    </w:p>
    <w:p>
      <w:pPr>
        <w:spacing w:after="0" w:line="23" w:lineRule="exact"/>
        <w:rPr>
          <w:rFonts w:ascii="Arial" w:cs="Arial" w:eastAsia="Arial" w:hAnsi="Arial"/>
          <w:sz w:val="17"/>
          <w:szCs w:val="17"/>
          <w:u w:val="single" w:color="auto"/>
          <w:color w:val="0000EE"/>
        </w:rPr>
      </w:pPr>
    </w:p>
    <w:p>
      <w:pPr>
        <w:ind w:left="78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2002.</w:t>
        </w:r>
      </w:hyperlink>
    </w:p>
    <w:p>
      <w:pPr>
        <w:spacing w:after="0" w:line="211" w:lineRule="exact"/>
        <w:rPr>
          <w:rFonts w:ascii="Arial" w:cs="Arial" w:eastAsia="Arial" w:hAnsi="Arial"/>
          <w:sz w:val="17"/>
          <w:szCs w:val="17"/>
          <w:u w:val="single" w:color="auto"/>
          <w:color w:val="0000EE"/>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84">
        <w:r>
          <w:rPr>
            <w:rFonts w:ascii="Arial" w:cs="Arial" w:eastAsia="Arial" w:hAnsi="Arial"/>
            <w:sz w:val="16"/>
            <w:szCs w:val="16"/>
            <w:u w:val="single" w:color="auto"/>
            <w:color w:val="0000EE"/>
          </w:rPr>
          <w:t>Certification of Chief Financial Officer pursuant to Rule 13a-14(a)/15d-14(a), as adopted pursuant to Section 302 of the Sarbanes-Oxley Act of</w:t>
        </w:r>
      </w:hyperlink>
    </w:p>
    <w:p>
      <w:pPr>
        <w:spacing w:after="0" w:line="23" w:lineRule="exact"/>
        <w:rPr>
          <w:rFonts w:ascii="Arial" w:cs="Arial" w:eastAsia="Arial" w:hAnsi="Arial"/>
          <w:sz w:val="17"/>
          <w:szCs w:val="17"/>
          <w:u w:val="single" w:color="auto"/>
          <w:color w:val="0000EE"/>
        </w:rPr>
      </w:pPr>
    </w:p>
    <w:p>
      <w:pPr>
        <w:ind w:left="78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2002.</w:t>
        </w:r>
      </w:hyperlink>
    </w:p>
    <w:p>
      <w:pPr>
        <w:spacing w:after="0" w:line="211" w:lineRule="exact"/>
        <w:rPr>
          <w:rFonts w:ascii="Arial" w:cs="Arial" w:eastAsia="Arial" w:hAnsi="Arial"/>
          <w:sz w:val="17"/>
          <w:szCs w:val="17"/>
          <w:u w:val="single" w:color="auto"/>
          <w:color w:val="0000EE"/>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85">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pacing w:after="0" w:line="225" w:lineRule="exact"/>
        <w:rPr>
          <w:rFonts w:ascii="Arial" w:cs="Arial" w:eastAsia="Arial" w:hAnsi="Arial"/>
          <w:sz w:val="17"/>
          <w:szCs w:val="17"/>
          <w:u w:val="single" w:color="auto"/>
          <w:color w:val="0000EE"/>
        </w:rPr>
      </w:pPr>
    </w:p>
    <w:p>
      <w:pPr>
        <w:ind w:left="780" w:hanging="772"/>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rFonts w:ascii="Arial" w:cs="Arial" w:eastAsia="Arial" w:hAnsi="Arial"/>
          <w:sz w:val="17"/>
          <w:szCs w:val="17"/>
          <w:u w:val="single" w:color="auto"/>
          <w:color w:val="0000EE"/>
        </w:rPr>
      </w:pPr>
    </w:p>
    <w:p>
      <w:pPr>
        <w:jc w:val="both"/>
        <w:ind w:left="780" w:hanging="779"/>
        <w:spacing w:after="0" w:line="301" w:lineRule="auto"/>
        <w:tabs>
          <w:tab w:leader="none" w:pos="76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materials from the Company’s Quarterly Report on Form 10-Q for the quarter ended September 30, 2020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57" w:lineRule="exact"/>
        <w:rPr>
          <w:rFonts w:ascii="Arial" w:cs="Arial" w:eastAsia="Arial" w:hAnsi="Arial"/>
          <w:sz w:val="17"/>
          <w:szCs w:val="17"/>
          <w:u w:val="single" w:color="auto"/>
          <w:color w:val="0000EE"/>
        </w:rPr>
      </w:pPr>
    </w:p>
    <w:p>
      <w:pPr>
        <w:jc w:val="both"/>
        <w:ind w:left="780" w:hanging="772"/>
        <w:spacing w:after="0" w:line="259"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7" w:lineRule="exact"/>
        <w:rPr>
          <w:rFonts w:ascii="Arial" w:cs="Arial" w:eastAsia="Arial" w:hAnsi="Arial"/>
          <w:sz w:val="17"/>
          <w:szCs w:val="17"/>
          <w:u w:val="single" w:color="auto"/>
          <w:color w:val="0000EE"/>
        </w:rPr>
      </w:pPr>
    </w:p>
    <w:p>
      <w:pPr>
        <w:ind w:left="780" w:hanging="772"/>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225" w:lineRule="exact"/>
        <w:rPr>
          <w:rFonts w:ascii="Arial" w:cs="Arial" w:eastAsia="Arial" w:hAnsi="Arial"/>
          <w:sz w:val="17"/>
          <w:szCs w:val="17"/>
          <w:u w:val="single" w:color="auto"/>
          <w:color w:val="0000EE"/>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November 16, 2020</w:t>
      </w:r>
      <w:r>
        <w:rPr>
          <w:sz w:val="20"/>
          <w:szCs w:val="20"/>
          <w:color w:val="auto"/>
        </w:rPr>
        <w:tab/>
      </w:r>
      <w:r>
        <w:rPr>
          <w:rFonts w:ascii="Arial" w:cs="Arial" w:eastAsia="Arial" w:hAnsi="Arial"/>
          <w:sz w:val="17"/>
          <w:szCs w:val="17"/>
          <w:color w:val="auto"/>
        </w:rPr>
        <w:t>CELSION CORPORATION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H. Tardugno, certify that:</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0" w:hanging="328"/>
        <w:spacing w:after="0" w:line="291"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Arial" w:cs="Arial" w:eastAsia="Arial" w:hAnsi="Arial"/>
          <w:sz w:val="16"/>
          <w:szCs w:val="16"/>
          <w:color w:val="auto"/>
        </w:rPr>
      </w:pPr>
      <w:r>
        <w:rPr>
          <w:rFonts w:ascii="Arial" w:cs="Arial" w:eastAsia="Arial" w:hAnsi="Arial"/>
          <w:sz w:val="18"/>
          <w:szCs w:val="18"/>
          <w:color w:val="auto"/>
        </w:rPr>
        <w:t>15 (f)), for the registrant and have:</w:t>
      </w:r>
    </w:p>
    <w:p>
      <w:pPr>
        <w:spacing w:after="0" w:line="210"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Celsion Corporation</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November 16, 2020</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0" w:hanging="328"/>
        <w:spacing w:after="0" w:line="291"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Arial" w:cs="Arial" w:eastAsia="Arial" w:hAnsi="Arial"/>
          <w:sz w:val="16"/>
          <w:szCs w:val="16"/>
          <w:color w:val="auto"/>
        </w:rPr>
      </w:pPr>
      <w:r>
        <w:rPr>
          <w:rFonts w:ascii="Arial" w:cs="Arial" w:eastAsia="Arial" w:hAnsi="Arial"/>
          <w:sz w:val="18"/>
          <w:szCs w:val="18"/>
          <w:color w:val="auto"/>
        </w:rPr>
        <w:t>15 (f)), for the registrant and have:</w:t>
      </w:r>
    </w:p>
    <w:p>
      <w:pPr>
        <w:spacing w:after="0" w:line="210"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Celsion Corporation</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November 16, 2020</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September 30, 2020 of Celsion Corporation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76"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November 16, 2020</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November 16, 2020</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jc w:val="both"/>
        <w:ind w:firstLine="8"/>
        <w:spacing w:after="0" w:line="263" w:lineRule="auto"/>
        <w:tabs>
          <w:tab w:leader="none" w:pos="14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upperLetter"/>
      <w:start w:val="24"/>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lvl w:ilvl="1">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87" Type="http://schemas.openxmlformats.org/officeDocument/2006/relationships/hyperlink" Target="https://www.sec.gov/Archives/edgar/data/749647/000149315220017369/ex4-1.htm" TargetMode="External"/><Relationship Id="rId88" Type="http://schemas.openxmlformats.org/officeDocument/2006/relationships/hyperlink" Target="https://www.sec.gov/Archives/edgar/data/749647/000149315220017312/ex4-1.htm" TargetMode="External"/><Relationship Id="rId89" Type="http://schemas.openxmlformats.org/officeDocument/2006/relationships/hyperlink" Target="https://www.sec.gov/Archives/edgar/data/749647/000149315220017369/ex10-1.htm" TargetMode="External"/><Relationship Id="rId90" Type="http://schemas.openxmlformats.org/officeDocument/2006/relationships/hyperlink" Target="https://www.sec.gov/Archives/edgar/data/749647/000149315220017312/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2020-11-16T08:01:09Z</dcterms:created>
  <dcterms:modified xsi:type="dcterms:W3CDTF">2020-11-16T08:01:09Z</dcterms:modified>
</cp:coreProperties>
</file>