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880" w:right="2420" w:hanging="3835"/>
        <w:spacing w:after="0" w:line="501" w:lineRule="auto"/>
        <w:tabs>
          <w:tab w:leader="none" w:pos="3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420" w:right="2400" w:hanging="3355"/>
        <w:spacing w:after="0" w:line="501" w:lineRule="auto"/>
        <w:tabs>
          <w:tab w:leader="none" w:pos="2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____________ to ____________</w:t>
      </w:r>
    </w:p>
    <w:p>
      <w:pPr>
        <w:ind w:left="4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CELSION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08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34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198"/>
        </w:trPr>
        <w:tc>
          <w:tcPr>
            <w:tcW w:w="4080" w:type="dxa"/>
            <w:vAlign w:val="bottom"/>
            <w:tcBorders>
              <w:top w:val="single" w:sz="8" w:color="auto"/>
            </w:tcBorders>
          </w:tcPr>
          <w:p>
            <w:pPr>
              <w:jc w:val="center"/>
              <w:ind w:left="145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80" w:type="dxa"/>
            <w:vAlign w:val="bottom"/>
          </w:tcPr>
          <w:p>
            <w:pPr>
              <w:spacing w:after="0"/>
              <w:rPr>
                <w:sz w:val="24"/>
                <w:szCs w:val="24"/>
                <w:color w:val="auto"/>
              </w:rPr>
            </w:pPr>
          </w:p>
        </w:tc>
        <w:tc>
          <w:tcPr>
            <w:tcW w:w="7340" w:type="dxa"/>
            <w:vAlign w:val="bottom"/>
            <w:gridSpan w:val="3"/>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41"/>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which registered</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CLSN</w:t>
            </w:r>
          </w:p>
        </w:tc>
        <w:tc>
          <w:tcPr>
            <w:tcW w:w="22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1" w:right="239" w:bottom="779" w:gutter="0" w:footer="0" w:header="0"/>
        </w:sectPr>
      </w:pPr>
    </w:p>
    <w:p>
      <w:pPr>
        <w:spacing w:after="0" w:line="17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9" w:lineRule="exact"/>
        <w:rPr>
          <w:sz w:val="24"/>
          <w:szCs w:val="24"/>
          <w:color w:val="auto"/>
        </w:rPr>
      </w:pPr>
    </w:p>
    <w:p>
      <w:pPr>
        <w:sectPr>
          <w:pgSz w:w="11900" w:h="16838" w:orient="portrait"/>
          <w:cols w:equalWidth="0" w:num="2">
            <w:col w:w="7160" w:space="720"/>
            <w:col w:w="3540"/>
          </w:cols>
          <w:pgMar w:left="240" w:top="741" w:right="239" w:bottom="779"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2">
            <w:col w:w="2360" w:space="100"/>
            <w:col w:w="8960"/>
          </w:cols>
          <w:pgMar w:left="240" w:top="741" w:right="239" w:bottom="779"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13, 2019, the Registrant had 22,755,818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77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gridSpan w:val="7"/>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gridSpan w:val="7"/>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QUARTERLY REPORT 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3"/>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60" w:type="dxa"/>
            <w:vAlign w:val="bottom"/>
            <w:gridSpan w:val="7"/>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760" w:type="dxa"/>
            <w:vAlign w:val="bottom"/>
            <w:gridSpan w:val="21"/>
            <w:shd w:val="clear" w:color="auto" w:fill="CCEEFF"/>
          </w:tcPr>
          <w:p>
            <w:pPr>
              <w:spacing w:after="0" w:line="15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60" w:type="dxa"/>
            <w:vAlign w:val="bottom"/>
            <w:gridSpan w:val="20"/>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60" w:type="dxa"/>
            <w:vAlign w:val="bottom"/>
            <w:gridSpan w:val="20"/>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60" w:type="dxa"/>
            <w:vAlign w:val="bottom"/>
            <w:gridSpan w:val="20"/>
          </w:tcPr>
          <w:p>
            <w:pPr>
              <w:spacing w:after="0" w:line="17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Changes in Stockholders’ Equity</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Notes to the Condensed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Controls and Procedures</w:t>
              </w:r>
            </w:hyperlink>
          </w:p>
        </w:tc>
        <w:tc>
          <w:tcPr>
            <w:tcW w:w="83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PART II: 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Exhibits</w:t>
              </w:r>
            </w:hyperlink>
          </w:p>
        </w:tc>
        <w:tc>
          <w:tcPr>
            <w:tcW w:w="946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680" w:type="dxa"/>
            <w:vAlign w:val="bottom"/>
            <w:tcBorders>
              <w:top w:val="single" w:sz="8" w:color="CCEEFF"/>
              <w:bottom w:val="single" w:sz="8" w:color="auto"/>
            </w:tcBorders>
            <w:gridSpan w:val="3"/>
          </w:tcPr>
          <w:p>
            <w:pPr>
              <w:jc w:val="center"/>
              <w:ind w:right="444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3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Celsion brand and product names, including but not limited to Celsion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80" w:type="dxa"/>
            <w:vAlign w:val="bottom"/>
            <w:gridSpan w:val="3"/>
          </w:tcPr>
          <w:p>
            <w:pPr>
              <w:jc w:val="center"/>
              <w:ind w:left="40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8,522,086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13,353,543</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securities - available for sale, at fair value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10,290,378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14,257,998</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68,309</w:t>
            </w:r>
          </w:p>
        </w:tc>
      </w:tr>
      <w:tr>
        <w:trPr>
          <w:trHeight w:val="237"/>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1,271,670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451,293</w:t>
            </w:r>
          </w:p>
        </w:tc>
      </w:tr>
      <w:tr>
        <w:trPr>
          <w:trHeight w:val="223"/>
        </w:trPr>
        <w:tc>
          <w:tcPr>
            <w:tcW w:w="70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20,111,105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28,131,143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06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of $3,059,285 and</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$2,968,259, respectively)</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430,046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184,627</w:t>
            </w:r>
          </w:p>
        </w:tc>
      </w:tr>
      <w:tr>
        <w:trPr>
          <w:trHeight w:val="216"/>
        </w:trPr>
        <w:tc>
          <w:tcPr>
            <w:tcW w:w="7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 net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15,736,491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15,736,491</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1,976,101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1,976,101</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1,521,869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397,805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568,292</w:t>
            </w:r>
          </w:p>
        </w:tc>
      </w:tr>
      <w:tr>
        <w:trPr>
          <w:trHeight w:val="237"/>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390,433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258,933</w:t>
            </w:r>
          </w:p>
        </w:tc>
      </w:tr>
      <w:tr>
        <w:trPr>
          <w:trHeight w:val="223"/>
        </w:trPr>
        <w:tc>
          <w:tcPr>
            <w:tcW w:w="70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20,022,699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40,563,850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46,855,587</w:t>
            </w:r>
          </w:p>
        </w:tc>
      </w:tr>
      <w:tr>
        <w:trPr>
          <w:trHeight w:val="20"/>
        </w:trPr>
        <w:tc>
          <w:tcPr>
            <w:tcW w:w="71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2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060" w:type="dxa"/>
            <w:vAlign w:val="bottom"/>
            <w:tcBorders>
              <w:bottom w:val="single" w:sz="8" w:color="auto"/>
            </w:tcBorders>
          </w:tcPr>
          <w:p>
            <w:pPr>
              <w:jc w:val="center"/>
              <w:ind w:left="429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06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3,935,750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3,020,638</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2,396,773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2,585,898</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 current portion, net of deferred financing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377,005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706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7,789,008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6,106,536</w:t>
            </w:r>
          </w:p>
        </w:tc>
        <w:tc>
          <w:tcPr>
            <w:tcW w:w="100" w:type="dxa"/>
            <w:vAlign w:val="bottom"/>
            <w:tcBorders>
              <w:top w:val="single" w:sz="8" w:color="CCEEFF"/>
            </w:tcBorders>
          </w:tcPr>
          <w:p>
            <w:pPr>
              <w:spacing w:after="0"/>
              <w:rPr>
                <w:sz w:val="17"/>
                <w:szCs w:val="17"/>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5,818,843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8,907,664</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Payable, net of deferred financing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9,126,739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9,417,037</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1,244,710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37"/>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 - non-current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63,278</w:t>
            </w:r>
          </w:p>
        </w:tc>
      </w:tr>
      <w:tr>
        <w:trPr>
          <w:trHeight w:val="223"/>
        </w:trPr>
        <w:tc>
          <w:tcPr>
            <w:tcW w:w="70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25,104,300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2019 and December 31, 2018)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22,002,752 and</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18,832,168 shares issued at September 30, 2019 and December 31, 2018, respectively,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22,002,418 and 18,831,834 shares outstanding at September 30, 2019 and December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 2018, respectively)</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220,028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188,322</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302,704,656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294,393,313</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29,872</w:t>
            </w:r>
          </w:p>
        </w:tc>
      </w:tr>
      <w:tr>
        <w:trPr>
          <w:trHeight w:val="237"/>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(287,414,021)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(273,665,247)</w:t>
            </w:r>
          </w:p>
        </w:tc>
      </w:tr>
      <w:tr>
        <w:trPr>
          <w:trHeight w:val="216"/>
        </w:trPr>
        <w:tc>
          <w:tcPr>
            <w:tcW w:w="70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15,544,738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(334 shares at September 30, 2019 and December 31, 2018)</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(85,188)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706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15,459,550</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20,861,072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40,563,850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46,855,587</w:t>
            </w:r>
          </w:p>
        </w:tc>
      </w:tr>
      <w:tr>
        <w:trPr>
          <w:trHeight w:val="20"/>
        </w:trPr>
        <w:tc>
          <w:tcPr>
            <w:tcW w:w="7100" w:type="dxa"/>
            <w:vAlign w:val="bottom"/>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40" w:type="dxa"/>
            <w:vAlign w:val="bottom"/>
            <w:gridSpan w:val="5"/>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060" w:type="dxa"/>
            <w:vAlign w:val="bottom"/>
            <w:tcBorders>
              <w:bottom w:val="single" w:sz="8" w:color="auto"/>
            </w:tcBorders>
          </w:tcPr>
          <w:p>
            <w:pPr>
              <w:jc w:val="center"/>
              <w:ind w:left="4290"/>
              <w:spacing w:after="0"/>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3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060" w:type="dxa"/>
            <w:vAlign w:val="bottom"/>
            <w:gridSpan w:val="9"/>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9"/>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3,674,239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9,999,972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9,521,937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1,838,287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1,959,903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6,192,835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7,167,740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5,512,526</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4,147,220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16,192,807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16,689,677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(5,387,526)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(4,022,220)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(15,817,807)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(16,314,677)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from change in valuation of earn-out milestone liability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4,114,995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3,088,821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3,567,671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Fair value of warrants issued in connection with amendment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modify GEN-1 earn-out milestone payments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432,832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(349,602)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(1,049,797)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(634,166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(5,476,807)</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(4,656,386)</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(13,748,774)</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(0.67)</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21,662,824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17,801,230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20,524,799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17,447,921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40" w:type="dxa"/>
            <w:vAlign w:val="bottom"/>
            <w:gridSpan w:val="11"/>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72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60" w:type="dxa"/>
            <w:vAlign w:val="bottom"/>
            <w:gridSpan w:val="8"/>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9"/>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Realized (gains) losses on investment securities recognized in</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(58,068)</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(2,788)</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(68,418)</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gains on investment securities, net</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27,995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72,621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(losses) gains on available for sale</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25,207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(5,476,807)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(4,656,386)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(13,748,774)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(17,363,937)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(5,537,308)</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(4,631,179)</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(13,744,571)</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(17,332,813)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40" w:type="dxa"/>
            <w:vAlign w:val="bottom"/>
            <w:gridSpan w:val="11"/>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52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52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2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(13,748,774)</w:t>
            </w:r>
          </w:p>
        </w:tc>
        <w:tc>
          <w:tcPr>
            <w:tcW w:w="620" w:type="dxa"/>
            <w:vAlign w:val="bottom"/>
            <w:gridSpan w:val="2"/>
            <w:shd w:val="clear" w:color="auto" w:fill="CCEEFF"/>
          </w:tcPr>
          <w:p>
            <w:pPr>
              <w:jc w:val="right"/>
              <w:ind w:right="4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(17,363,937)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537,211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(3,088,821)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(3,567,671)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Fair value of warrants issued in connection with amendment to modify the GEN-1 earn-out</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milestone payments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4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(375,000)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1,762,172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in exchange for services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finance charges and debt discount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associated with notes payable</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289,182</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deferred rent liability</w:t>
            </w: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changes 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41,338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(951,877)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(281,991)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486,857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(14,642,362</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(13,127,971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4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(19,338,177)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(15,574,587)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23,310,000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(336,445)</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(used for) investing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(5,906,365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6,175,527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received from notes payable, net of issuance costs</w:t>
            </w:r>
          </w:p>
        </w:tc>
        <w:tc>
          <w:tcPr>
            <w:tcW w:w="4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52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6,157,527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10,961,584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4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(4,831,457)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(8,072,752)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4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13,353,543</w:t>
            </w: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11,444,055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8,522,086</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3,371,303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760,615</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259,064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measurement of lease liabilities: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lease payments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355,216</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Fair value of warrants issued in connection with amendment to modify the GEN-1 earn-out</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milestone payments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common stock issued as equity issuance costs and charged against paid in capital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in connection with the debt facility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 of use assets obtained in exchange for lease liabilities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1,797,561</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gains and losses, net, on investment securities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2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520" w:type="dxa"/>
            <w:vAlign w:val="bottom"/>
            <w:tcBorders>
              <w:bottom w:val="single" w:sz="8" w:color="auto"/>
            </w:tcBorders>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8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8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88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9"/>
                <w:szCs w:val="19"/>
                <w:color w:val="auto"/>
              </w:rPr>
            </w:pPr>
          </w:p>
        </w:tc>
        <w:tc>
          <w:tcPr>
            <w:tcW w:w="10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July 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21,002,295</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300,549,511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(85,188)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(281,937,214)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18,831,711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(5,476,807)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(5,476,807)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1,701,615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1,711,467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gains and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losses, net, on investments securities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(60,501)</w:t>
            </w:r>
          </w:p>
        </w:tc>
        <w:tc>
          <w:tcPr>
            <w:tcW w:w="14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(60,501)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453,680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453,680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22,002,418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302,704,656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(85,188</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(287,414,021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8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800" w:type="dxa"/>
            <w:vAlign w:val="bottom"/>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July 1, 2018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17,746,285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177,466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293,549,124</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(85,188)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(4,247)</w:t>
            </w:r>
          </w:p>
        </w:tc>
        <w:tc>
          <w:tcPr>
            <w:tcW w:w="12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(274,489,439)</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$ 19,147,716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(4,656,386)</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(4,656,386)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in connection</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 equity facilities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164,835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(1,648)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gains and</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losses, net, on investments securities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25,207</w:t>
            </w:r>
          </w:p>
        </w:tc>
        <w:tc>
          <w:tcPr>
            <w:tcW w:w="12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614,528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614,528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2018</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17,911,120</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179,114</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294,162,004</w:t>
            </w: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(85,188</w:t>
            </w:r>
          </w:p>
        </w:tc>
        <w:tc>
          <w:tcPr>
            <w:tcW w:w="12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(279,145,825</w:t>
            </w:r>
          </w:p>
        </w:tc>
        <w:tc>
          <w:tcPr>
            <w:tcW w:w="22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$ 15,131,065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Paid in</w:t>
            </w:r>
          </w:p>
        </w:tc>
        <w:tc>
          <w:tcPr>
            <w:tcW w:w="1820" w:type="dxa"/>
            <w:vAlign w:val="bottom"/>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2019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18,831,834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188,322</w:t>
            </w:r>
          </w:p>
        </w:tc>
        <w:tc>
          <w:tcPr>
            <w:tcW w:w="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$ 294,393,313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29,872</w:t>
            </w:r>
          </w:p>
        </w:tc>
        <w:tc>
          <w:tcPr>
            <w:tcW w:w="1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(273,665,247)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20,861,072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(13,748,774)</w:t>
            </w:r>
          </w:p>
        </w:tc>
        <w:tc>
          <w:tcPr>
            <w:tcW w:w="10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(13,748,774)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equity through equity financing</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3,145,084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31,451</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6,144,076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6,175,527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issued in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connection with amendment to modify</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GEN-1 earn-out milestone payments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400,000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and unrealized gains and losses,</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on investments securities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4,203</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1,762,172</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1,762,172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5,095</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22,002,418</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220,028</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$ 302,704,656</w:t>
            </w: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(85,188</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34,075</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(287,414,021</w:t>
            </w:r>
          </w:p>
        </w:tc>
        <w:tc>
          <w:tcPr>
            <w:tcW w:w="22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15,459,550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Paid in</w:t>
            </w:r>
          </w:p>
        </w:tc>
        <w:tc>
          <w:tcPr>
            <w:tcW w:w="190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17,276,965</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172,772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288,408,976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(85,188)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(10,164)</w:t>
            </w:r>
          </w:p>
        </w:tc>
        <w:tc>
          <w:tcPr>
            <w:tcW w:w="1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(261,781,888)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26,704,508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(17,363,937)</w:t>
            </w:r>
          </w:p>
        </w:tc>
        <w:tc>
          <w:tcPr>
            <w:tcW w:w="10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(17,363,937)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equity through ATM purchase</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1,232,013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1,236,584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and warrants to purchase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issued in connection with</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and debt facilities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505,468</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and unrealized gains and</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net, on investments securities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3,985,829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3,985,829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29,718</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2018</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17,911,120</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179,114</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294,162,004</w:t>
            </w: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(85,188</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(279,145,825</w:t>
            </w:r>
          </w:p>
        </w:tc>
        <w:tc>
          <w:tcPr>
            <w:tcW w:w="22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15,131,065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 Corporation (“Celsion” and the “Company”) is a fully integrated development stage oncology drug company focused on advancing a portfolio of innovative cancer treatments, including directed chemotherapies, DNA-mediated immunotherapy and RNA based therapies. Our lead product candidate is</w:t>
      </w:r>
    </w:p>
    <w:p>
      <w:pPr>
        <w:jc w:val="both"/>
        <w:spacing w:after="0" w:line="234"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our two platform technologies which, in addition, provide the basis for the future development of a range of therapeutics for difficult-to-treat forms of cancers. Our first platform is Lysolipid Thermally Sensitive Liposomes, a heat sensitive liposomal based dosage form that targets disease with known therapeutics in the presence of mild heat. Our second is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subsidiary, CLSN Laboratories, Inc,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nine-month periods ended September 30, 2019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2018 filed with the Securities and Exchange Commission (SEC) on March 29, 2019.</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financial statements to conform to classifications used in the current year. These reclassifications had no impact on net loss, stockholder’s equity or cashflows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Condition and 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have incurred significant net losses in each year since our inception. As of September 30, 2019, the Company has incurred approximately $287 million of cumulative net losses and we had approximately $18.8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and filed its application with the New Jersey Economic Development Authority (NJEDA) in June 2018. In this application, the Company requested authorization of up to $12.5 million in tax benefits from its cumulative New Jersey net operating losses to be eligible for sale. In September 2018, the NJEDA notified the Company that its application received approval to transfer $11.1 million of tax benefits. In December 2018, the Company successfully transferred these approved tax benefits which resulted in the receipt of $10.4 million in net cash proceeds to the Company at the end of 2018. The Company has approximately $3.9 million in future tax benefits remaining under the NOL Program for future years subsequent to 2018. </w:t>
      </w:r>
      <w:r>
        <w:rPr>
          <w:rFonts w:ascii="Times New Roman" w:cs="Times New Roman" w:eastAsia="Times New Roman" w:hAnsi="Times New Roman"/>
          <w:sz w:val="18"/>
          <w:szCs w:val="18"/>
          <w:color w:val="auto"/>
          <w:highlight w:val="white"/>
        </w:rPr>
        <w:t>In September 2019, the NJEDA notified the Company that its application received approval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NOL Program for 2019. The Company expects that the successful transfer of these credits will result in receipt of approximately $2.0 million in net cash proceeds to the Company prior to the end of 2019.</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$18.8 million in cash, investment securities and interest receivable at September 30, 2019 coupled with potential future sales of the Company’s New Jersey NOL’s and, as more fully described in Note 11, the remaining availability under the Capital on Demand Equity Facility with JonesTrading Institutional Services LLC and the Common Stock Purchase Agreement with Aspire Capital Fund LLC, the Company believes it has sufficient capital resources to fund its operations into the second quarter of 2021. The Company will be required to obtain additional funding to continue development of its current product candidates within the anticipated time periods, if at all, and to continue to fund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4.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86" w:lineRule="exact"/>
        <w:rPr>
          <w:sz w:val="20"/>
          <w:szCs w:val="20"/>
          <w:color w:val="auto"/>
        </w:rPr>
      </w:pPr>
    </w:p>
    <w:p>
      <w:pPr>
        <w:ind w:left="660" w:hanging="652"/>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which amends certain narrow aspects of the guidance issued in ASU 2016-02; and</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Topic ASC 842 effective January 1, 2019 and elected to apply the available practical expedients and implement internal controls to enable the preparation of financial information on adoption. We identified two of our leases consisting of the New Jersey corporate office lease and the Alabama lab facility lease as being subject to Topic ASC 842. The adoption of this standard resulted in the recognition of right-of-use assets of approximately $1.4 million, related operating lease liabilities of $1.5 million and reduced other liabilities by approximately $0.1 million on the consolidated balance sheets as of January 1, 2019 with no material impact to the opening balance of retained earnings. See Note 15 for further discussions regarding the adoption of ASC Topic 842.</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for the three-month and nine-month periods ending September 30, 2019 and 2018.</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adoption of ASU 2017-01 did not have an impact on our financial statement or disclosures.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No. 2017-04, “Intangibles-Goodwill and Other, Simplifying the Test for Goodwill Impairment,” which eliminated Step 2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testing of goodwill during 2017 and 2018. Based on the Company’s evaluation, the adoption of the ASU 2017-04 did not have any material impact on its consolidated financial statements or its disclosures.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 Update No. 2016-13, “Financial Instruments – Credit Losses (Topic 326): Measurement of Credit Losses on Financial Instruments”, which modifies the measurement of expected credit losses on certain financial instruments. The Company will adopt ASU 2016-13 in its first quarter of 2021 utilizing the modified retrospective transition method. Based on the composition of the Company’s investment portfolio and current market conditions, the adoption of ASU 2016-13 is not expected to have a material impact on its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4,598,990 shares for the nine-month period ended September 30, 2019. Warrants with an exercise price of $0.01 (as more fully described in Note 13 of these financial statements) exercisable for 200,000 shares of common stock were considered issued in calculating basic loss per share. For the three-month and nine-month periods ended September 30, 2019,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and equity awards was 6,496,261 shares for the three-month and nine-month periods ended September 30, 2018. For the three-month and nine-month periods ended September 30, 2018, diluted loss per common share was the same as basic loss per common share as all options and all warrants that were exercisable into shares of the Company’s common stock were excluded from the calculation of diluted earnings attributable to common shareholders per common share as their effect would have been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pay any dividends during the nine-month periods ended September 30,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investments available for sale were approximately $10.3 million and $14.3 million as of September 30, 2019 and December 31, 2018, respectively, and consist of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7"/>
        </w:trPr>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10,256,303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10,290,378</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14,228,126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14,257,998</w:t>
            </w:r>
          </w:p>
        </w:tc>
      </w:tr>
      <w:tr>
        <w:trPr>
          <w:trHeight w:val="23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10,256,303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10,290,378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14,228,126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7"/>
        </w:trPr>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5,473,222</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5,490,085</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5,383,488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5,393,743</w:t>
            </w: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4,783,081</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4,800,293</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8,844,638</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8,864,255</w:t>
            </w:r>
          </w:p>
        </w:tc>
      </w:tr>
      <w:tr>
        <w:trPr>
          <w:trHeight w:val="217"/>
        </w:trPr>
        <w:tc>
          <w:tcPr>
            <w:tcW w:w="4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10,256,303</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10,290,378</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14,228,126</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14,257,998</w:t>
            </w:r>
          </w:p>
        </w:tc>
        <w:tc>
          <w:tcPr>
            <w:tcW w:w="10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securities gross unrealized gains (losses) and fair value by investment category and length of time that individual securities have been in a continuous unrealized loss position at September 30, 2019 and December 31, 2018. The Company has reviewed individual securities to determine whether a decline in fair value below the amortizable cost basis is other than temporary.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Available for sale securities </w:t>
            </w:r>
            <w:r>
              <w:rPr>
                <w:rFonts w:ascii="Times New Roman" w:cs="Times New Roman" w:eastAsia="Times New Roman" w:hAnsi="Times New Roman"/>
                <w:sz w:val="18"/>
                <w:szCs w:val="18"/>
                <w:color w:val="auto"/>
              </w:rPr>
              <w:t>(all unrealized holding gains and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0" w:type="dxa"/>
            <w:vAlign w:val="bottom"/>
          </w:tcPr>
          <w:p>
            <w:pPr>
              <w:spacing w:after="0"/>
              <w:rPr>
                <w:sz w:val="1"/>
                <w:szCs w:val="1"/>
                <w:color w:val="auto"/>
              </w:rPr>
            </w:pPr>
          </w:p>
        </w:tc>
      </w:tr>
      <w:tr>
        <w:trPr>
          <w:trHeight w:val="245"/>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losses are less than 12 months at date of measurement)</w:t>
            </w:r>
          </w:p>
        </w:tc>
        <w:tc>
          <w:tcPr>
            <w:tcW w:w="18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with unrealized gains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34,233</w:t>
            </w:r>
          </w:p>
        </w:tc>
        <w:tc>
          <w:tcPr>
            <w:tcW w:w="3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7,515,676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with unrealized losses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1,305,953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6,742,322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10,290,378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14,257,998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income, which includes net realized losses on sales of available for sale securities and investment income interest and dividends, is summarized as follows:</w:t>
      </w:r>
    </w:p>
    <w:p>
      <w:pPr>
        <w:spacing w:after="0" w:line="15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103,777</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58,068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2,788</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242,625</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68,418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11,125</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6"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2019 and 2018. There were no transfers of assets or liabilities between Level 1 and Level 2 and no transfers in or out of Level 3 thus far in 2019 and during the year ended December 31, 2018. The changes in Level 3 liabilities were the result of changes in the fair value of the earn-out milestone liability included in earnings. The earnout milestone liability is valued using a risk-adjusted assessment of the probability of payment of each milestone, discounted to present value using an estimated time to achieve the milestone (see Note 13 for significant unobservable inputs). The in-process R&amp;D is valued at September 30, 2019 and December 31, 2018 using a multi-period excess earnings method (see Note 8 for significant unobservable inputs).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assets and liabilities measured at fair value. This table only includes those assets and liabilities with fair values that have changed since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18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Total Fair Value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September 30, 2019</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10,290,378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10,290,378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2018</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14,257,998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14,257,998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September 30, 2019</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5,818,843</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5,818,843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2018</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8,907,664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8,907,664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Acquisition of EGEN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2014, we completed the acquisition of substantially all of the assets of EGEN, which has changed its company name to EGWU, Inc. after the closing of the acquisition (“EGEN”), pursuant to an Asset Purchase Agreement dated as of June 6, 2014, by and between EGEN and Celsion (the “Asset Purchase Agreement”). We acquired all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of the acquisition, the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4(2)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On September 30, 2019, the Company evaluated its IPR&amp;D of the (GBM) product candidate and concluded that it is not more likely than not that the asset is further impaired. On September 30, 2019 and 2018, the Company evaluated its IPR&amp;D of the ovarian cancer indication and concluded that it is not more likely than not that the asset is impaired.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asset acquisition, has a definitive life and is amortized on a straight-line basis over its life of 7 years. The Company recognized amortization expense of $56,829 in each of the three-month periods ended September 30, 2019 and 2018. The Company recognized amortization expense of $170,487 in each of the nine-month periods ended September 30, 2019 and 2018. The carrying value of the Covenant Not to Compete was $397,805, net of $1,193,409 in accumulated amortization expense, as of September 30, 2019. The carrying value of the Covenant Not to Compete was $568,292, net of $1,022,922 in accumulated amortization expense, as of December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schedule of future amortization amounts during the remaining life of the Covenant Not to Compete.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9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9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6"/>
        </w:trPr>
        <w:tc>
          <w:tcPr>
            <w:tcW w:w="9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170,489</w:t>
            </w:r>
          </w:p>
        </w:tc>
        <w:tc>
          <w:tcPr>
            <w:tcW w:w="80" w:type="dxa"/>
            <w:vAlign w:val="bottom"/>
          </w:tcPr>
          <w:p>
            <w:pPr>
              <w:spacing w:after="0"/>
              <w:rPr>
                <w:sz w:val="18"/>
                <w:szCs w:val="18"/>
                <w:color w:val="auto"/>
              </w:rPr>
            </w:pPr>
          </w:p>
        </w:tc>
      </w:tr>
      <w:tr>
        <w:trPr>
          <w:trHeight w:val="25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91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2019, we concluded that the Company’s fair value exceeded its carrying value therefore “it is not more likely than not” that the Goodwill was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net fair value of the assets acquired in the EGEN asset acquisition for the nine-month period ended September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Covenant Not To</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IPR&amp;D</w:t>
            </w:r>
          </w:p>
        </w:tc>
        <w:tc>
          <w:tcPr>
            <w:tcW w:w="28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Compete</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nine-months ended September 30, 2019</w:t>
            </w:r>
          </w:p>
        </w:tc>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2019, net</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15,736,491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1,976,101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568,292</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(170,487)</w:t>
            </w:r>
          </w:p>
        </w:tc>
        <w:tc>
          <w:tcPr>
            <w:tcW w:w="0" w:type="dxa"/>
            <w:vAlign w:val="bottom"/>
          </w:tcPr>
          <w:p>
            <w:pPr>
              <w:spacing w:after="0"/>
              <w:rPr>
                <w:sz w:val="1"/>
                <w:szCs w:val="1"/>
                <w:color w:val="auto"/>
              </w:rPr>
            </w:pPr>
          </w:p>
        </w:tc>
      </w:tr>
      <w:tr>
        <w:trPr>
          <w:trHeight w:val="217"/>
        </w:trPr>
        <w:tc>
          <w:tcPr>
            <w:tcW w:w="4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September 30, 2019, net</w:t>
            </w:r>
          </w:p>
        </w:tc>
        <w:tc>
          <w:tcPr>
            <w:tcW w:w="1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15,736,491</w:t>
            </w: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1,976,101</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at September 30, 2019 and December 31, 2018 include the following: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payroll and related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Credit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198"/>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430"/>
              <w:spacing w:after="0" w:line="19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r>
      <w:tr>
        <w:trPr>
          <w:trHeight w:val="216"/>
        </w:trPr>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587,635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749,369</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1,555,574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1,592,590</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234,154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198,654</w:t>
            </w: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19,410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45,285</w:t>
            </w: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2,396,773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2,585,898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034" w:lineRule="exact"/>
        <w:rPr>
          <w:sz w:val="20"/>
          <w:szCs w:val="20"/>
          <w:color w:val="auto"/>
        </w:rPr>
      </w:pPr>
    </w:p>
    <w:p>
      <w:pPr>
        <w:sectPr>
          <w:pgSz w:w="11900" w:h="16838" w:orient="portrait"/>
          <w:cols w:equalWidth="0" w:num="2">
            <w:col w:w="6800" w:space="300"/>
            <w:col w:w="4320"/>
          </w:cols>
          <w:pgMar w:left="240" w:top="684" w:right="239" w:bottom="1440" w:gutter="0" w:footer="0" w:header="0"/>
        </w:sectPr>
      </w:pP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will use the funding provided under the Horizon Credit Agreement for working capital and advancement of its product pipeline.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The effective interest rate at December 31, 2018 was 9.98%. Payments under the loan agreement are interest only for the first twenty-four (24) months after loan closing, followed by a 24-month amortization period of principal and interest through the scheduled maturity date. At its option, the Company can prepay all the outstanding principal balance by prepaying the outstanding principal balance and an amount equal to 1-3% of the outstanding principal balance at that time, based on the amount of time prior to the maturity date of the notes.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registered the Horizon Warrants on Form S-3 (File No. 333 - 227236) filed with the Securities and Exchange Commission on September 7, 2018 and declared effective on October 10, 2018. 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September 30, 2019, the Company incurred $252,144 in interest expense and amortized $97,458 as interest expense for debt discounts and end of term charges in connection with the Horizon Credit Agreement. During the nine-month period ended September 30, 2019, the Company incurred $760,615 in interest expense and amortized $289,182 as interest expense for debt discounts and end of term charges in connection with the Horizon Credit Agreement. During the three-month period ended September 30, 2018, the Company incurred $248,270 in interest expense and amortized $97,458 as interest expense for debt discounts and end of term charges in connection with the Horizon Credit Agreement. During the nine-month period ended September 30, 2018, the Company incurred $259,064 in interest expense and amortized $101,695 as interest expense for debt discounts and end of term charges in connection with the Horizon Credit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schedule of future principal payments, net of unamortized debt discounts and amortized end of term charges, due on the Horizon Credit Agreement:</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4,583,333</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4,583,333</w:t>
            </w:r>
          </w:p>
        </w:tc>
        <w:tc>
          <w:tcPr>
            <w:tcW w:w="100" w:type="dxa"/>
            <w:vAlign w:val="bottom"/>
            <w:shd w:val="clear" w:color="auto" w:fill="CCEEFF"/>
          </w:tcPr>
          <w:p>
            <w:pPr>
              <w:spacing w:after="0"/>
              <w:rPr>
                <w:sz w:val="18"/>
                <w:szCs w:val="18"/>
                <w:color w:val="auto"/>
              </w:rPr>
            </w:pPr>
          </w:p>
        </w:tc>
      </w:tr>
      <w:tr>
        <w:trPr>
          <w:trHeight w:val="237"/>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2023 and thereafter</w:t>
            </w:r>
          </w:p>
        </w:tc>
        <w:tc>
          <w:tcPr>
            <w:tcW w:w="27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future principal payments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shd w:val="clear" w:color="auto" w:fill="CCEEFF"/>
          </w:tcPr>
          <w:p>
            <w:pPr>
              <w:spacing w:after="0"/>
              <w:rPr>
                <w:sz w:val="18"/>
                <w:szCs w:val="18"/>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 net</w:t>
            </w: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(293,781)</w:t>
            </w:r>
          </w:p>
        </w:tc>
      </w:tr>
      <w:tr>
        <w:trPr>
          <w:trHeight w:val="230"/>
        </w:trPr>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Aspire Purchase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2018, we entered into a common stock purchase agreement (the “2018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the shares of common stock that may be offered to Aspire Capital from time to time.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Aspire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$15.0 million of the Company’s common stock in the aggregate at a per share price (the “Purchase Price”) equal to the lesser of:</w:t>
      </w:r>
    </w:p>
    <w:p>
      <w:pPr>
        <w:spacing w:after="0" w:line="18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of the Company’s common stock on the purchase date; or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Aspire Capital also may mutually agree to increase the number of shares that may be sold to as much as an additional 2,000,000 shares per business day.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There are no trading volume requirements or restrictions under the 2018 Aspire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2018 Aspire Purchase Agreement. There are no limitations on use of proceeds, financial or business covenants, restrictions on future funding, rights of first refusal, participation rights, penalties or liquidated damages in the Aspire Purchase Agreement. In consideration for entering into the 2018 Aspire Purchase Agreement, concurrently with the execution of the 2018 Aspire Purchase Agreement, the Company issued to Aspire Capital 164,835 shares of the Company’s common stock (the “2018 Commitment Shares”). The Company’s policy is to record specific incremental costs directly attributable to an offering as a charge against the gross proceeds, if any, when the offering becomes effective. The 2018 Commitment Shares valued at $450,000 were recorded in September 2018 as costs of equity financing and charged against additional paid-in capital. The 2018 Aspire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2018 Aspire Purchase Agreement. Any proceeds from the Company receives under the 2018 Aspire Purchase Agreement are expected to be used for working capital and general corporate purposes. During 2018, the Company sold and issued an aggregate of 100,000 shares under the 2018 Aspire Purchase Agreement, receiving approximately $0.2 million. The Company sold and issued an aggregate of 2.8 million shares under the 2018 Aspire Purchase Agreement, receiving approximately $5.5 million during the first nine months of 2019. As a result of the Company and Aspire Capital entering into a new purchase agreement on October 28, 2019 discussed in the next paragraph, the 2018 Aspire Purchase Agreement was terminated. Subsequent to September 30, 2019 and through October 27, 2019, the Company sold 515,598 shares under the Aspire Purchase Agreement, receiving approximately $0.8 million in additional gross proceeds.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2019, Company, entered into a new common stock purchase agreement (the “2019 Aspire Purchase Agreement”) with Aspire Capital which provides that, upon the terms and subject to the conditions and limitations set forth therein,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On November 8, 2019, the Company filed with the SEC a Registration Statement on Form S-1 registering all the shares of common stock that may be offered to Aspire Capital from time to time under the 2019 Aspire Purchase Agreement.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terms and conditions pursuant to the 2019 Aspire Purchase Agreement are substantially similar to the 2018 Aspire Purchase Agreement and the more significant terms are restated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2019 Aspire Purchase Agreement, on any trading day selected by the Company, the Company has the right, in its sole discretion, to present Aspire Capital with a Purchase Notice, directing Aspire Capital to purchase up to 100,000 shares of the Company’s common stock per business day, up to $10.0 million of the Company’s common stock in the aggregate at a per share Purchase Price equal to the lesser of:</w:t>
      </w:r>
    </w:p>
    <w:p>
      <w:pPr>
        <w:spacing w:after="0" w:line="176" w:lineRule="exact"/>
        <w:rPr>
          <w:rFonts w:ascii="Times New Roman" w:cs="Times New Roman" w:eastAsia="Times New Roman" w:hAnsi="Times New Roman"/>
          <w:sz w:val="18"/>
          <w:szCs w:val="18"/>
          <w:b w:val="1"/>
          <w:bCs w:val="1"/>
          <w:color w:val="auto"/>
        </w:rPr>
      </w:pPr>
    </w:p>
    <w:p>
      <w:pPr>
        <w:ind w:left="1300" w:hanging="37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of the Company’s common stock on the purchase date; or</w:t>
      </w:r>
    </w:p>
    <w:p>
      <w:pPr>
        <w:spacing w:after="0" w:line="27" w:lineRule="exact"/>
        <w:rPr>
          <w:rFonts w:ascii="Times New Roman" w:cs="Times New Roman" w:eastAsia="Times New Roman" w:hAnsi="Times New Roman"/>
          <w:sz w:val="18"/>
          <w:szCs w:val="18"/>
          <w:color w:val="auto"/>
        </w:rPr>
      </w:pPr>
    </w:p>
    <w:p>
      <w:pPr>
        <w:ind w:left="1300" w:hanging="374"/>
        <w:spacing w:after="0" w:line="261" w:lineRule="auto"/>
        <w:tabs>
          <w:tab w:leader="none" w:pos="130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on any date on which the Company submits a Purchase Notice to Aspire Capital in an amount of 100,000 shares, the Company also has the right, in its sole discretion, to present Aspire Capital with a VWAP Purchase Notice directing Aspire Capital to purchase an amount of stock equal to up to 30% of the aggregate shares of the Company’s common stock traded on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entering into the 2019 Aspire Purchase Agreement, the Company issued to Aspire Capital 100,000 shares of the Company’s common stock (the “2019 Commitment Shares”). The Company’s policy is to record specific incremental costs directly attributable to an offering as a charge against the gross proceeds, if any, when the offering becomes effective. The 2019 Commitment Shares will be fair valued and recorded in October 2019 as costs of equity financing and charged against additional paid-in capital.</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rights, responsibilities and conditions of the 2019 Aspire Purchase Agreement remain the same as the prior agreement in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on Demand</w:t>
      </w:r>
      <w:r>
        <w:rPr>
          <w:rFonts w:ascii="Times New Roman" w:cs="Times New Roman" w:eastAsia="Times New Roman" w:hAnsi="Times New Roman"/>
          <w:sz w:val="30"/>
          <w:szCs w:val="30"/>
          <w:i w:val="1"/>
          <w:iCs w:val="1"/>
          <w:u w:val="single" w:color="auto"/>
          <w:color w:val="auto"/>
          <w:vertAlign w:val="superscript"/>
        </w:rPr>
        <w:t>TM</w:t>
      </w:r>
      <w:r>
        <w:rPr>
          <w:rFonts w:ascii="Times New Roman" w:cs="Times New Roman" w:eastAsia="Times New Roman" w:hAnsi="Times New Roman"/>
          <w:sz w:val="18"/>
          <w:szCs w:val="18"/>
          <w:i w:val="1"/>
          <w:iCs w:val="1"/>
          <w:u w:val="single" w:color="auto"/>
          <w:color w:val="auto"/>
        </w:rPr>
        <w:t xml:space="preserve"> Sales Agreement</w:t>
      </w:r>
    </w:p>
    <w:p>
      <w:pPr>
        <w:spacing w:after="0" w:line="13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On December 4, 2018, the Company entered into a Capital on Demand</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the Company’s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pay JonesTrading a commission of 3.0% of the aggregate gross proceeds from each sale of Common Stock and has agreed to provide JonesTrading with customary indemnification and contribution rights.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will be issued pursuant to the Company’s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The Company did not sell any shares under the Capital on Demand Agreement as of December 31, 2018. During the first nine months of 2019, the Company sold and issued an aggregate of 345,084 shares under the Capital on Demand Agreement, receiving approximately $0.8 million in gross proceeds. Subsequent to September 30, 2019 and through November 13, 2019, the Company sold 125,302 shares under the Capital on Demand Agreement, receiving approximately $213,000 in additional net proceeds. As of September 30, 2019, the Company has $15.2 million remaining under the Capital on Demand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there was a total of 4,580,893 shares of Celsion common stock reserved for issuance under the 2018 Plan which were comprised of 3,726,386 shares of Celsion common stock subject to equity awards previously granted under the 2018 Plan and 2007 Plan and 854,507 shares of Celsion common stock available for future issuance under the 2018 Plan. As of September 30, 2019, there was a total of 246,506 of Celsion common stock subject to outstanding inducement awards.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$453,680 and $614,528 for the three-month periods ended September 30, 2019, and 2018, respectively. Of these amounts, $188,264 and $211,947 was charged to research and development during the three-month periods ended September 30, 2019 and 2018, respectively, and $265,416 and $402,581 was charged to general and administrative expenses during the three-month periods ended September 30, 2019 and 2018, respectively. Total compensation cost related to stock options and restricted stock awards amounted to $1,767,522 and $3,985,829 for the nine-month periods ended September 30, 2019, and 2018, respectively. Of these amounts, $668,058 and $1,335,136 was charged to research and development during the nine-month periods ended September 30, 2019 and 2018, respectively, and $1,099,464 and $2,650,693 was charged to general and administrative expenses during the nine-month periods ended September 30, 2019 and 2018,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there was $1.6 million of total unrecognized compensation cost related to non-vested stock-based compensation arrangements. That cost is expected to be recognized over a weighted-average period of 1.1 years. The weighted average grant date fair values of the stock options granted during the nine-month periods ended September 30, 2019 and 2018 was $1.86 and $2.36,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 summary of stock option awards and restricted stock grants for the nine-months ended September 30, 2019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18"/>
                <w:szCs w:val="18"/>
                <w:color w:val="auto"/>
              </w:rPr>
            </w:pPr>
          </w:p>
        </w:tc>
        <w:tc>
          <w:tcPr>
            <w:tcW w:w="2800" w:type="dxa"/>
            <w:vAlign w:val="bottom"/>
            <w:gridSpan w:val="6"/>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6"/>
            <w:vMerge w:val="continue"/>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6"/>
                <w:szCs w:val="16"/>
                <w:color w:val="auto"/>
              </w:rPr>
            </w:pPr>
          </w:p>
        </w:tc>
        <w:tc>
          <w:tcPr>
            <w:tcW w:w="136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1"/>
                <w:szCs w:val="21"/>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2019</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3,148,743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2.67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forfeited, cancelled or expired</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(38,355)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September 30, 2019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3,951,142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outstanding equity awards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September 30, 2019</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2,440,699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8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top w:val="single" w:sz="8" w:color="auto"/>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21"/>
                <w:szCs w:val="2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 - 2.65%</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2.82 -3.02%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101.3 -106.2%</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 – 102.1%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6.5 - 9.2</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8.0-10.0</w:t>
            </w: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Starting in 2017, the Company elected to account for any forfeitures when they occur.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20, 2019, a purported stockholder of the Company filed a derivative and putative class action lawsuit in the Superior Court of New Jersey, Chancery Division, against the Company (as both a class action defendant and nominal defendant), certain officers and directors), with the caption </w:t>
      </w:r>
      <w:r>
        <w:rPr>
          <w:rFonts w:ascii="Times New Roman" w:cs="Times New Roman" w:eastAsia="Times New Roman" w:hAnsi="Times New Roman"/>
          <w:sz w:val="18"/>
          <w:szCs w:val="18"/>
          <w:i w:val="1"/>
          <w:iCs w:val="1"/>
          <w:color w:val="auto"/>
        </w:rPr>
        <w:t>O’Connor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Braun et al.</w:t>
      </w:r>
      <w:r>
        <w:rPr>
          <w:rFonts w:ascii="Times New Roman" w:cs="Times New Roman" w:eastAsia="Times New Roman" w:hAnsi="Times New Roman"/>
          <w:sz w:val="18"/>
          <w:szCs w:val="18"/>
          <w:color w:val="auto"/>
        </w:rPr>
        <w:t>, Docket No. MER-C-000068-19 (the “Shareholder Action”). The Shareholder Action alleges breaches of the defendants’ fiduciary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allegations that the Defendants made or approved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13. Earn-out Milestone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EGEN asset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7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2019, June 30, 2019, and December 31, 2018, the Company fair valued the earn-out milestone liability at $5.8 million, $5.9 million and $8.9 million, respectively and recognized a non-cash benefit of $0.1 million and $3.1 million for the three and nine-month periods ended September 30, 2019, respectively. In assessing the earnout milestone liability at September 30, 2019 and June 30, 2019, the Company fair valued each of the two payment options per the Amended Asset Purchase Agreement and weighted them at 80% and 20% probability for the $7.0 million and the $12.4 million payments,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2018, June 30, 2018, and December 31, 2017, the Company fair valued these milestones at $9.0 million, $13.1 million and $12.5 million, respectively, and recognized a non-cash benefit of $4.1 million and 3.6 million during the three and nine-month periods ended September 30, 2018,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earn-out milestone liability for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(8,907,664)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Non-cash gain from the adjustment for the change in fair value</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3,088,821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(5,818,843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following is a schedule of the Company’s risk-adjustment assessment of each milestone:</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6"/>
            <w:vMerge w:val="continue"/>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Risk-adjustment Assessment</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Estimated Time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Date</w:t>
            </w:r>
          </w:p>
        </w:tc>
        <w:tc>
          <w:tcPr>
            <w:tcW w:w="35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of achieving each Milestone</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to Achieve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2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0.92 to 1.92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2019</w:t>
            </w:r>
          </w:p>
        </w:tc>
        <w:tc>
          <w:tcPr>
            <w:tcW w:w="2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0.75 to 1.75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2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9"/>
              </w:rPr>
              <w:t>1.25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3560" w:type="dxa"/>
            <w:vAlign w:val="bottom"/>
            <w:gridSpan w:val="3"/>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9"/>
              </w:rPr>
              <w:t>0% to 80%</w:t>
            </w:r>
          </w:p>
        </w:tc>
        <w:tc>
          <w:tcPr>
            <w:tcW w:w="17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0.00 to 1.17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2018</w:t>
            </w:r>
          </w:p>
        </w:tc>
        <w:tc>
          <w:tcPr>
            <w:tcW w:w="35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35% to 80%</w:t>
            </w:r>
          </w:p>
        </w:tc>
        <w:tc>
          <w:tcPr>
            <w:tcW w:w="17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0.83 to 1.00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3560" w:type="dxa"/>
            <w:vAlign w:val="bottom"/>
            <w:gridSpan w:val="3"/>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35% to 80%</w:t>
            </w:r>
          </w:p>
        </w:tc>
        <w:tc>
          <w:tcPr>
            <w:tcW w:w="17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1.33 to 1.50 years</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14.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nine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w:t>
            </w:r>
          </w:p>
        </w:tc>
        <w:tc>
          <w:tcPr>
            <w:tcW w:w="21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2018</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1,593,162</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 during the nine months ended September 30, 2019 (see Note 13)</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 during the nine months ended September 30, 2019</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(1,167,064)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2019</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626,098</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September 30, 2019</w:t>
            </w:r>
          </w:p>
        </w:tc>
        <w:tc>
          <w:tcPr>
            <w:tcW w:w="1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306,000</w:t>
            </w:r>
          </w:p>
        </w:tc>
        <w:tc>
          <w:tcPr>
            <w:tcW w:w="3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of weighted average remaining contractual terms at</w:t>
            </w:r>
          </w:p>
        </w:tc>
        <w:tc>
          <w:tcPr>
            <w:tcW w:w="20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Contractual Terms</w:t>
            </w:r>
          </w:p>
        </w:tc>
        <w:tc>
          <w:tcPr>
            <w:tcW w:w="0" w:type="dxa"/>
            <w:vAlign w:val="bottom"/>
          </w:tcPr>
          <w:p>
            <w:pPr>
              <w:spacing w:after="0"/>
              <w:rPr>
                <w:sz w:val="1"/>
                <w:szCs w:val="1"/>
                <w:color w:val="auto"/>
              </w:rPr>
            </w:pPr>
          </w:p>
        </w:tc>
      </w:tr>
      <w:tr>
        <w:trPr>
          <w:trHeight w:val="245"/>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460" w:type="dxa"/>
            <w:vAlign w:val="bottom"/>
          </w:tcPr>
          <w:p>
            <w:pPr>
              <w:spacing w:after="0"/>
              <w:rPr>
                <w:sz w:val="21"/>
                <w:szCs w:val="21"/>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provided to EGWU, Inc (Note 13)</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 expiration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warrants outstanding</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426,098</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15. Leases</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had an initial term of 66 months. In late 2015, Lenox Drive Office Park LLC, purchased the real estate and office building and assumed the Lease. This Lease was set to expire on April 30, 2017. In April 2017, the Company and the landlord amended the Lease effective May 1,</w:t>
      </w:r>
    </w:p>
    <w:p>
      <w:pPr>
        <w:spacing w:after="0" w:line="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2017. The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w:t>
      </w:r>
    </w:p>
    <w:p>
      <w:pPr>
        <w:spacing w:after="0" w:line="1"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year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The Company also had a one-time option to cancel the lease as of the 40th month after the commencement date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and must provide the landlord notice by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of the lease. Effective January 9, 2019, the Company amended the current terms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to increase the size of the premises by 2,285 square feet to 9,850 square feet and also extended the lease term by one year to</w:t>
      </w:r>
    </w:p>
    <w:p>
      <w:pPr>
        <w:jc w:val="both"/>
        <w:spacing w:after="0" w:line="227" w:lineRule="auto"/>
        <w:rPr>
          <w:sz w:val="20"/>
          <w:szCs w:val="20"/>
          <w:color w:val="auto"/>
        </w:rPr>
      </w:pPr>
      <w:r>
        <w:rPr>
          <w:rFonts w:ascii="Times New Roman" w:cs="Times New Roman" w:eastAsia="Times New Roman" w:hAnsi="Times New Roman"/>
          <w:sz w:val="18"/>
          <w:szCs w:val="18"/>
          <w:color w:val="auto"/>
        </w:rPr>
        <w:t>September 1, 2023. In conjunction with this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Lease Amendment, we agreed to modify our one-time option to cancel the lease as of the end of August 2021 and we must provide notice to the landlord by the end of August 2020. The monthly rent will range from approximately $25,035 in the first year to approximately $27,088 in the final year of the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Lease Amendment.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7"/>
          <w:szCs w:val="17"/>
          <w:color w:val="auto"/>
        </w:rPr>
        <w:t>As previously mentioned in Note 4, 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Consolidated Condensed Balance Sheet but had no impact on our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terminated. In connection with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table of the lease payments and maturity of our operating lease liabilities as of September 30, 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(334,155)</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1,621,715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 years</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2019, operating lease cost was $130,595 and $391,785, respectively. During the three-month and nine-month periods ended September 30, 2019, cash paid for operating leases included in operating cash flows was $130,631 and $355,216, respectively. For the three-month and nine-month periods ended September 30, 2018, operating lease cost was $109,554 and $334,107 respectively. During the three-month and nine-month periods ended September 30, 2018, cash paid for operating leases included in operating cash flows was $111,977 and $340,115,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w:t>
      </w:r>
    </w:p>
    <w:p>
      <w:pPr>
        <w:spacing w:after="0" w:line="2"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 will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certain performance requirements under the agreement. The agreement</w:t>
      </w:r>
    </w:p>
    <w:p>
      <w:pPr>
        <w:jc w:val="both"/>
        <w:spacing w:after="0" w:line="204" w:lineRule="auto"/>
        <w:rPr>
          <w:sz w:val="20"/>
          <w:szCs w:val="20"/>
          <w:color w:val="auto"/>
        </w:rPr>
      </w:pPr>
      <w:r>
        <w:rPr>
          <w:rFonts w:ascii="Times New Roman" w:cs="Times New Roman" w:eastAsia="Times New Roman" w:hAnsi="Times New Roman"/>
          <w:sz w:val="18"/>
          <w:szCs w:val="18"/>
          <w:color w:val="auto"/>
        </w:rPr>
        <w:t>will initially be limited to a percentage of the production requirements of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Hisun will collaborate with Celsion around the regulatory approval activities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for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with the China State Food and Drug Administration (CHINA FDA). During the first quarter of 2015, Hisun completed the successful manufacture of three registration batches of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 which include the sub-group analysis of patients in the Phase III HEAT Study for the hepatocellular carcinoma clinical indication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 xml:space="preserve">and other activities to further the development of ThermoDox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 xml:space="preserve">time as the parties find a mutually acceptable path forward on the development of ThermoDox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based on findings of the ongoing post-study analysis of the HEAT Study data.</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644" w:gutter="0" w:footer="0" w:header="0"/>
        </w:sectPr>
      </w:pPr>
    </w:p>
    <w:bookmarkStart w:id="29" w:name="page30"/>
    <w:bookmarkEnd w:id="29"/>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On July 19, 2013, the Company and Hisun entered into a Memorandum of Understanding to pursue ongoing cooperation for the continued clinical development of ThermoDox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as well as the technology transfer relating to the commercial manufacture of ThermoDox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65" w:lineRule="exact"/>
        <w:rPr>
          <w:rFonts w:ascii="Times New Roman" w:cs="Times New Roman" w:eastAsia="Times New Roman" w:hAnsi="Times New Roman"/>
          <w:sz w:val="18"/>
          <w:szCs w:val="18"/>
          <w:b w:val="1"/>
          <w:bCs w:val="1"/>
          <w:color w:val="auto"/>
        </w:rPr>
      </w:pPr>
    </w:p>
    <w:p>
      <w:pPr>
        <w:ind w:left="660" w:hanging="652"/>
        <w:spacing w:after="0" w:line="188" w:lineRule="auto"/>
        <w:tabs>
          <w:tab w:leader="none" w:pos="660" w:val="left"/>
        </w:tabs>
        <w:numPr>
          <w:ilvl w:val="0"/>
          <w:numId w:val="8"/>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Hisun will coordinate with the Company around the clinical and regulatory approval activities for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as well as other liposomal formations with the CHINA FDA; and</w:t>
      </w:r>
    </w:p>
    <w:p>
      <w:pPr>
        <w:spacing w:after="0" w:line="202" w:lineRule="exact"/>
        <w:rPr>
          <w:rFonts w:ascii="Times New Roman" w:cs="Times New Roman" w:eastAsia="Times New Roman" w:hAnsi="Times New Roman"/>
          <w:sz w:val="36"/>
          <w:szCs w:val="36"/>
          <w:b w:val="1"/>
          <w:bCs w:val="1"/>
          <w:color w:val="auto"/>
          <w:vertAlign w:val="superscript"/>
        </w:rPr>
      </w:pPr>
    </w:p>
    <w:p>
      <w:pPr>
        <w:ind w:left="660" w:right="20" w:hanging="652"/>
        <w:spacing w:after="0" w:line="188" w:lineRule="auto"/>
        <w:tabs>
          <w:tab w:leader="none" w:pos="660" w:val="left"/>
        </w:tabs>
        <w:numPr>
          <w:ilvl w:val="0"/>
          <w:numId w:val="8"/>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Hisun will be granted a right of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offer for a commercial license to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for the sale and distribution of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 the China territory.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2016, we signed a Technology Transfer, Manufacturing and Commercial Supply Agreement (“GEN-1 Agreement”) with Hisun to pursue an expanded partnership for the technology transfer relating to the clinical and commercial manufacture and supply of GEN- 1,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provisions of the GEN-1 Agreement are as follows:</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GEN-1 Agreement has targeted unit costs for clinical supplies of GEN-1 that are substantially competitive with the Company’s current suppliers;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approved, the cost structure for GEN-1 will support rapid market adoption and significant gross margins across global markets;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Celsion will provide Hisun a certain percentage of China’s commercial unit demand, and separately of global commercial unit demand, subject to regulatory approval;</w:t>
      </w:r>
    </w:p>
    <w:p>
      <w:pPr>
        <w:spacing w:after="0" w:line="161"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and Celsion will commence technology transfer activities relating to the manufacture of GEN-1, including all studies required by CHINA FDA for site approval; and</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2018 filed with the SEC on March 29, 2019,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Clinical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Celsion is a fully integrated development clinical stage oncology drug company focused on advancing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technologies that provide the platform for the future development of a range of therapeutics for difficult-to-treat forms of cancer. The first technology is Lysolipid Thermally Sensitive Liposomes, a heat sensitive liposomal based dosage form that targets disease with known chemotherapeutics in the presence of mild heat. The second technology is TheraPlas, a novel nucleic acid-based treatment for local transfection of therapeutic DNA plasmids. With these technologies we are working to develop and commercialize more efficient, effective and targeted oncology therapies that maximize efficacy while minimizing side effects common to cancer treatments.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ThermoDox®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OPTIMA Study. </w:t>
      </w:r>
      <w:r>
        <w:rPr>
          <w:rFonts w:ascii="Times New Roman" w:cs="Times New Roman" w:eastAsia="Times New Roman" w:hAnsi="Times New Roman"/>
          <w:sz w:val="18"/>
          <w:szCs w:val="18"/>
          <w:color w:val="auto"/>
        </w:rPr>
        <w:t>The OPTIMA Study represents an evaluation of ThermoDox® in combination with a first line therapy, RFA, for newly diagnosed,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intermediate stage HCC patients. HCC incidence globally is approximately 755,000 new cases per year and is the third largest cancer indication globally. Approximately 30% of newly diagnosed patients can be addressed with RFA.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completed enrollment of 556 patients in the Phase III OPTIMA Study in August 2018. Data for the study will be reviewed as it matures up to two interim analyses expected to be conducted in the second half of 2019 and in the first half of 2020. We expect that the final efficacy analysis, if necessary, will be completed in the first half of 2021. If the study proves to provide a clinically meaningful improvement in overall survival, Celsion will immediately apply for marketing authorization in the US, Europe and China.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believes that applications will be accepted in South Korea, Taiwan and Vietnam, three other significant markets for ThermoDox® if it were to receive approval in Europe, China or the U.S.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5, 2019, the Company announced that the prescribed number of events has been reached for the first prespecified interim analysis of the OPTIMA Phase III Study with ThermoDox® plus RFA in patients with HCC, or primary liver cancer. Following preparation of the data, the first interim analysis was conducted by the Independent Data Monitoring Committee (iDMC) on November 1, 2019. This timeline was consistent with the Company’s stated expectations and is necessary to provide a full and comprehensive data set that may represent the potential for a successful trial outcome.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2019, the Company announced that the independent Data Monitoring Committee (iDMC) unanimously recommended the OPTIMA Study continue according to protocol. The recommendation was based on a review of blinded safety and data integrity from 556 patients enrolled in the Company’s multinational, double-blind, placebo-controlled pivotal Phase III study with ThermoDox® plus RFA in patients with hepatocellular carcinoma (HCC), or primary liver cancer.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iDMC’s pre-planned interim efficacy review followed 128 patient events, or deaths, which occurred in August 2018. Data presented demonstrated that PFS and OS data appear to be tracking with patient data observed at a similar point in the Company’s subgroup of patients followed prospectively in the earlier Phase III HEAT Study, upon which the OPTIMA Study is based.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data review demonstrated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OPTIMA Study patient demographics and risk factors are consistent with what the Company observed in the HEAT Study subgroup with all data quality metrics meeting expectations.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PFS for the OPTIMA Study reached 17 months as of August 2019. These blinded data compare favorably with 16 months median PFS for the 285 patients in the HEAT Study subgroup of patients treated with RFA &gt;45 minutes and followed prospectively for overall survival.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OS for the OPTIMA Study has not been reached as of August 5, 2019, however median OS appears to be consistent with the HEAT Study subgroup of patients treated with RFA &gt;45 minutes and followed prospectively for overall survival.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OPTIMA Study has lost only 4 patients to follow-up from the initiation of the trial in September 2014 through August 2019 while the trial design allows for 3% risk for loss per year, which at this point would have exceeded 60 patients.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has not unblinded the study to report a hazard ratio, PFS and OS are tracking similarly to the subgroup of patients who received more than 45 minutes of RFA in our HEAT Study and followed prospectively for more than three years. This subgroup in the HEAT study demonstrated a 2-year overall survival advantage and a median time to death of more than 7 ½ years. This tracking appears to bode well for success at the next pre-planned interim efficacy analysis, which is intended after a minimum of 158 patient deaths and is projected to occur during the second quarter of 2020. The hazard ratio for success at 158 events is 0.70. This is below the hazard ratio of 0.65 observed for the 285 patients in the HEAT Study subgroup of patients treated with RFA &gt; 45 minutes.</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On August 13, 2019, the Company announced that results from an independent analysis of the Company’s ThermoDox</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color w:val="auto"/>
        </w:rPr>
        <w:t xml:space="preserve"> HEAT Study conducted by the National Institutes of Health (NIH) were published in the peer-reviewed publication, </w:t>
      </w:r>
      <w:r>
        <w:rPr>
          <w:rFonts w:ascii="Times New Roman" w:cs="Times New Roman" w:eastAsia="Times New Roman" w:hAnsi="Times New Roman"/>
          <w:sz w:val="18"/>
          <w:szCs w:val="18"/>
          <w:i w:val="1"/>
          <w:iCs w:val="1"/>
          <w:color w:val="auto"/>
        </w:rPr>
        <w:t>Journal of Vascular and Interventional Radiology</w:t>
      </w:r>
      <w:r>
        <w:rPr>
          <w:rFonts w:ascii="Times New Roman" w:cs="Times New Roman" w:eastAsia="Times New Roman" w:hAnsi="Times New Roman"/>
          <w:sz w:val="18"/>
          <w:szCs w:val="18"/>
          <w:color w:val="auto"/>
        </w:rPr>
        <w:t>. The analysis was conducted by the intramural research program of the NIH and the NIH Center for Interventional Oncology (CIO), with the full data set from the Company’s HEAT Study. The analysis evaluated the full data set to determine if there was a correlation between baseline tumor volume and radiofrequency ablation</w:t>
      </w:r>
    </w:p>
    <w:p>
      <w:pPr>
        <w:spacing w:after="0" w:line="4"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(RFA) heating time (minutes/tumor volume in milliliters), with or without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article titled, “</w:t>
      </w:r>
      <w:r>
        <w:rPr>
          <w:rFonts w:ascii="Times New Roman" w:cs="Times New Roman" w:eastAsia="Times New Roman" w:hAnsi="Times New Roman"/>
          <w:sz w:val="18"/>
          <w:szCs w:val="18"/>
          <w:i w:val="1"/>
          <w:iCs w:val="1"/>
          <w:color w:val="auto"/>
        </w:rPr>
        <w:t>RFA Duration Per Tumor Volume May Correlate With Overall Survival in Solitary Hepatocellular Carcinoma Patients Treated With RFA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 Lyso-thermosensitive Liposomal Doxorubicin</w:t>
      </w:r>
      <w:r>
        <w:rPr>
          <w:rFonts w:ascii="Times New Roman" w:cs="Times New Roman" w:eastAsia="Times New Roman" w:hAnsi="Times New Roman"/>
          <w:sz w:val="18"/>
          <w:szCs w:val="18"/>
          <w:color w:val="auto"/>
        </w:rPr>
        <w:t>,” discussed the NIH analysis of results from 437 patients in the HEAT Study (all patients with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lesion representing 62.4% of the study population). The key finding was that increased RFA heating time per tumor volume significantly improved overall</w:t>
      </w:r>
    </w:p>
    <w:p>
      <w:pPr>
        <w:spacing w:after="0" w:line="1"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survival (OS) in patients with single-lesion HCC who were treated with RFA plus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compared to patients treated with RFA alone. A one-unit increase in RFA duration per tumor volume was shown to result in about a 20% improvement in OS for patients administered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compared to</w:t>
      </w: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RFA alone. The authors conclude that increasing RFA heating time in combination with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significantly improves OS and establishes an improvement of over two years versus the control arm when the heating time per milliliter of tumor is greater than 2.5 minutes. This finding is consistent with the Company’s own results, which defined the optimized RFA procedure as a 45-minute treatment for tumors with a diameter of 3 centimeters. Thus, the NIH analysis lends support to the hypothesis underpinning the OPTIMA Study.</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August 27, 2019, the Company announced that a study from a single site in China titled “Thermosensitive liposomal doxorubicin plus radiofrequency ablation increased tumor destruction and improved survival in patients with medium and large hepatocellular carcinoma: A randomized, double-blinded, dummy-controlled clinical trial in a single center” has been published in the </w:t>
      </w:r>
      <w:r>
        <w:rPr>
          <w:rFonts w:ascii="Times New Roman" w:cs="Times New Roman" w:eastAsia="Times New Roman" w:hAnsi="Times New Roman"/>
          <w:sz w:val="18"/>
          <w:szCs w:val="18"/>
          <w:i w:val="1"/>
          <w:iCs w:val="1"/>
          <w:color w:val="auto"/>
        </w:rPr>
        <w:t>Journal of Cancer Research and Therapeutics.</w:t>
      </w:r>
      <w:r>
        <w:rPr>
          <w:rFonts w:ascii="Times New Roman" w:cs="Times New Roman" w:eastAsia="Times New Roman" w:hAnsi="Times New Roman"/>
          <w:sz w:val="18"/>
          <w:szCs w:val="18"/>
          <w:color w:val="auto"/>
        </w:rPr>
        <w:t xml:space="preserve"> These data were generated as part</w:t>
      </w:r>
    </w:p>
    <w:p>
      <w:pPr>
        <w:spacing w:after="0" w:line="2"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of the Phase III HEAT (Hepatocellular Carcinoma Study of RFA and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Study sponsored by Celsion Corporation. The data from this single site at the Peking University Cancer Hospital and Institute in Beijing show an overall survival (OS) improvement of 22.5 months in patients with 3-7 cm</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unresectable hepatocellular carcinoma (HCC) tumors receiving combined radiofrequency ablation (RFA) and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compared with the use of RFA alone.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both"/>
        <w:spacing w:after="0" w:line="208" w:lineRule="auto"/>
        <w:rPr>
          <w:sz w:val="20"/>
          <w:szCs w:val="20"/>
          <w:color w:val="auto"/>
        </w:rPr>
      </w:pPr>
      <w:r>
        <w:rPr>
          <w:rFonts w:ascii="Times New Roman" w:cs="Times New Roman" w:eastAsia="Times New Roman" w:hAnsi="Times New Roman"/>
          <w:sz w:val="18"/>
          <w:szCs w:val="18"/>
          <w:color w:val="auto"/>
        </w:rPr>
        <w:t>In this study, patients received 50 mg/m</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of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or placebo, plus RFA for 45 minutes or longer. Patients were followed for 11 to 80 months (average: 49.1 ± 24.8 months), with 18 of 22 patients completing the study. The mean OS for the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plus RFA group was 68.5 ± 7.2 months, which was significantly greater than the placebo plus RFA group (46.0 ± 10.6 months, pValue = 0.045). At the end of the follow-up period, the percentage of patients alive after 1, 3 and 5 years were as follows:</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42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ThermoDox + RFA</w:t>
            </w:r>
          </w:p>
        </w:tc>
        <w:tc>
          <w:tcPr>
            <w:tcW w:w="3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RFA Alone</w:t>
            </w:r>
          </w:p>
        </w:tc>
        <w:tc>
          <w:tcPr>
            <w:tcW w:w="160" w:type="dxa"/>
            <w:vAlign w:val="bottom"/>
            <w:tcBorders>
              <w:bottom w:val="single" w:sz="8" w:color="CCEEFF"/>
            </w:tcBorders>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patients alive at 1 year</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of patients alive at 3 years</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patients alive at 5 years</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bl>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publication can be found in the </w:t>
      </w:r>
      <w:r>
        <w:rPr>
          <w:rFonts w:ascii="Times New Roman" w:cs="Times New Roman" w:eastAsia="Times New Roman" w:hAnsi="Times New Roman"/>
          <w:sz w:val="18"/>
          <w:szCs w:val="18"/>
          <w:i w:val="1"/>
          <w:iCs w:val="1"/>
          <w:color w:val="auto"/>
        </w:rPr>
        <w:t>Journal of Cancer Research and Therapeutics</w:t>
      </w:r>
      <w:r>
        <w:rPr>
          <w:rFonts w:ascii="Times New Roman" w:cs="Times New Roman" w:eastAsia="Times New Roman" w:hAnsi="Times New Roman"/>
          <w:sz w:val="18"/>
          <w:szCs w:val="18"/>
          <w:color w:val="auto"/>
        </w:rPr>
        <w:t xml:space="preserve"> | Year: 2019 | Volume: 15 | Issue: 4 | Page 773 – 783. The authors are Yang W, Lee JC, Chen MH, Zhang ZY, Bai XM, Yin SS, et al. from the Departments of Ultrasound and Radiology, Key Laboratory of Carcinogenesis and Translational Research (Ministry of Education), Peking University Cancer Hospital and Institute in Beijing. Professor Min-Hua Chen was a principal investigator in Celsion’s Phase III HEAT Study, from which these data are derived, and is also a principal investigator in the Company’s ongoing Phase III OPTIMA Study for the treatment of primary liver cancer with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plus standardized RFA.</w:t>
      </w:r>
    </w:p>
    <w:p>
      <w:pPr>
        <w:spacing w:after="0" w:line="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HEAT Study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31, 2013, the Company announced that the HEAT Study, ThermoDox® in combination with RFA, did not meet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EGEN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2014, we completed the acquisition of substantially all of the assets of EGEN,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of the acquisition, the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 (2)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entered into an amendment to the Asset Purchase Agreement discussed in Note 8 (the “Amended Asset Purchase Agreement”) with EGWU, Inc. Pursuant to the Amended Asset Purchase Agreement, payment of the earnout milestone liability related to the Ovarian Cancer Indication of $12.4 million has been modified. The Company has the option to make the payment as follows:</w:t>
      </w:r>
    </w:p>
    <w:p>
      <w:pPr>
        <w:spacing w:after="0" w:line="176" w:lineRule="exact"/>
        <w:rPr>
          <w:sz w:val="20"/>
          <w:szCs w:val="20"/>
          <w:color w:val="auto"/>
        </w:rPr>
      </w:pPr>
    </w:p>
    <w:p>
      <w:pPr>
        <w:ind w:left="460" w:hanging="330"/>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25"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On September 30, 2019, the Company evaluated its IPR&amp;D of the (GBM) product candidate and concluded that it is not more likely than not that the asset is further impaired. On September 30, 2019 and 2018, the Company evaluated its IPR&amp;D of the ovarian cancer indication and concluded that it is not more likely than not that the asset is impaired.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asset acquisition, has a definitive life and is amortized on a straight-line basis over its life of 7 years. The Company recognized amortization expense of $56,829 in each of the three-month periods ended September 30, 2019 and 2018. The Company recognized amortization expense of $170,487 in each of the nine-month periods ended September 30, 2019 and 2018. The carrying value of the Covenant Not to Compete was $397,805, net of $1,193,409 in accumulated amortization expense, as of September 30, 2019. The carrying value of the Covenant Not to Compete was $568,292, net of $1,022,922 in accumulated amortization expense, as of December 31,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2019, we concluded that the Company’s fair value exceeded its carrying value therefore “it is not more likely than not” that the Goodwill was impaired.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88" w:lineRule="exact"/>
        <w:rPr>
          <w:sz w:val="20"/>
          <w:szCs w:val="20"/>
          <w:color w:val="auto"/>
        </w:rPr>
      </w:pPr>
    </w:p>
    <w:p>
      <w:pPr>
        <w:ind w:left="460" w:hanging="330"/>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Ideal for long-term maintenance therapy.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OVATION Study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2015, we announced that the FDA accepted, without objection, the Phase Ib dose-escalation clinical trial of GEN-1 in combination with the standard of care in neo-adjuvant ovarian cancer (the “OVATION Study”). On September 30, 2015, we announced enrollment of the first patient in the OVATION Study. The OVATION Study was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and again on March 2, 2109,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w:t>
      </w: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positive surgical outcomes. The OVATION Study evaluated escalating doses of GEN-1 (36 mg/m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47 mg/m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61 mg/m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and 79 mg/m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 administered intraperitoneally in combination with three cycles of neoadjuvant chemotherapy prior to interval debulking surgery, followed by three cycles of NAC in the treatment of newly diagnosed patients with Stage III/IV ovarian cancer.</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Phase IB dose-escalation study, the 14 patients who were evaluable for response demonstrated median PFS of 21 months in patients treated per protocol and 17.1 months for the intent-to-treat population (n=18) for all dose cohorts, including three patients who dropped out of the study after 13 days or less, and two patients who did not receive full NAC and GEN-1 cycles. In addition, 100% of patients administered NAC plus the two higher doses of GEN-1 experienced an objective tumor response (defined as a partial or complete response) compared to only 60% of patients given the two lower doses. Pathological changes were assessed as part of the study, with the density of markers measured in tissue sections assessed via immunohistochemistry staining. Dose-limiting toxicity was not reached in the OVATION I Study.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OVATION 2 Study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patients randomized Phase II study. On November 5, 2019, the Company announced that the independent Data Safety Monitoring Board (DSMB) completed its safety review of data from the first eight patients enrolled in the ongoing Phase I/II OVATION 2 Study. Based on the DSMB’s recommendation, the study will continue as planned and the Company will proceed with completing enrollment in the Phase I portion of the trial.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GEN-1 treatment arm will receive GEN-1 plus chemotherapy pre- and post-interval debulking surgery. The OVATION 2 Study will include up to 130 patients with Stage III/IV ovarian cancer, with 12 to 15 patients in the Phase I portion and up to 118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Developed with extensive input from the Company’s Medical Advisory Board, the OVATION 2 Study builds on promising clinical and translational research data from the Phase IB dose-escalation OVATION I Study, in which enrolled patients received escalating weekly doses of GEN-1 up to 79 mg/m² for a total of eight treatments in combination with NACT, followed by IDS. In addition to exploring a higher dose of GEN-1 in the OVATION 2 study, patients will continue to receive GEN-1 after their IDS in combination with adjuvant chemotherapy.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latest DSMB review of GEN-1 at 100 mg/m² has confirmed that there were no dose limiting toxicities detected in any of the five patients dosed with GEN-1 and that intraperitoneal administration is well tolerated even when given with standard NACT. “Of the eight patients treated in the Phase I portion of the OVATION 2 Study, five patients were treated with GEN-1 plus NACT and three patients were treated with NACT only.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TheraPlas Technology Platform. </w:t>
      </w:r>
      <w:r>
        <w:rPr>
          <w:rFonts w:ascii="Times New Roman" w:cs="Times New Roman" w:eastAsia="Times New Roman" w:hAnsi="Times New Roman"/>
          <w:sz w:val="18"/>
          <w:szCs w:val="18"/>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Development and Licensing Agreements. </w:t>
      </w:r>
      <w:r>
        <w:rPr>
          <w:rFonts w:ascii="Times New Roman" w:cs="Times New Roman" w:eastAsia="Times New Roman" w:hAnsi="Times New Roman"/>
          <w:sz w:val="18"/>
          <w:szCs w:val="18"/>
          <w:color w:val="auto"/>
        </w:rPr>
        <w:t>Our current efforts and resources are applied on the development and commercialization of cancer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drugs including tumor-targeting chemotherapy treatments using focused heat energy in combination with heat-activated drug delivery systems, immunotherapies and RNA-based therapies.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FDA. We have not generated significant revenue and have incurred significant net losses in each year since our inception. As of September 30, 2019, we have incurred approximately $287 million of cumulative net losses. As of September 30, 2019, we had approximately $18.8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40" w:hanging="5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7" w:name="page38"/>
    <w:bookmarkEnd w:id="37"/>
    <w:p>
      <w:pPr>
        <w:ind w:left="640" w:hanging="510"/>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40" w:hanging="5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and filed its application with the New Jersey Economic Development Authority (NJEDA) in June 2018. In this application, the Company requested authorization of up to $12.5 million in tax benefits from its cumulative New Jersey net operating losses to be eligible for sale. In September 2018, the NJEDA notified the Company that its application received approval to transfer $11.1 million of tax benefits. In December 2018, the Company successfully transferred these approved tax benefits which resulted in the receipt of $10.4 million in net cash proceeds to the Company at the end of 2018. The Company has approximately $3.9 million in future tax benefits remaining under the NOL Program for future years subsequent to 2018. In September 2019, the NJEDA notified the Company that its application received approval under the NOL Program for 2019. The Company expects that the successful transfer of these credits will result in receipt of approximately $2.0 million in net cash proceeds to the Company prior to the end of 2019.</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$18.8 million in cash, investment securities and interest receivable at September 30, 2019 coupled with potential future sales of the Company’s New Jersey NOL’s and, as more fully described in Note 11, the remaining availability under the Capitol on Demand Equity Facility with JonesTrading Institutional Services LLC and the common stock purchase agreement with Aspire Capital Fund LLC, the Company believes it has sufficient capital resources to fund its operations into the second quarter of 2021. The Company will be required to obtain additional funding to continue development of its current product candidates within the anticipated time periods, if at all, and to continue to fund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and Debt Financings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and thus far in 2019, we entered into a $10 million loan facility and we issued a total of 4.2 million shares of common stock in the following equity transactions for an aggregate $6.9 million in gross proceeds.</w:t>
      </w:r>
    </w:p>
    <w:p>
      <w:pPr>
        <w:spacing w:after="0" w:line="162" w:lineRule="exact"/>
        <w:rPr>
          <w:sz w:val="20"/>
          <w:szCs w:val="20"/>
          <w:color w:val="auto"/>
        </w:rPr>
      </w:pPr>
    </w:p>
    <w:p>
      <w:pPr>
        <w:jc w:val="both"/>
        <w:ind w:left="640" w:hanging="510"/>
        <w:spacing w:after="0" w:line="255"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both"/>
        <w:ind w:left="520" w:hanging="510"/>
        <w:spacing w:after="0" w:line="25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2018, the Company entered into the 2018 Aspire Purchase Agreement with Aspire Capital Fund which provides that, upon the terms and subject to the conditions and limitations set forth therein, Aspire Capital is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2018 Aspire Purchase Agreement may be terminated by the Company at any time, at its discretion, without any cost to the Company. During 2018 and through the date of this report on Form 10Q, 2019, the Company sold and issued an aggregate of 3.6 million shares under the Purchase Agreement, receiving approximately $6.9 million. All proceeds from the Company received under the 2018 Aspire Purchase Agreement were used for working capital and general corporate purposes.</w:t>
      </w:r>
    </w:p>
    <w:p>
      <w:pPr>
        <w:spacing w:after="0" w:line="188" w:lineRule="exact"/>
        <w:rPr>
          <w:rFonts w:ascii="Times New Roman" w:cs="Times New Roman" w:eastAsia="Times New Roman" w:hAnsi="Times New Roman"/>
          <w:sz w:val="18"/>
          <w:szCs w:val="18"/>
          <w:color w:val="auto"/>
        </w:rPr>
      </w:pPr>
    </w:p>
    <w:p>
      <w:pPr>
        <w:jc w:val="both"/>
        <w:ind w:left="5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2019, Company, entered into the 2019 Aspire Purchase Agreement with Aspire Capital. The terms and conditions pursuant to the 2019 Aspire Purchase Agreement are substantially similar to the 2018 Aspire Purchase Agreement. As a result of the Company and Aspire Capital entering into a new purchase agreement on October 28, 2019 discussed in the next paragraph, the 2018 Aspire Purchase Agreement terminated. Pursuant to the new 2019 Aspire Purchase Agreement,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100,000 Commitment Shares. On November 8, 2019, the Company filed with the SEC a Registration Statement on Form S-1 registering all the shares of common stock that may be offered to Aspire Capital from time to time under the 2019 Aspire Purchase Agreement.</w:t>
      </w:r>
    </w:p>
    <w:p>
      <w:pPr>
        <w:spacing w:after="0" w:line="190" w:lineRule="exact"/>
        <w:rPr>
          <w:rFonts w:ascii="Times New Roman" w:cs="Times New Roman" w:eastAsia="Times New Roman" w:hAnsi="Times New Roman"/>
          <w:sz w:val="18"/>
          <w:szCs w:val="18"/>
          <w:color w:val="auto"/>
        </w:rPr>
      </w:pPr>
    </w:p>
    <w:p>
      <w:pPr>
        <w:jc w:val="both"/>
        <w:ind w:left="520" w:hanging="510"/>
        <w:spacing w:after="0" w:line="258"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2018, the Company and certain investors holding warrants to purchase 1.6 million shares collectively of the Company’s common stock received in the February 27, 2017 Public Offering and the October 2017 Underwritten Offering, entered into warrant exchange agreements whereby the Company issued 820,714 shares collectively of common stock to these investors in exchange for the warrants. After the warrant exchange, warrants outstanding totaled 1.6 million with a weighted average exercise price of $5.75 per share. Approximately 1.2 million of these outstanding warrants with a strike price of $6.20 per share expired on April 4, 2019.</w:t>
      </w:r>
    </w:p>
    <w:p>
      <w:pPr>
        <w:spacing w:after="0" w:line="187" w:lineRule="exact"/>
        <w:rPr>
          <w:rFonts w:ascii="Times New Roman" w:cs="Times New Roman" w:eastAsia="Times New Roman" w:hAnsi="Times New Roman"/>
          <w:sz w:val="18"/>
          <w:szCs w:val="18"/>
          <w:color w:val="auto"/>
        </w:rPr>
      </w:pPr>
    </w:p>
    <w:p>
      <w:pPr>
        <w:jc w:val="both"/>
        <w:ind w:left="700" w:hanging="690"/>
        <w:spacing w:after="0" w:line="238" w:lineRule="auto"/>
        <w:tabs>
          <w:tab w:leader="none" w:pos="70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 December 4, 2018, the Company entered into a new Capital on Demand</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Sales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the Company’s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During 2018 and as of September 30, 2019, the Company sold and issued an aggregate of 345,083 shares under the Capital on Demand Agreement, receiving approximately $0.8 million.</w:t>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60" w:top="68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2018 Annual Report on Form 10-K for the year ended December 31, 2018 filed with the SEC on March 29, 2019.</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86" w:lineRule="exact"/>
        <w:rPr>
          <w:sz w:val="20"/>
          <w:szCs w:val="20"/>
          <w:color w:val="auto"/>
        </w:rPr>
      </w:pPr>
    </w:p>
    <w:p>
      <w:pPr>
        <w:ind w:left="820" w:hanging="690"/>
        <w:spacing w:after="0" w:line="284"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which amends certain narrow aspects of the guidance issued in ASU 2016-02; and</w:t>
      </w:r>
    </w:p>
    <w:p>
      <w:pPr>
        <w:spacing w:after="0" w:line="158" w:lineRule="exact"/>
        <w:rPr>
          <w:rFonts w:ascii="Times New Roman" w:cs="Times New Roman" w:eastAsia="Times New Roman" w:hAnsi="Times New Roman"/>
          <w:sz w:val="18"/>
          <w:szCs w:val="18"/>
          <w:color w:val="auto"/>
        </w:rPr>
      </w:pPr>
    </w:p>
    <w:p>
      <w:pPr>
        <w:jc w:val="both"/>
        <w:ind w:left="820" w:hanging="690"/>
        <w:spacing w:after="0" w:line="267"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adopted Topic ASC 842 effective January 1, 2019 and elected to apply the available practical expedients and implement internal controls to enable the preparation of financial information on adoption. We have identified all of our leases which consist of the New Jersey corporate office lease and the Alabama lab facility lease and we estimate the adoption of this standard will result in the recognition of right-of-use assets of approximately $1.4 million, related operating lease liabilities of $1.5 million and reduced other liabilities by approximately $0.1 million on the consolidated balance sheets as of January 1, 2019 of approximately $1.5 million related to our operating lease commitments, with no material impact to the opening balance of retained earnings. See Note 15 for further discussions regarding the adoption of ASC Topic 842.</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for the three-month and nine-month periods ending September 30, 2019 and 2018.</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Material risks and uncertainties relating to our business and our industry are described in “Item 1A. Risk Factors” under “Part II: Other Information” included herein. As a clinical stage biopharmaceutical company, our business and our ability to execute our strategy to achieve our corporate goals are subject to numerous risks and uncertainties. Please refer to Note 3 of the Financial Statements contained in this Form 10-Q. Also refer to </w:t>
      </w:r>
      <w:r>
        <w:rPr>
          <w:rFonts w:ascii="Times New Roman" w:cs="Times New Roman" w:eastAsia="Times New Roman" w:hAnsi="Times New Roman"/>
          <w:sz w:val="18"/>
          <w:szCs w:val="18"/>
          <w:b w:val="1"/>
          <w:bCs w:val="1"/>
          <w:color w:val="auto"/>
        </w:rPr>
        <w:t>Item IA, Risk Factors</w:t>
      </w:r>
      <w:r>
        <w:rPr>
          <w:rFonts w:ascii="Times New Roman" w:cs="Times New Roman" w:eastAsia="Times New Roman" w:hAnsi="Times New Roman"/>
          <w:sz w:val="18"/>
          <w:szCs w:val="18"/>
          <w:color w:val="auto"/>
        </w:rPr>
        <w:t>, including, but not limited to</w:t>
      </w:r>
      <w:r>
        <w:rPr>
          <w:rFonts w:ascii="Times New Roman" w:cs="Times New Roman" w:eastAsia="Times New Roman" w:hAnsi="Times New Roman"/>
          <w:sz w:val="18"/>
          <w:szCs w:val="18"/>
          <w:i w:val="1"/>
          <w:iCs w:val="1"/>
          <w:color w:val="auto"/>
        </w:rPr>
        <w:t>, “We will need to raise substantial additional capital to fund our planned future operations, and we may be unable to secure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without dilutive financing transactions. If we are not able to raise additional capital, we may not be able to complete the development, testing and commercialization of our product candidates.”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AND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our net loss was $5.5 million compared to a net loss of $4.7 million for the same period of 2018. For the nine months ended September 30, 2019, our net loss was $13.8 million compared to a net loss of $17.4 million for the same period of 2018.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$18.8 million in cash, investment securities and interest receivable at September 30, 2019 coupled with future sales of the Company’s New Jersey NOL’s and, as more fully described in Note 11, the remaining availability under the Capitol on Demand Equity Facility with JonesTrading Institutional Services LLC and the common stock purchase agreement with Aspire Capital Fund LLC, the Company believes it has sufficient capital resources to fund its operations into the second quarter of 2021.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gridSpan w:val="7"/>
          </w:tcPr>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0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Research</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1,271</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9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1,487</w:t>
            </w:r>
          </w:p>
        </w:tc>
        <w:tc>
          <w:tcPr>
            <w:tcW w:w="3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4,147</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1,365</w:t>
            </w:r>
          </w:p>
        </w:tc>
        <w:tc>
          <w:tcPr>
            <w:tcW w:w="3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7"/>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4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Research</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w:t>
            </w:r>
          </w:p>
        </w:tc>
        <w:tc>
          <w:tcPr>
            <w:tcW w:w="10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9,521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479</w:t>
            </w:r>
          </w:p>
        </w:tc>
        <w:tc>
          <w:tcPr>
            <w:tcW w:w="3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(975)</w:t>
            </w:r>
          </w:p>
        </w:tc>
        <w:tc>
          <w:tcPr>
            <w:tcW w:w="10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(15,818</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third quarters of 2019 and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increased by $1.5 million to $3.7 million in the third quarter of 2019 from $2.2 million in the same period of 2018. Costs associated with the OPTIMA Study increased by $0.5 million to $1.2 million in the third quarter of 2019 compared to $0.7 million in the same period of 2018. Clinical development costs for the OPTIMA Study in the third quarter of 2018 were favorably impacted by a $0.8 million one-time credit resulting from cost concessions negotiated with the Company’s lead CRO for the OPTIMA Study. Costs associated the OVATION 2 Study of $0.2 million in the third quarter of 2019 were consistent with the same period of 2018. Regulatory costs were $0.2 million in the third quarter of 2019 compared to $0.1 million in the same period of 2018. Other clinical costs increased by $0.3 million to $0.8 million in the third quarter of 2019 compared to $0.5 million in the same period of 2018. Costs associated with the production of ThermoDox® were $0.4 million in the third quarter of 2019 compared to $0.2 million in the same period of 2018. R&amp;D costs associated with the development of GEN-1 to support the OVATION Studies increased by $0.3 million to $0.8 million the third quarter of 2019 compared to $0.5 million in the same period of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$1.8 million in the third quarter of 2019 compared to $2.0 million in the same period of 2018. This decrease is primarily attributable to a decrease in personnel costs of approximately $0.1 million which included a $0.2 million decrease in non-cash stock compensation expense partially offset by an increase in salary expense in the third quarter of 2019 compared to the same period of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 and Warrant Expense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76" w:lineRule="exact"/>
        <w:rPr>
          <w:sz w:val="20"/>
          <w:szCs w:val="20"/>
          <w:color w:val="auto"/>
        </w:rPr>
      </w:pPr>
    </w:p>
    <w:p>
      <w:pPr>
        <w:ind w:left="980" w:hanging="64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2019, and June 30, 2019, the Company fair valued the earn-out milestone liability at $5.8 million and $5.9 million, respectively and recognized a non-cash benefit of $0.1 million for the three-period ended September 30, 2019. In assessing the earnout milestone liability at September 30, 2019 and June 30, 2019, the Company fair valued each of the two payment options per the Amended Asset Purchase Agreement and weighted them at 80% and 20% probability for the $7.0 million and the $12.4 million payments, respectively. As of September 30, 2018, and June 30, 2018, the Company fair valued these milestones at $9.0 million and $13.1 million, respectively, and recognized a non-cash benefit of $4.1 million during the three-month period ended September 30,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realized $0.2 million of interest income from its short-term investments during the third quarter of 2019 compared to $0.1 million during the same period of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a new loan facility with Horizon Technology Finance Corporation on June 27, 2018. In connection with this debt facility the Company incurred $0.3 million in interest expense in each of the third quarters of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$375,000 in each of the nine months ended September 30, 2019 and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(“R&amp;D”) expenses increased by $0.5 million to $10.0 million in the nine months ended September 30, 2019 from $9.5 million in the same period of 2018. Costs associated with the OPTIMA Study decreased by $0.7 million to $3.3 million in the nine months ended September 30, 2019 compared to $4.0 million in the same period of 2018. The prior year period was favorably impacted by a $0.8 million credit resulting from cost concessions negotiated with the Company’s lead contract research organization (CRO) for the OPTIMA Study. Excluding this one-time credit, clinical development costs for the Phase III OPTIMA Study decreased $1.5 million to $3.3 million in the first nine months of 2019, compared with $4.8 million in the comparable prior year period, due to the completion of enrollment in this 556-patient trial in August 2018. Costs associated the OVATION 2 Study of $0.4 million in the nine months ended September 30, 2019 compared to $0.3 million in the same period of 2018. Regulatory costs were $0.9 million during the nine months ended September 30, 2019 compared to $0.2 million in the same period of 2018. Other clinical costs were $2.0 million in each of the nine months ended September 30, 2019 and 2018. Costs associated with the production of ThermoDox® were $1.1 million during the nine months ended September 30, 2019 compared to $0.9 million in the same period of 2018. R&amp;D costs associated with the development of GEN-1 to support the OVATION Studies increased by $0.2 million to $2.3 million in the nine months ended September 30, 2019 compared to $2.1 million in the same period of 2018.</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$6.2 million in the nine months ended September 30, 2019 compared to $7.2 million in the same period of 2018. This decrease is primarily attributable to a decrease in personnel costs of approximately $1.4 million which included a $1.7 million decrease in non-cash stock compensation expense partially offset by an increase in personnel in the nine months ended September 30, 2019 compared to the same period of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 and Warrant Expense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an amendment to the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76" w:lineRule="exact"/>
        <w:rPr>
          <w:sz w:val="20"/>
          <w:szCs w:val="20"/>
          <w:color w:val="auto"/>
        </w:rPr>
      </w:pPr>
    </w:p>
    <w:p>
      <w:pPr>
        <w:ind w:left="460" w:hanging="330"/>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EGWU, Inc. 200,000 warrants to purchase common stock at a strike price of $0.01 per warrant share as consideration for entering into the amended agreement. These warrants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2019, and December 31, 2018, the Company fair valued the earn-out milestone liability at $5.8 million and $8.9 million, respectively and recognized a non-cash benefit of $3.1 million for the nine-month period ended September 30, 2019. In assessing the earnout milestone liability at September 30, 2019 and June 30, 2019, the Company the fair valued each of the two payment options per the Amended Asset Purchase Agreement and weighted them at 80% and 20% probability for the $7.0 million and the $12.4 million payments, respectively. As of September 30, 2018, and December 31, 2017, the Company fair valued these milestones at $9.0 million and $12.5 million, respectively, and recognized a non-cash benefit of $3.5 million during the nine-month periods ended September 30,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realized $0.4 million and $0.3 million of interest income from its short-term investments during the nine months ended September 30, 2019 and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a new loan facility with Horizon Technology Finance Corporation on June 27, 2018. In connection with this debt facility the Company incurred $1.0 million in interest expense in the nine months ended September 30, 2019 compared to $0.4 million during the same period of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w:t>
      </w:r>
    </w:p>
    <w:p>
      <w:pPr>
        <w:jc w:val="both"/>
        <w:spacing w:after="0" w:line="224" w:lineRule="auto"/>
        <w:rPr>
          <w:sz w:val="20"/>
          <w:szCs w:val="20"/>
          <w:color w:val="auto"/>
        </w:rPr>
      </w:pPr>
      <w:r>
        <w:rPr>
          <w:rFonts w:ascii="Times New Roman" w:cs="Times New Roman" w:eastAsia="Times New Roman" w:hAnsi="Times New Roman"/>
          <w:sz w:val="18"/>
          <w:szCs w:val="18"/>
          <w:color w:val="auto"/>
        </w:rPr>
        <w:t>agreement with Hisun. The process of developing and commercializing ThermoDox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$287 million at September 30, 2019.</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2019 we had total current assets of $20.1 million (including cash, cash equivalents and short-term investments and related interest receivable on short-term investments of $18.8 million) and current liabilities of $7.8 million, resulting in net working capital of $12.3 million. At December 31, 2018 we had total current assets of $28.1 million (including cash, cash equivalents and short-term investments and related interest receivable on short-term investments of $27.7 million) and current liabilities of $6.1 million, resulting in net working capital of $22.0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first nine months of 2019 was $14.6 million. Net cash provided by investing activities was $3.6 million during the first nine months of 2019. Net cash provided by financing activities was $6.2 million during the first nine months of 2019 from net proceeds received through the sale of our common stock under the common stock purchase and sales facilities with Aspire Capital Fund, LLC. and JonesTrading International, LLC.</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2019,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implemented technology, processes and controls related to the recording of right-of-use assets and lease liabilities in connection with the adoption of ASC 842, “Leases,” as described in the “Leases and Commitments” note of the financial statements. Otherwise, 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20, 2019, a purported stockholder of the Company filed a derivative and putative class action lawsuit in the Superior Court of New Jersey, Chancery Division, against the Company (as both a class action defendant and nominal defendant), certain officers and directors), with the caption </w:t>
      </w:r>
      <w:r>
        <w:rPr>
          <w:rFonts w:ascii="Times New Roman" w:cs="Times New Roman" w:eastAsia="Times New Roman" w:hAnsi="Times New Roman"/>
          <w:sz w:val="18"/>
          <w:szCs w:val="18"/>
          <w:i w:val="1"/>
          <w:iCs w:val="1"/>
          <w:color w:val="auto"/>
        </w:rPr>
        <w:t>O’Connor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Braun et al.</w:t>
      </w:r>
      <w:r>
        <w:rPr>
          <w:rFonts w:ascii="Times New Roman" w:cs="Times New Roman" w:eastAsia="Times New Roman" w:hAnsi="Times New Roman"/>
          <w:sz w:val="18"/>
          <w:szCs w:val="18"/>
          <w:color w:val="auto"/>
        </w:rPr>
        <w:t>, Docket No. MER-C-000068-19 (the “Shareholder Action”). The Shareholder Action alleges breaches of the defendants’ fiduciary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allegations that the Defendants made or approved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2018 filed on March 29, 2019 with the SEC. In assessing these risks, investors should also refer to the other information contained or incorporated by reference in this Quarterly Report and our other filings made from time to time with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$287 million at September 30, 2019. For the year ended December 31, 2018 and the nine months ended September 30, 2019, we incurred net losses of $11.9 million and $13.7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2018 and the nine-months ended September 30, 2019, we incurred net losses of $11.9 million and $13.7 million, respectively. We have incurred approximately $287 million of cumulative net losses. As of September 30, 2019, we had approximately $18.8 million in cash and short-term investments including interest receivable.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84"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80" w:lineRule="exact"/>
        <w:rPr>
          <w:sz w:val="20"/>
          <w:szCs w:val="20"/>
          <w:color w:val="auto"/>
        </w:rPr>
      </w:pPr>
    </w:p>
    <w:p>
      <w:pPr>
        <w:ind w:left="780" w:hanging="650"/>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test or clinical trial may fail to produce safety and efficacy results satisfactory to the FDA or comparable foreign regulatory authorities;</w:t>
      </w:r>
    </w:p>
    <w:p>
      <w:pPr>
        <w:spacing w:after="0" w:line="161" w:lineRule="exact"/>
        <w:rPr>
          <w:rFonts w:ascii="Times New Roman" w:cs="Times New Roman" w:eastAsia="Times New Roman" w:hAnsi="Times New Roman"/>
          <w:sz w:val="18"/>
          <w:szCs w:val="18"/>
          <w:color w:val="auto"/>
        </w:rPr>
      </w:pPr>
    </w:p>
    <w:p>
      <w:pPr>
        <w:ind w:left="780" w:hanging="650"/>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jc w:val="both"/>
        <w:ind w:left="780" w:hanging="650"/>
        <w:spacing w:after="0" w:line="266"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76" w:lineRule="exact"/>
        <w:rPr>
          <w:rFonts w:ascii="Times New Roman" w:cs="Times New Roman" w:eastAsia="Times New Roman" w:hAnsi="Times New Roman"/>
          <w:sz w:val="18"/>
          <w:szCs w:val="18"/>
          <w:color w:val="auto"/>
        </w:rPr>
      </w:pPr>
    </w:p>
    <w:p>
      <w:pPr>
        <w:ind w:left="780" w:hanging="650"/>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780" w:hanging="650"/>
        <w:spacing w:after="0" w:line="266"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6" w:lineRule="exact"/>
        <w:rPr>
          <w:rFonts w:ascii="Times New Roman" w:cs="Times New Roman" w:eastAsia="Times New Roman" w:hAnsi="Times New Roman"/>
          <w:sz w:val="18"/>
          <w:szCs w:val="18"/>
          <w:color w:val="auto"/>
        </w:rPr>
      </w:pPr>
    </w:p>
    <w:p>
      <w:pPr>
        <w:jc w:val="both"/>
        <w:ind w:left="780" w:hanging="650"/>
        <w:spacing w:after="0" w:line="266"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transactions, such as acquisitions, partnerships and collaborations, including the EGEN asset acquisition, involve numerous risks, including:</w:t>
      </w:r>
    </w:p>
    <w:p>
      <w:pPr>
        <w:spacing w:after="0" w:line="225" w:lineRule="exact"/>
        <w:rPr>
          <w:sz w:val="20"/>
          <w:szCs w:val="20"/>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markets for the products of acquired businesses, technologies or product lines to develop as expected;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identifying and pursuing acquisition targets;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achieving strategic objectives, cost savings and other benefits expected from acquisitions;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financial returns on acquisitions will not support the expenditures incurred to acquire such businesses or the capital expenditures needed to develop such businesses;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acquired businesses, technologies or product lines;</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manage additional business locations, including the additional infrastructure and resources necessary to support and integrate such locations;</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9" w:name="page50"/>
    <w:bookmarkEnd w:id="49"/>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or conducting operations with which we have no or limited direct prior experience;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assuming the legal obligations of acquired businesses, technologies or product lines;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related to acquired businesses, technologies or product lines;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any of our pending patent applications do not issue, or are deemed invalid following issuance, we may lose valuable intellectual property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b w:val="1"/>
          <w:bCs w:val="1"/>
          <w:i w:val="1"/>
          <w:iCs w:val="1"/>
          <w:color w:val="auto"/>
        </w:rPr>
        <w:t>ClinicalTrials.gov</w:t>
      </w:r>
      <w:r>
        <w:rPr>
          <w:rFonts w:ascii="Times New Roman" w:cs="Times New Roman" w:eastAsia="Times New Roman" w:hAnsi="Times New Roman"/>
          <w:sz w:val="18"/>
          <w:szCs w:val="18"/>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several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which is commonly known as the requirement that all individuals maintain health insurance coverage or pay a penalty, referred to as the “individual mandate.” However, as a result of tax reform legislation passed in December 2017, the individual mandate has been eliminated effective January 1, 2019. According to the Congressional Budget Office, the repeal of the individual mandate will cause 13 million fewer Americans to be insured in 2027 and premiums in insurance markets may rise.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our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Several of our current clinical trials are being conducted outside the United States, and the FDA may not accept data from trials conducted in foreign locations.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significantly on the continued contributions of our executive officers, scientific and technical personnel and consultants, including those retained in the EGEN asset acquisition, and on our ability to attract additional personnel as we seek to implement our business strategy and develop our product candidates and businesses. Our operations associated with the EGEN asset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and a high price of $2.47 and a low price of $1.09 from January 1, 2019 through November 13, 2019. Among the factors that may cause the market price of our common stock to fluctuate are the risks described in this “Risk Factors” section and other factors, including:</w:t>
      </w:r>
    </w:p>
    <w:p>
      <w:pPr>
        <w:spacing w:after="0" w:line="18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studies of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and regulations applicable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or our competitors, and the timing of these introductions or announcements;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other strategic transactions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or the operating results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changes in interpretations of existing principles, which could affect our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or maintain market acceptance or commercial success;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markets we serve;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regulatory policies, practices or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 involving our company, our general industry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our common stock by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financings, including the EGEN asset acquisition;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13, 2019, we had 22,755,818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asset acquisition. Our stockholders may experience significant dilution as a result of future equity offerings or issuances. Investors purchasing shares or other securities in the future could have rights superior to existing stockholders. As of November 13, 2019, we have a significant number of securities convertible into, or allowing the purchase of, our common stock, including 626,098 shares of common stock issuable upon exercise of warrants outstanding, 4,335,892 options to purchase shares of our common stock and restricted stock awards outstanding, and 479,007 shares of common stock reserved for future issuance under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63">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hyperlink>
    </w:p>
    <w:p>
      <w:pPr>
        <w:spacing w:after="0" w:line="27"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2002.</w:t>
        </w:r>
      </w:hyperlink>
    </w:p>
    <w:p>
      <w:pPr>
        <w:spacing w:after="0" w:line="207"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65">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hyperlink>
    </w:p>
    <w:p>
      <w:pPr>
        <w:spacing w:after="0" w:line="27"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2002.</w:t>
        </w:r>
      </w:hyperlink>
    </w:p>
    <w:p>
      <w:pPr>
        <w:spacing w:after="0" w:line="207"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67">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840" w:hanging="832"/>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840" w:hanging="839"/>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September 30, 2019,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jc w:val="both"/>
        <w:ind w:left="840" w:hanging="832"/>
        <w:spacing w:after="0" w:line="261"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840" w:hanging="832"/>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7"/>
          <w:szCs w:val="17"/>
          <w:color w:val="auto"/>
        </w:rPr>
        <w:t>CELSION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1.I have reviewed this quarterly report on Form 10-Q of Celsion Corporation;</w:t>
      </w:r>
    </w:p>
    <w:p>
      <w:pPr>
        <w:spacing w:after="0" w:line="225" w:lineRule="exact"/>
        <w:rPr>
          <w:sz w:val="20"/>
          <w:szCs w:val="20"/>
          <w:color w:val="auto"/>
        </w:rPr>
      </w:pPr>
    </w:p>
    <w:p>
      <w:pPr>
        <w:jc w:val="both"/>
        <w:ind w:left="26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26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26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76" w:lineRule="exact"/>
        <w:rPr>
          <w:sz w:val="20"/>
          <w:szCs w:val="20"/>
          <w:color w:val="auto"/>
        </w:rPr>
      </w:pPr>
    </w:p>
    <w:p>
      <w:pPr>
        <w:jc w:val="both"/>
        <w:ind w:left="520" w:hanging="255"/>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20" w:hanging="255"/>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26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520" w:right="20" w:hanging="255"/>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1.I have reviewed this quarterly report on Form 10-Q of Celsion Corporation;</w:t>
      </w:r>
    </w:p>
    <w:p>
      <w:pPr>
        <w:spacing w:after="0" w:line="225" w:lineRule="exact"/>
        <w:rPr>
          <w:sz w:val="20"/>
          <w:szCs w:val="20"/>
          <w:color w:val="auto"/>
        </w:rPr>
      </w:pPr>
    </w:p>
    <w:p>
      <w:pPr>
        <w:jc w:val="both"/>
        <w:ind w:left="26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26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26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76" w:lineRule="exact"/>
        <w:rPr>
          <w:sz w:val="20"/>
          <w:szCs w:val="20"/>
          <w:color w:val="auto"/>
        </w:rPr>
      </w:pPr>
    </w:p>
    <w:p>
      <w:pPr>
        <w:jc w:val="both"/>
        <w:ind w:left="520" w:hanging="255"/>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20" w:hanging="255"/>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26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520" w:right="20" w:hanging="255"/>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2019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2"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both"/>
        <w:ind w:firstLine="8"/>
        <w:spacing w:after="0" w:line="266" w:lineRule="auto"/>
        <w:tabs>
          <w:tab w:leader="none" w:pos="1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lvl w:ilvl="1">
      <w:lvlJc w:val="left"/>
      <w:lvlText w:val="●"/>
      <w:numFmt w:val="bullet"/>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2019-12-28T01:32:37Z</dcterms:created>
  <dcterms:modified xsi:type="dcterms:W3CDTF">2019-12-28T01:32:37Z</dcterms:modified>
</cp:coreProperties>
</file>