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3341370</wp:posOffset>
            </wp:positionH>
            <wp:positionV relativeFrom="paragraph">
              <wp:posOffset>245745</wp:posOffset>
            </wp:positionV>
            <wp:extent cx="5746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3341370</wp:posOffset>
            </wp:positionH>
            <wp:positionV relativeFrom="paragraph">
              <wp:posOffset>100965</wp:posOffset>
            </wp:positionV>
            <wp:extent cx="5746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020" w:right="1880" w:hanging="4012"/>
        <w:spacing w:after="0" w:line="493" w:lineRule="auto"/>
        <w:tabs>
          <w:tab w:leader="none" w:pos="75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760" w:hanging="752"/>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3962400</wp:posOffset>
            </wp:positionH>
            <wp:positionV relativeFrom="paragraph">
              <wp:posOffset>-7620</wp:posOffset>
            </wp:positionV>
            <wp:extent cx="838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001-15911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3341370</wp:posOffset>
            </wp:positionH>
            <wp:positionV relativeFrom="paragraph">
              <wp:posOffset>566420</wp:posOffset>
            </wp:positionV>
            <wp:extent cx="5746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CELSION CORPORATION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3341370</wp:posOffset>
            </wp:positionH>
            <wp:positionV relativeFrom="paragraph">
              <wp:posOffset>73025</wp:posOffset>
            </wp:positionV>
            <wp:extent cx="5746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5860" w:type="dxa"/>
            <w:vAlign w:val="bottom"/>
            <w:gridSpan w:val="2"/>
          </w:tcPr>
          <w:p>
            <w:pPr>
              <w:jc w:val="right"/>
              <w:ind w:right="2270"/>
              <w:spacing w:after="0"/>
              <w:rPr>
                <w:sz w:val="20"/>
                <w:szCs w:val="20"/>
                <w:color w:val="auto"/>
              </w:rPr>
            </w:pPr>
            <w:r>
              <w:rPr>
                <w:rFonts w:ascii="Arial" w:cs="Arial" w:eastAsia="Arial" w:hAnsi="Arial"/>
                <w:sz w:val="18"/>
                <w:szCs w:val="18"/>
                <w:b w:val="1"/>
                <w:bCs w:val="1"/>
                <w:color w:val="auto"/>
              </w:rPr>
              <w:t>52-1256615</w:t>
            </w:r>
          </w:p>
        </w:tc>
      </w:tr>
      <w:tr>
        <w:trPr>
          <w:trHeight w:val="228"/>
        </w:trPr>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(State or Other Jurisdiction of Incorporation or Organization)</w:t>
            </w:r>
          </w:p>
        </w:tc>
        <w:tc>
          <w:tcPr>
            <w:tcW w:w="280" w:type="dxa"/>
            <w:vAlign w:val="bottom"/>
          </w:tcPr>
          <w:p>
            <w:pPr>
              <w:spacing w:after="0"/>
              <w:rPr>
                <w:sz w:val="19"/>
                <w:szCs w:val="19"/>
                <w:color w:val="auto"/>
              </w:rPr>
            </w:pPr>
          </w:p>
        </w:tc>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396"/>
        </w:trPr>
        <w:tc>
          <w:tcPr>
            <w:tcW w:w="5560" w:type="dxa"/>
            <w:vAlign w:val="bottom"/>
          </w:tcPr>
          <w:p>
            <w:pPr>
              <w:jc w:val="center"/>
              <w:spacing w:after="0"/>
              <w:rPr>
                <w:sz w:val="20"/>
                <w:szCs w:val="20"/>
                <w:color w:val="auto"/>
              </w:rPr>
            </w:pPr>
            <w:r>
              <w:rPr>
                <w:rFonts w:ascii="Arial" w:cs="Arial" w:eastAsia="Arial" w:hAnsi="Arial"/>
                <w:sz w:val="18"/>
                <w:szCs w:val="18"/>
                <w:b w:val="1"/>
                <w:bCs w:val="1"/>
                <w:color w:val="auto"/>
                <w:w w:val="98"/>
              </w:rPr>
              <w:t>997 LENOX DRIVE, SUITE 100</w:t>
            </w:r>
          </w:p>
        </w:tc>
        <w:tc>
          <w:tcPr>
            <w:tcW w:w="28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234"/>
        </w:trPr>
        <w:tc>
          <w:tcPr>
            <w:tcW w:w="5560" w:type="dxa"/>
            <w:vAlign w:val="bottom"/>
          </w:tcPr>
          <w:p>
            <w:pPr>
              <w:jc w:val="center"/>
              <w:spacing w:after="0"/>
              <w:rPr>
                <w:sz w:val="20"/>
                <w:szCs w:val="20"/>
                <w:color w:val="auto"/>
              </w:rPr>
            </w:pPr>
            <w:r>
              <w:rPr>
                <w:rFonts w:ascii="Arial" w:cs="Arial" w:eastAsia="Arial" w:hAnsi="Arial"/>
                <w:sz w:val="18"/>
                <w:szCs w:val="18"/>
                <w:b w:val="1"/>
                <w:bCs w:val="1"/>
                <w:color w:val="auto"/>
              </w:rPr>
              <w:t>LAWRENCEVILLE, NJ</w:t>
            </w:r>
          </w:p>
        </w:tc>
        <w:tc>
          <w:tcPr>
            <w:tcW w:w="5860" w:type="dxa"/>
            <w:vAlign w:val="bottom"/>
            <w:gridSpan w:val="2"/>
          </w:tcPr>
          <w:p>
            <w:pPr>
              <w:jc w:val="right"/>
              <w:ind w:right="2470"/>
              <w:spacing w:after="0"/>
              <w:rPr>
                <w:sz w:val="20"/>
                <w:szCs w:val="20"/>
                <w:color w:val="auto"/>
              </w:rPr>
            </w:pPr>
            <w:r>
              <w:rPr>
                <w:rFonts w:ascii="Arial" w:cs="Arial" w:eastAsia="Arial" w:hAnsi="Arial"/>
                <w:sz w:val="18"/>
                <w:szCs w:val="18"/>
                <w:b w:val="1"/>
                <w:bCs w:val="1"/>
                <w:color w:val="auto"/>
              </w:rPr>
              <w:t>08648</w:t>
            </w:r>
          </w:p>
        </w:tc>
      </w:tr>
      <w:tr>
        <w:trPr>
          <w:trHeight w:val="228"/>
        </w:trPr>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280" w:type="dxa"/>
            <w:vAlign w:val="bottom"/>
          </w:tcPr>
          <w:p>
            <w:pPr>
              <w:spacing w:after="0"/>
              <w:rPr>
                <w:sz w:val="19"/>
                <w:szCs w:val="19"/>
                <w:color w:val="auto"/>
              </w:rPr>
            </w:pPr>
          </w:p>
        </w:tc>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Title of Each Class</w:t>
            </w: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Name of Each Exchange on Which Registered</w:t>
            </w:r>
          </w:p>
        </w:tc>
      </w:tr>
      <w:tr>
        <w:trPr>
          <w:trHeight w:val="228"/>
        </w:trPr>
        <w:tc>
          <w:tcPr>
            <w:tcW w:w="5860" w:type="dxa"/>
            <w:vAlign w:val="bottom"/>
          </w:tcPr>
          <w:p>
            <w:pPr>
              <w:jc w:val="center"/>
              <w:ind w:right="210"/>
              <w:spacing w:after="0"/>
              <w:rPr>
                <w:sz w:val="20"/>
                <w:szCs w:val="20"/>
                <w:color w:val="auto"/>
              </w:rPr>
            </w:pPr>
            <w:r>
              <w:rPr>
                <w:rFonts w:ascii="Arial" w:cs="Arial" w:eastAsia="Arial" w:hAnsi="Arial"/>
                <w:sz w:val="18"/>
                <w:szCs w:val="18"/>
                <w:b w:val="1"/>
                <w:bCs w:val="1"/>
                <w:color w:val="auto"/>
                <w:w w:val="97"/>
              </w:rPr>
              <w:t>COMMON STOCK, PAR VALUE $0.01 PER SHARE</w:t>
            </w:r>
          </w:p>
        </w:tc>
        <w:tc>
          <w:tcPr>
            <w:tcW w:w="5560" w:type="dxa"/>
            <w:vAlign w:val="bottom"/>
          </w:tcPr>
          <w:p>
            <w:pPr>
              <w:jc w:val="center"/>
              <w:spacing w:after="0"/>
              <w:rPr>
                <w:sz w:val="20"/>
                <w:szCs w:val="20"/>
                <w:color w:val="auto"/>
              </w:rPr>
            </w:pPr>
            <w:r>
              <w:rPr>
                <w:rFonts w:ascii="Arial" w:cs="Arial" w:eastAsia="Arial" w:hAnsi="Arial"/>
                <w:sz w:val="18"/>
                <w:szCs w:val="18"/>
                <w:b w:val="1"/>
                <w:bCs w:val="1"/>
                <w:color w:val="auto"/>
              </w:rPr>
              <w:t>NASDAQ CAPITAL MARKET</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547370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 w:name="page2"/>
    <w:bookmarkEnd w:id="1"/>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jc w:val="center"/>
        <w:spacing w:after="0" w:line="15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32" w:lineRule="exact"/>
        <w:rPr>
          <w:sz w:val="20"/>
          <w:szCs w:val="20"/>
          <w:color w:val="auto"/>
        </w:rPr>
      </w:pPr>
    </w:p>
    <w:p>
      <w:pPr>
        <w:sectPr>
          <w:pgSz w:w="11900" w:h="16838" w:orient="portrait"/>
          <w:cols w:equalWidth="0" w:num="3">
            <w:col w:w="8520" w:space="220"/>
            <w:col w:w="460" w:space="240"/>
            <w:col w:w="1980"/>
          </w:cols>
          <w:pgMar w:left="240" w:top="552" w:right="239"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32" w:lineRule="exact"/>
        <w:rPr>
          <w:sz w:val="20"/>
          <w:szCs w:val="20"/>
          <w:color w:val="auto"/>
        </w:rPr>
      </w:pPr>
    </w:p>
    <w:p>
      <w:pPr>
        <w:sectPr>
          <w:pgSz w:w="11900" w:h="16838" w:orient="portrait"/>
          <w:cols w:equalWidth="0" w:num="3">
            <w:col w:w="8680" w:space="260"/>
            <w:col w:w="480" w:space="220"/>
            <w:col w:w="1780"/>
          </w:cols>
          <w:pgMar w:left="240" w:top="552" w:right="239" w:bottom="1440" w:gutter="0" w:footer="0" w:header="0"/>
          <w:type w:val="continuous"/>
        </w:sectPr>
      </w:pPr>
    </w:p>
    <w:p>
      <w:pPr>
        <w:spacing w:after="0" w:line="48" w:lineRule="exact"/>
        <w:rPr>
          <w:sz w:val="20"/>
          <w:szCs w:val="20"/>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20"/>
          </w:cols>
          <w:pgMar w:left="240" w:top="552" w:right="239" w:bottom="1440" w:gutter="0" w:footer="0" w:header="0"/>
          <w:type w:val="continuous"/>
        </w:sectPr>
      </w:pPr>
    </w:p>
    <w:p>
      <w:pPr>
        <w:spacing w:after="0" w:line="1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9" w:lineRule="exact"/>
        <w:rPr>
          <w:sz w:val="20"/>
          <w:szCs w:val="20"/>
          <w:color w:val="auto"/>
        </w:rPr>
      </w:pPr>
    </w:p>
    <w:p>
      <w:pPr>
        <w:sectPr>
          <w:pgSz w:w="11900" w:h="16838" w:orient="portrait"/>
          <w:cols w:equalWidth="0" w:num="4">
            <w:col w:w="1720" w:space="280"/>
            <w:col w:w="3580" w:space="320"/>
            <w:col w:w="2660" w:space="720"/>
            <w:col w:w="2140"/>
          </w:cols>
          <w:pgMar w:left="240" w:top="552" w:right="239" w:bottom="1440" w:gutter="0" w:footer="0" w:header="0"/>
          <w:type w:val="continuous"/>
        </w:sectPr>
      </w:pPr>
    </w:p>
    <w:p>
      <w:pPr>
        <w:spacing w:after="0" w:line="207" w:lineRule="exact"/>
        <w:tabs>
          <w:tab w:leader="none" w:pos="9760" w:val="left"/>
          <w:tab w:leader="none" w:pos="10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Securities Exchange Act of 1934).</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As of June 30, 2015, the aggregate market value of the common stock held by non-affiliates of the Registrant was approximately $47,468,416 based on the closing sale price for the Registrant’s common stock on that date as reported by The NASDAQ Capital Market. For purposes of this calculation, shares of common stock held by directors, officers and shareholders who own greater than 10% of the Company’s outstanding stock of the Registrant at June 30, 2015 were excluded. This determination of executive officers and directors as affiliates is not necessarily a conclusive determination for any other purpose.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As of March 29, 2016, 23,424,699 shares of the Registrant’s common stock were issued and outstanding.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Portions of the Registrant’s definitive Proxy Statement to be filed for its 2016 Annual Meeting of Stockholders are incorporated by reference into Part III hereof. Such Proxy Statement will be filed with the Securities and Exchange Commission within 120 days of the end of the fiscal year covered by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9900" w:type="dxa"/>
            <w:vAlign w:val="bottom"/>
          </w:tcPr>
          <w:p>
            <w:pPr>
              <w:jc w:val="center"/>
              <w:ind w:right="310"/>
              <w:spacing w:after="0"/>
              <w:rPr>
                <w:sz w:val="20"/>
                <w:szCs w:val="20"/>
                <w:color w:val="auto"/>
              </w:rPr>
            </w:pPr>
            <w:r>
              <w:rPr>
                <w:rFonts w:ascii="Arial" w:cs="Arial" w:eastAsia="Arial" w:hAnsi="Arial"/>
                <w:sz w:val="18"/>
                <w:szCs w:val="18"/>
                <w:b w:val="1"/>
                <w:bCs w:val="1"/>
                <w:color w:val="auto"/>
              </w:rPr>
              <w:t>CELSION CORPORATION</w:t>
            </w:r>
          </w:p>
        </w:tc>
        <w:tc>
          <w:tcPr>
            <w:tcW w:w="5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900" w:type="dxa"/>
            <w:vAlign w:val="bottom"/>
          </w:tcPr>
          <w:p>
            <w:pPr>
              <w:jc w:val="center"/>
              <w:ind w:right="310"/>
              <w:spacing w:after="0"/>
              <w:rPr>
                <w:sz w:val="20"/>
                <w:szCs w:val="20"/>
                <w:color w:val="auto"/>
              </w:rPr>
            </w:pPr>
            <w:r>
              <w:rPr>
                <w:rFonts w:ascii="Arial" w:cs="Arial" w:eastAsia="Arial" w:hAnsi="Arial"/>
                <w:sz w:val="18"/>
                <w:szCs w:val="18"/>
                <w:b w:val="1"/>
                <w:bCs w:val="1"/>
                <w:color w:val="auto"/>
              </w:rPr>
              <w:t>FORM 10-K</w:t>
            </w:r>
          </w:p>
        </w:tc>
        <w:tc>
          <w:tcPr>
            <w:tcW w:w="56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9900" w:type="dxa"/>
            <w:vAlign w:val="bottom"/>
          </w:tcPr>
          <w:p>
            <w:pPr>
              <w:jc w:val="center"/>
              <w:ind w:right="350"/>
              <w:spacing w:after="0"/>
              <w:rPr>
                <w:sz w:val="20"/>
                <w:szCs w:val="20"/>
                <w:color w:val="auto"/>
              </w:rPr>
            </w:pPr>
            <w:r>
              <w:rPr>
                <w:rFonts w:ascii="Arial" w:cs="Arial" w:eastAsia="Arial" w:hAnsi="Arial"/>
                <w:sz w:val="18"/>
                <w:szCs w:val="18"/>
                <w:b w:val="1"/>
                <w:bCs w:val="1"/>
                <w:color w:val="auto"/>
                <w:w w:val="99"/>
              </w:rPr>
              <w:t>TABLE OF CONTENTS</w:t>
            </w:r>
          </w:p>
        </w:tc>
        <w:tc>
          <w:tcPr>
            <w:tcW w:w="560" w:type="dxa"/>
            <w:vAlign w:val="bottom"/>
          </w:tcPr>
          <w:p>
            <w:pPr>
              <w:spacing w:after="0"/>
              <w:rPr>
                <w:sz w:val="20"/>
                <w:szCs w:val="20"/>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900" w:type="dxa"/>
            <w:vAlign w:val="bottom"/>
          </w:tcPr>
          <w:p>
            <w:pPr>
              <w:ind w:left="200"/>
              <w:spacing w:after="0"/>
              <w:rPr>
                <w:sz w:val="20"/>
                <w:szCs w:val="20"/>
                <w:color w:val="auto"/>
              </w:rPr>
            </w:pPr>
            <w:r>
              <w:rPr>
                <w:rFonts w:ascii="Arial" w:cs="Arial" w:eastAsia="Arial" w:hAnsi="Arial"/>
                <w:sz w:val="18"/>
                <w:szCs w:val="18"/>
                <w:color w:val="auto"/>
              </w:rPr>
              <w:t>BUSINESS</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shd w:val="clear" w:color="auto" w:fill="CCEEFF"/>
          </w:tcPr>
          <w:p>
            <w:pPr>
              <w:spacing w:after="0"/>
              <w:rPr>
                <w:sz w:val="18"/>
                <w:szCs w:val="18"/>
                <w:color w:val="auto"/>
              </w:rPr>
            </w:pPr>
          </w:p>
        </w:tc>
        <w:tc>
          <w:tcPr>
            <w:tcW w:w="9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FORWARD-LOOKING STATEMENTS</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tcPr>
          <w:p>
            <w:pPr>
              <w:spacing w:after="0"/>
              <w:rPr>
                <w:sz w:val="18"/>
                <w:szCs w:val="18"/>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rPr>
              <w:t>OVERVIEW</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960" w:type="dxa"/>
            <w:vAlign w:val="bottom"/>
            <w:shd w:val="clear" w:color="auto" w:fill="CCEEFF"/>
          </w:tcPr>
          <w:p>
            <w:pPr>
              <w:spacing w:after="0"/>
              <w:rPr>
                <w:sz w:val="18"/>
                <w:szCs w:val="18"/>
                <w:color w:val="auto"/>
              </w:rPr>
            </w:pPr>
          </w:p>
        </w:tc>
        <w:tc>
          <w:tcPr>
            <w:tcW w:w="9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THERMODOX® (DOXORUBICIN ENCAPSULATED IN HEAT-ACTIVATED LIPOSOME)</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16"/>
        </w:trPr>
        <w:tc>
          <w:tcPr>
            <w:tcW w:w="960" w:type="dxa"/>
            <w:vAlign w:val="bottom"/>
          </w:tcPr>
          <w:p>
            <w:pPr>
              <w:spacing w:after="0"/>
              <w:rPr>
                <w:sz w:val="18"/>
                <w:szCs w:val="18"/>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rPr>
              <w:t>THERMODOX® IN RELATION TO PRIMARY LIVER CANCER</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16"/>
        </w:trPr>
        <w:tc>
          <w:tcPr>
            <w:tcW w:w="960" w:type="dxa"/>
            <w:vAlign w:val="bottom"/>
            <w:shd w:val="clear" w:color="auto" w:fill="CCEEFF"/>
          </w:tcPr>
          <w:p>
            <w:pPr>
              <w:spacing w:after="0"/>
              <w:rPr>
                <w:sz w:val="18"/>
                <w:szCs w:val="18"/>
                <w:color w:val="auto"/>
              </w:rPr>
            </w:pPr>
          </w:p>
        </w:tc>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Liver Cancer Overview</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16"/>
        </w:trPr>
        <w:tc>
          <w:tcPr>
            <w:tcW w:w="960" w:type="dxa"/>
            <w:vAlign w:val="bottom"/>
          </w:tcPr>
          <w:p>
            <w:pPr>
              <w:spacing w:after="0"/>
              <w:rPr>
                <w:sz w:val="18"/>
                <w:szCs w:val="18"/>
                <w:color w:val="auto"/>
              </w:rPr>
            </w:pPr>
          </w:p>
        </w:tc>
        <w:tc>
          <w:tcPr>
            <w:tcW w:w="9900" w:type="dxa"/>
            <w:vAlign w:val="bottom"/>
          </w:tcPr>
          <w:p>
            <w:pPr>
              <w:ind w:left="360"/>
              <w:spacing w:after="0"/>
              <w:rPr>
                <w:sz w:val="20"/>
                <w:szCs w:val="20"/>
                <w:color w:val="auto"/>
              </w:rPr>
            </w:pPr>
            <w:r>
              <w:rPr>
                <w:rFonts w:ascii="Arial" w:cs="Arial" w:eastAsia="Arial" w:hAnsi="Arial"/>
                <w:sz w:val="18"/>
                <w:szCs w:val="18"/>
                <w:color w:val="auto"/>
              </w:rPr>
              <w:t>Celsion’s Approach</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16"/>
        </w:trPr>
        <w:tc>
          <w:tcPr>
            <w:tcW w:w="960" w:type="dxa"/>
            <w:vAlign w:val="bottom"/>
            <w:shd w:val="clear" w:color="auto" w:fill="CCEEFF"/>
          </w:tcPr>
          <w:p>
            <w:pPr>
              <w:spacing w:after="0"/>
              <w:rPr>
                <w:sz w:val="18"/>
                <w:szCs w:val="18"/>
                <w:color w:val="auto"/>
              </w:rPr>
            </w:pPr>
          </w:p>
        </w:tc>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Phase I Clinical Trial – Primary Liver Cancer</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16"/>
        </w:trPr>
        <w:tc>
          <w:tcPr>
            <w:tcW w:w="960" w:type="dxa"/>
            <w:vAlign w:val="bottom"/>
          </w:tcPr>
          <w:p>
            <w:pPr>
              <w:spacing w:after="0"/>
              <w:rPr>
                <w:sz w:val="18"/>
                <w:szCs w:val="18"/>
                <w:color w:val="auto"/>
              </w:rPr>
            </w:pPr>
          </w:p>
        </w:tc>
        <w:tc>
          <w:tcPr>
            <w:tcW w:w="9900" w:type="dxa"/>
            <w:vAlign w:val="bottom"/>
          </w:tcPr>
          <w:p>
            <w:pPr>
              <w:ind w:left="360"/>
              <w:spacing w:after="0"/>
              <w:rPr>
                <w:sz w:val="20"/>
                <w:szCs w:val="20"/>
                <w:color w:val="auto"/>
              </w:rPr>
            </w:pPr>
            <w:r>
              <w:rPr>
                <w:rFonts w:ascii="Arial" w:cs="Arial" w:eastAsia="Arial" w:hAnsi="Arial"/>
                <w:sz w:val="18"/>
                <w:szCs w:val="18"/>
                <w:color w:val="auto"/>
              </w:rPr>
              <w:t>701 Patient Phase III Global Clinical Trial – Primary Liver Cancer (The HEAT Study)</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960" w:type="dxa"/>
            <w:vAlign w:val="bottom"/>
            <w:shd w:val="clear" w:color="auto" w:fill="CCEEFF"/>
          </w:tcPr>
          <w:p>
            <w:pPr>
              <w:spacing w:after="0"/>
              <w:rPr>
                <w:sz w:val="18"/>
                <w:szCs w:val="18"/>
                <w:color w:val="auto"/>
              </w:rPr>
            </w:pPr>
          </w:p>
        </w:tc>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550 Patient Phase III Global Clinical Trial – Primary Liver Cancer (The OPTIMA Study)</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960" w:type="dxa"/>
            <w:vAlign w:val="bottom"/>
          </w:tcPr>
          <w:p>
            <w:pPr>
              <w:spacing w:after="0"/>
              <w:rPr>
                <w:sz w:val="18"/>
                <w:szCs w:val="18"/>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rPr>
              <w:t>THERMODOX® IN RELATION TO CANCERS OTHER THAN PRIMARY LIVER CANCER</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960" w:type="dxa"/>
            <w:vAlign w:val="bottom"/>
            <w:shd w:val="clear" w:color="auto" w:fill="CCEEFF"/>
          </w:tcPr>
          <w:p>
            <w:pPr>
              <w:spacing w:after="0"/>
              <w:rPr>
                <w:sz w:val="18"/>
                <w:szCs w:val="18"/>
                <w:color w:val="auto"/>
              </w:rPr>
            </w:pPr>
          </w:p>
        </w:tc>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Recurrent Chest Wall Breast Cancer Overview</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960" w:type="dxa"/>
            <w:vAlign w:val="bottom"/>
          </w:tcPr>
          <w:p>
            <w:pPr>
              <w:spacing w:after="0"/>
              <w:rPr>
                <w:sz w:val="18"/>
                <w:szCs w:val="18"/>
                <w:color w:val="auto"/>
              </w:rPr>
            </w:pPr>
          </w:p>
        </w:tc>
        <w:tc>
          <w:tcPr>
            <w:tcW w:w="9900" w:type="dxa"/>
            <w:vAlign w:val="bottom"/>
          </w:tcPr>
          <w:p>
            <w:pPr>
              <w:ind w:left="360"/>
              <w:spacing w:after="0"/>
              <w:rPr>
                <w:sz w:val="20"/>
                <w:szCs w:val="20"/>
                <w:color w:val="auto"/>
              </w:rPr>
            </w:pPr>
            <w:r>
              <w:rPr>
                <w:rFonts w:ascii="Arial" w:cs="Arial" w:eastAsia="Arial" w:hAnsi="Arial"/>
                <w:sz w:val="18"/>
                <w:szCs w:val="18"/>
                <w:color w:val="auto"/>
              </w:rPr>
              <w:t>Celsion’s Approach</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960" w:type="dxa"/>
            <w:vAlign w:val="bottom"/>
            <w:shd w:val="clear" w:color="auto" w:fill="CCEEFF"/>
          </w:tcPr>
          <w:p>
            <w:pPr>
              <w:spacing w:after="0"/>
              <w:rPr>
                <w:sz w:val="18"/>
                <w:szCs w:val="18"/>
                <w:color w:val="auto"/>
              </w:rPr>
            </w:pPr>
          </w:p>
        </w:tc>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Breast Cancer Clinical Phase I/II Trial – The DIGNITY Study</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960" w:type="dxa"/>
            <w:vAlign w:val="bottom"/>
          </w:tcPr>
          <w:p>
            <w:pPr>
              <w:spacing w:after="0"/>
              <w:rPr>
                <w:sz w:val="18"/>
                <w:szCs w:val="18"/>
                <w:color w:val="auto"/>
              </w:rPr>
            </w:pPr>
          </w:p>
        </w:tc>
        <w:tc>
          <w:tcPr>
            <w:tcW w:w="9900" w:type="dxa"/>
            <w:vAlign w:val="bottom"/>
          </w:tcPr>
          <w:p>
            <w:pPr>
              <w:ind w:left="360"/>
              <w:spacing w:after="0"/>
              <w:rPr>
                <w:sz w:val="20"/>
                <w:szCs w:val="20"/>
                <w:color w:val="auto"/>
              </w:rPr>
            </w:pPr>
            <w:r>
              <w:rPr>
                <w:rFonts w:ascii="Arial" w:cs="Arial" w:eastAsia="Arial" w:hAnsi="Arial"/>
                <w:sz w:val="18"/>
                <w:szCs w:val="18"/>
                <w:color w:val="auto"/>
              </w:rPr>
              <w:t>Breast Cancer Clinical Phase II Trial – The Euro- DIGNITY Study</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02"/>
        </w:trPr>
        <w:tc>
          <w:tcPr>
            <w:tcW w:w="960" w:type="dxa"/>
            <w:vAlign w:val="bottom"/>
            <w:shd w:val="clear" w:color="auto" w:fill="CCEEFF"/>
          </w:tcPr>
          <w:p>
            <w:pPr>
              <w:spacing w:after="0"/>
              <w:rPr>
                <w:sz w:val="17"/>
                <w:szCs w:val="17"/>
                <w:color w:val="auto"/>
              </w:rPr>
            </w:pPr>
          </w:p>
        </w:tc>
        <w:tc>
          <w:tcPr>
            <w:tcW w:w="99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GEN-1 (IL-12 DNA PLASMID VECTOR ENCASED IN A NANOPARTICLE DELIVERY SYSTEM) and Other RNA and DNA</w:t>
            </w:r>
          </w:p>
        </w:tc>
        <w:tc>
          <w:tcPr>
            <w:tcW w:w="560" w:type="dxa"/>
            <w:vAlign w:val="bottom"/>
            <w:shd w:val="clear" w:color="auto" w:fill="CCEEFF"/>
          </w:tcPr>
          <w:p>
            <w:pPr>
              <w:spacing w:after="0"/>
              <w:rPr>
                <w:sz w:val="17"/>
                <w:szCs w:val="17"/>
                <w:color w:val="auto"/>
              </w:rPr>
            </w:pPr>
          </w:p>
        </w:tc>
      </w:tr>
      <w:tr>
        <w:trPr>
          <w:trHeight w:val="230"/>
        </w:trPr>
        <w:tc>
          <w:tcPr>
            <w:tcW w:w="960" w:type="dxa"/>
            <w:vAlign w:val="bottom"/>
            <w:shd w:val="clear" w:color="auto" w:fill="CCEEFF"/>
          </w:tcPr>
          <w:p>
            <w:pPr>
              <w:spacing w:after="0"/>
              <w:rPr>
                <w:sz w:val="20"/>
                <w:szCs w:val="20"/>
                <w:color w:val="auto"/>
              </w:rPr>
            </w:pPr>
          </w:p>
        </w:tc>
        <w:tc>
          <w:tcPr>
            <w:tcW w:w="9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Therapies</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16"/>
        </w:trPr>
        <w:tc>
          <w:tcPr>
            <w:tcW w:w="960" w:type="dxa"/>
            <w:vAlign w:val="bottom"/>
          </w:tcPr>
          <w:p>
            <w:pPr>
              <w:spacing w:after="0"/>
              <w:rPr>
                <w:sz w:val="18"/>
                <w:szCs w:val="18"/>
                <w:color w:val="auto"/>
              </w:rPr>
            </w:pPr>
          </w:p>
        </w:tc>
        <w:tc>
          <w:tcPr>
            <w:tcW w:w="9900" w:type="dxa"/>
            <w:vAlign w:val="bottom"/>
          </w:tcPr>
          <w:p>
            <w:pPr>
              <w:ind w:left="360"/>
              <w:spacing w:after="0"/>
              <w:rPr>
                <w:sz w:val="20"/>
                <w:szCs w:val="20"/>
                <w:color w:val="auto"/>
              </w:rPr>
            </w:pPr>
            <w:r>
              <w:rPr>
                <w:rFonts w:ascii="Arial" w:cs="Arial" w:eastAsia="Arial" w:hAnsi="Arial"/>
                <w:sz w:val="18"/>
                <w:szCs w:val="18"/>
                <w:color w:val="auto"/>
              </w:rPr>
              <w:t>Ovarian Cancer Overview</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16"/>
        </w:trPr>
        <w:tc>
          <w:tcPr>
            <w:tcW w:w="960" w:type="dxa"/>
            <w:vAlign w:val="bottom"/>
            <w:shd w:val="clear" w:color="auto" w:fill="CCEEFF"/>
          </w:tcPr>
          <w:p>
            <w:pPr>
              <w:spacing w:after="0"/>
              <w:rPr>
                <w:sz w:val="18"/>
                <w:szCs w:val="18"/>
                <w:color w:val="auto"/>
              </w:rPr>
            </w:pPr>
          </w:p>
        </w:tc>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Celsion’s Approach</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16"/>
        </w:trPr>
        <w:tc>
          <w:tcPr>
            <w:tcW w:w="960" w:type="dxa"/>
            <w:vAlign w:val="bottom"/>
          </w:tcPr>
          <w:p>
            <w:pPr>
              <w:spacing w:after="0"/>
              <w:rPr>
                <w:sz w:val="18"/>
                <w:szCs w:val="18"/>
                <w:color w:val="auto"/>
              </w:rPr>
            </w:pPr>
          </w:p>
        </w:tc>
        <w:tc>
          <w:tcPr>
            <w:tcW w:w="9900" w:type="dxa"/>
            <w:vAlign w:val="bottom"/>
          </w:tcPr>
          <w:p>
            <w:pPr>
              <w:ind w:left="360"/>
              <w:spacing w:after="0"/>
              <w:rPr>
                <w:sz w:val="20"/>
                <w:szCs w:val="20"/>
                <w:color w:val="auto"/>
              </w:rPr>
            </w:pPr>
            <w:r>
              <w:rPr>
                <w:rFonts w:ascii="Arial" w:cs="Arial" w:eastAsia="Arial" w:hAnsi="Arial"/>
                <w:sz w:val="18"/>
                <w:szCs w:val="18"/>
                <w:color w:val="auto"/>
              </w:rPr>
              <w:t>GEN-1 OVATION Study</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16"/>
        </w:trPr>
        <w:tc>
          <w:tcPr>
            <w:tcW w:w="960" w:type="dxa"/>
            <w:vAlign w:val="bottom"/>
            <w:shd w:val="clear" w:color="auto" w:fill="CCEEFF"/>
          </w:tcPr>
          <w:p>
            <w:pPr>
              <w:spacing w:after="0"/>
              <w:rPr>
                <w:sz w:val="18"/>
                <w:szCs w:val="18"/>
                <w:color w:val="auto"/>
              </w:rPr>
            </w:pPr>
          </w:p>
        </w:tc>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GEN-1 + Avastin® + Doxil Combination Study in Platinum Resistant Ovarian Cancer</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16"/>
        </w:trPr>
        <w:tc>
          <w:tcPr>
            <w:tcW w:w="960" w:type="dxa"/>
            <w:vAlign w:val="bottom"/>
          </w:tcPr>
          <w:p>
            <w:pPr>
              <w:spacing w:after="0"/>
              <w:rPr>
                <w:sz w:val="18"/>
                <w:szCs w:val="18"/>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rPr>
              <w:t>THERAPLAS™ TECHNOLOGY PLATFORM</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16"/>
        </w:trPr>
        <w:tc>
          <w:tcPr>
            <w:tcW w:w="960" w:type="dxa"/>
            <w:vAlign w:val="bottom"/>
            <w:shd w:val="clear" w:color="auto" w:fill="CCEEFF"/>
          </w:tcPr>
          <w:p>
            <w:pPr>
              <w:spacing w:after="0"/>
              <w:rPr>
                <w:sz w:val="18"/>
                <w:szCs w:val="18"/>
                <w:color w:val="auto"/>
              </w:rPr>
            </w:pPr>
          </w:p>
        </w:tc>
        <w:tc>
          <w:tcPr>
            <w:tcW w:w="9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THERASILENCE™ TECHNOLOGY PLATFORM</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16"/>
        </w:trPr>
        <w:tc>
          <w:tcPr>
            <w:tcW w:w="960" w:type="dxa"/>
            <w:vAlign w:val="bottom"/>
          </w:tcPr>
          <w:p>
            <w:pPr>
              <w:spacing w:after="0"/>
              <w:rPr>
                <w:sz w:val="18"/>
                <w:szCs w:val="18"/>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rPr>
              <w:t>BUSINESS STRATEGY</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16"/>
        </w:trPr>
        <w:tc>
          <w:tcPr>
            <w:tcW w:w="960" w:type="dxa"/>
            <w:vAlign w:val="bottom"/>
            <w:shd w:val="clear" w:color="auto" w:fill="CCEEFF"/>
          </w:tcPr>
          <w:p>
            <w:pPr>
              <w:spacing w:after="0"/>
              <w:rPr>
                <w:sz w:val="18"/>
                <w:szCs w:val="18"/>
                <w:color w:val="auto"/>
              </w:rPr>
            </w:pPr>
          </w:p>
        </w:tc>
        <w:tc>
          <w:tcPr>
            <w:tcW w:w="9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 EXPENDITURES</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16"/>
        </w:trPr>
        <w:tc>
          <w:tcPr>
            <w:tcW w:w="960" w:type="dxa"/>
            <w:vAlign w:val="bottom"/>
          </w:tcPr>
          <w:p>
            <w:pPr>
              <w:spacing w:after="0"/>
              <w:rPr>
                <w:sz w:val="18"/>
                <w:szCs w:val="18"/>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rPr>
              <w:t>GOVERNMENT REGULATION</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16"/>
        </w:trPr>
        <w:tc>
          <w:tcPr>
            <w:tcW w:w="960" w:type="dxa"/>
            <w:vAlign w:val="bottom"/>
            <w:shd w:val="clear" w:color="auto" w:fill="CCEEFF"/>
          </w:tcPr>
          <w:p>
            <w:pPr>
              <w:spacing w:after="0"/>
              <w:rPr>
                <w:sz w:val="18"/>
                <w:szCs w:val="18"/>
                <w:color w:val="auto"/>
              </w:rPr>
            </w:pPr>
          </w:p>
        </w:tc>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Regulation in the United States</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16"/>
        </w:trPr>
        <w:tc>
          <w:tcPr>
            <w:tcW w:w="960" w:type="dxa"/>
            <w:vAlign w:val="bottom"/>
          </w:tcPr>
          <w:p>
            <w:pPr>
              <w:spacing w:after="0"/>
              <w:rPr>
                <w:sz w:val="18"/>
                <w:szCs w:val="18"/>
                <w:color w:val="auto"/>
              </w:rPr>
            </w:pPr>
          </w:p>
        </w:tc>
        <w:tc>
          <w:tcPr>
            <w:tcW w:w="99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16"/>
        </w:trPr>
        <w:tc>
          <w:tcPr>
            <w:tcW w:w="960" w:type="dxa"/>
            <w:vAlign w:val="bottom"/>
            <w:shd w:val="clear" w:color="auto" w:fill="CCEEFF"/>
          </w:tcPr>
          <w:p>
            <w:pPr>
              <w:spacing w:after="0"/>
              <w:rPr>
                <w:sz w:val="18"/>
                <w:szCs w:val="18"/>
                <w:color w:val="auto"/>
              </w:rPr>
            </w:pPr>
          </w:p>
        </w:tc>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Orphan Drug Designation</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16"/>
        </w:trPr>
        <w:tc>
          <w:tcPr>
            <w:tcW w:w="960" w:type="dxa"/>
            <w:vAlign w:val="bottom"/>
          </w:tcPr>
          <w:p>
            <w:pPr>
              <w:spacing w:after="0"/>
              <w:rPr>
                <w:sz w:val="18"/>
                <w:szCs w:val="18"/>
                <w:color w:val="auto"/>
              </w:rPr>
            </w:pPr>
          </w:p>
        </w:tc>
        <w:tc>
          <w:tcPr>
            <w:tcW w:w="9900" w:type="dxa"/>
            <w:vAlign w:val="bottom"/>
          </w:tcPr>
          <w:p>
            <w:pPr>
              <w:ind w:left="360"/>
              <w:spacing w:after="0"/>
              <w:rPr>
                <w:sz w:val="20"/>
                <w:szCs w:val="20"/>
                <w:color w:val="auto"/>
              </w:rPr>
            </w:pPr>
            <w:r>
              <w:rPr>
                <w:rFonts w:ascii="Arial" w:cs="Arial" w:eastAsia="Arial" w:hAnsi="Arial"/>
                <w:sz w:val="18"/>
                <w:szCs w:val="18"/>
                <w:color w:val="auto"/>
              </w:rPr>
              <w:t>Hatch-Waxman Exclusivity</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16"/>
        </w:trPr>
        <w:tc>
          <w:tcPr>
            <w:tcW w:w="960" w:type="dxa"/>
            <w:vAlign w:val="bottom"/>
            <w:shd w:val="clear" w:color="auto" w:fill="CCEEFF"/>
          </w:tcPr>
          <w:p>
            <w:pPr>
              <w:spacing w:after="0"/>
              <w:rPr>
                <w:sz w:val="18"/>
                <w:szCs w:val="18"/>
                <w:color w:val="auto"/>
              </w:rPr>
            </w:pPr>
          </w:p>
        </w:tc>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Post-Approval Requirements</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16"/>
        </w:trPr>
        <w:tc>
          <w:tcPr>
            <w:tcW w:w="960" w:type="dxa"/>
            <w:vAlign w:val="bottom"/>
          </w:tcPr>
          <w:p>
            <w:pPr>
              <w:spacing w:after="0"/>
              <w:rPr>
                <w:sz w:val="18"/>
                <w:szCs w:val="18"/>
                <w:color w:val="auto"/>
              </w:rPr>
            </w:pPr>
          </w:p>
        </w:tc>
        <w:tc>
          <w:tcPr>
            <w:tcW w:w="9900" w:type="dxa"/>
            <w:vAlign w:val="bottom"/>
          </w:tcPr>
          <w:p>
            <w:pPr>
              <w:ind w:left="360"/>
              <w:spacing w:after="0"/>
              <w:rPr>
                <w:sz w:val="20"/>
                <w:szCs w:val="20"/>
                <w:color w:val="auto"/>
              </w:rPr>
            </w:pPr>
            <w:r>
              <w:rPr>
                <w:rFonts w:ascii="Arial" w:cs="Arial" w:eastAsia="Arial" w:hAnsi="Arial"/>
                <w:sz w:val="18"/>
                <w:szCs w:val="18"/>
                <w:color w:val="auto"/>
              </w:rPr>
              <w:t>Regulation outside of the U.S</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16"/>
        </w:trPr>
        <w:tc>
          <w:tcPr>
            <w:tcW w:w="960" w:type="dxa"/>
            <w:vAlign w:val="bottom"/>
            <w:shd w:val="clear" w:color="auto" w:fill="CCEEFF"/>
          </w:tcPr>
          <w:p>
            <w:pPr>
              <w:spacing w:after="0"/>
              <w:rPr>
                <w:sz w:val="18"/>
                <w:szCs w:val="18"/>
                <w:color w:val="auto"/>
              </w:rPr>
            </w:pPr>
          </w:p>
        </w:tc>
        <w:tc>
          <w:tcPr>
            <w:tcW w:w="9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MANUFACTURING AND SUPPLY</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16"/>
        </w:trPr>
        <w:tc>
          <w:tcPr>
            <w:tcW w:w="960" w:type="dxa"/>
            <w:vAlign w:val="bottom"/>
          </w:tcPr>
          <w:p>
            <w:pPr>
              <w:spacing w:after="0"/>
              <w:rPr>
                <w:sz w:val="18"/>
                <w:szCs w:val="18"/>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16"/>
        </w:trPr>
        <w:tc>
          <w:tcPr>
            <w:tcW w:w="960" w:type="dxa"/>
            <w:vAlign w:val="bottom"/>
            <w:shd w:val="clear" w:color="auto" w:fill="CCEEFF"/>
          </w:tcPr>
          <w:p>
            <w:pPr>
              <w:spacing w:after="0"/>
              <w:rPr>
                <w:sz w:val="18"/>
                <w:szCs w:val="18"/>
                <w:color w:val="auto"/>
              </w:rPr>
            </w:pPr>
          </w:p>
        </w:tc>
        <w:tc>
          <w:tcPr>
            <w:tcW w:w="9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LIABILITY AND INSURANCE</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16"/>
        </w:trPr>
        <w:tc>
          <w:tcPr>
            <w:tcW w:w="960" w:type="dxa"/>
            <w:vAlign w:val="bottom"/>
          </w:tcPr>
          <w:p>
            <w:pPr>
              <w:spacing w:after="0"/>
              <w:rPr>
                <w:sz w:val="18"/>
                <w:szCs w:val="18"/>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rPr>
              <w:t>COMPETITION</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16"/>
        </w:trPr>
        <w:tc>
          <w:tcPr>
            <w:tcW w:w="960" w:type="dxa"/>
            <w:vAlign w:val="bottom"/>
            <w:shd w:val="clear" w:color="auto" w:fill="CCEEFF"/>
          </w:tcPr>
          <w:p>
            <w:pPr>
              <w:spacing w:after="0"/>
              <w:rPr>
                <w:sz w:val="18"/>
                <w:szCs w:val="18"/>
                <w:color w:val="auto"/>
              </w:rPr>
            </w:pPr>
          </w:p>
        </w:tc>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ThermoDox®</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16"/>
        </w:trPr>
        <w:tc>
          <w:tcPr>
            <w:tcW w:w="960" w:type="dxa"/>
            <w:vAlign w:val="bottom"/>
          </w:tcPr>
          <w:p>
            <w:pPr>
              <w:spacing w:after="0"/>
              <w:rPr>
                <w:sz w:val="18"/>
                <w:szCs w:val="18"/>
                <w:color w:val="auto"/>
              </w:rPr>
            </w:pPr>
          </w:p>
        </w:tc>
        <w:tc>
          <w:tcPr>
            <w:tcW w:w="9900" w:type="dxa"/>
            <w:vAlign w:val="bottom"/>
          </w:tcPr>
          <w:p>
            <w:pPr>
              <w:ind w:left="360"/>
              <w:spacing w:after="0"/>
              <w:rPr>
                <w:sz w:val="20"/>
                <w:szCs w:val="20"/>
                <w:color w:val="auto"/>
              </w:rPr>
            </w:pPr>
            <w:r>
              <w:rPr>
                <w:rFonts w:ascii="Arial" w:cs="Arial" w:eastAsia="Arial" w:hAnsi="Arial"/>
                <w:sz w:val="18"/>
                <w:szCs w:val="18"/>
                <w:color w:val="auto"/>
              </w:rPr>
              <w:t>GEN-1</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16"/>
        </w:trPr>
        <w:tc>
          <w:tcPr>
            <w:tcW w:w="960" w:type="dxa"/>
            <w:vAlign w:val="bottom"/>
            <w:shd w:val="clear" w:color="auto" w:fill="CCEEFF"/>
          </w:tcPr>
          <w:p>
            <w:pPr>
              <w:spacing w:after="0"/>
              <w:rPr>
                <w:sz w:val="18"/>
                <w:szCs w:val="18"/>
                <w:color w:val="auto"/>
              </w:rPr>
            </w:pPr>
          </w:p>
        </w:tc>
        <w:tc>
          <w:tcPr>
            <w:tcW w:w="9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INTELLECTUAL PROPERTY</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16"/>
        </w:trPr>
        <w:tc>
          <w:tcPr>
            <w:tcW w:w="960" w:type="dxa"/>
            <w:vAlign w:val="bottom"/>
          </w:tcPr>
          <w:p>
            <w:pPr>
              <w:spacing w:after="0"/>
              <w:rPr>
                <w:sz w:val="18"/>
                <w:szCs w:val="18"/>
                <w:color w:val="auto"/>
              </w:rPr>
            </w:pPr>
          </w:p>
        </w:tc>
        <w:tc>
          <w:tcPr>
            <w:tcW w:w="9900" w:type="dxa"/>
            <w:vAlign w:val="bottom"/>
          </w:tcPr>
          <w:p>
            <w:pPr>
              <w:ind w:left="360"/>
              <w:spacing w:after="0"/>
              <w:rPr>
                <w:sz w:val="20"/>
                <w:szCs w:val="20"/>
                <w:color w:val="auto"/>
              </w:rPr>
            </w:pPr>
            <w:r>
              <w:rPr>
                <w:rFonts w:ascii="Arial" w:cs="Arial" w:eastAsia="Arial" w:hAnsi="Arial"/>
                <w:sz w:val="18"/>
                <w:szCs w:val="18"/>
                <w:color w:val="auto"/>
              </w:rPr>
              <w:t>Licenses</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16"/>
        </w:trPr>
        <w:tc>
          <w:tcPr>
            <w:tcW w:w="960" w:type="dxa"/>
            <w:vAlign w:val="bottom"/>
            <w:shd w:val="clear" w:color="auto" w:fill="CCEEFF"/>
          </w:tcPr>
          <w:p>
            <w:pPr>
              <w:spacing w:after="0"/>
              <w:rPr>
                <w:sz w:val="18"/>
                <w:szCs w:val="18"/>
                <w:color w:val="auto"/>
              </w:rPr>
            </w:pPr>
          </w:p>
        </w:tc>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Patents and Proprietary Rights</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16"/>
        </w:trPr>
        <w:tc>
          <w:tcPr>
            <w:tcW w:w="960" w:type="dxa"/>
            <w:vAlign w:val="bottom"/>
          </w:tcPr>
          <w:p>
            <w:pPr>
              <w:spacing w:after="0"/>
              <w:rPr>
                <w:sz w:val="18"/>
                <w:szCs w:val="18"/>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rPr>
              <w:t>EMPLOYEES</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16"/>
        </w:trPr>
        <w:tc>
          <w:tcPr>
            <w:tcW w:w="960" w:type="dxa"/>
            <w:vAlign w:val="bottom"/>
            <w:shd w:val="clear" w:color="auto" w:fill="CCEEFF"/>
          </w:tcPr>
          <w:p>
            <w:pPr>
              <w:spacing w:after="0"/>
              <w:rPr>
                <w:sz w:val="18"/>
                <w:szCs w:val="18"/>
                <w:color w:val="auto"/>
              </w:rPr>
            </w:pPr>
          </w:p>
        </w:tc>
        <w:tc>
          <w:tcPr>
            <w:tcW w:w="9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COMPANY INFORMATION</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16"/>
        </w:trPr>
        <w:tc>
          <w:tcPr>
            <w:tcW w:w="960" w:type="dxa"/>
            <w:vAlign w:val="bottom"/>
          </w:tcPr>
          <w:p>
            <w:pPr>
              <w:spacing w:after="0"/>
              <w:rPr>
                <w:sz w:val="18"/>
                <w:szCs w:val="18"/>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rPr>
              <w:t>AVAILABLE INFORMATION</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16"/>
        </w:trPr>
        <w:tc>
          <w:tcPr>
            <w:tcW w:w="960" w:type="dxa"/>
            <w:vAlign w:val="bottom"/>
            <w:shd w:val="clear" w:color="auto" w:fill="CCEEFF"/>
          </w:tcPr>
          <w:p>
            <w:pPr>
              <w:spacing w:after="0"/>
              <w:rPr>
                <w:sz w:val="18"/>
                <w:szCs w:val="18"/>
                <w:color w:val="auto"/>
              </w:rPr>
            </w:pPr>
          </w:p>
        </w:tc>
        <w:tc>
          <w:tcPr>
            <w:tcW w:w="9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LIQUIDITY AND CAPITAL RESOURCES</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16"/>
        </w:trPr>
        <w:tc>
          <w:tcPr>
            <w:tcW w:w="960" w:type="dxa"/>
            <w:vAlign w:val="bottom"/>
          </w:tcPr>
          <w:p>
            <w:pPr>
              <w:spacing w:after="0"/>
              <w:rPr>
                <w:sz w:val="18"/>
                <w:szCs w:val="18"/>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rPr>
              <w:t>RECENT EVENTS</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RISK FACTORS</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1B.</w:t>
            </w:r>
          </w:p>
        </w:tc>
        <w:tc>
          <w:tcPr>
            <w:tcW w:w="9900" w:type="dxa"/>
            <w:vAlign w:val="bottom"/>
          </w:tcPr>
          <w:p>
            <w:pPr>
              <w:ind w:left="200"/>
              <w:spacing w:after="0"/>
              <w:rPr>
                <w:sz w:val="20"/>
                <w:szCs w:val="20"/>
                <w:color w:val="auto"/>
              </w:rPr>
            </w:pPr>
            <w:r>
              <w:rPr>
                <w:rFonts w:ascii="Arial" w:cs="Arial" w:eastAsia="Arial" w:hAnsi="Arial"/>
                <w:sz w:val="18"/>
                <w:szCs w:val="18"/>
                <w:color w:val="auto"/>
              </w:rPr>
              <w:t>UNRESOLVED STAFF COMMENTS</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PROPERTIES</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900" w:type="dxa"/>
            <w:vAlign w:val="bottom"/>
          </w:tcPr>
          <w:p>
            <w:pPr>
              <w:ind w:left="200"/>
              <w:spacing w:after="0"/>
              <w:rPr>
                <w:sz w:val="20"/>
                <w:szCs w:val="20"/>
                <w:color w:val="auto"/>
              </w:rPr>
            </w:pPr>
            <w:r>
              <w:rPr>
                <w:rFonts w:ascii="Arial" w:cs="Arial" w:eastAsia="Arial" w:hAnsi="Arial"/>
                <w:sz w:val="18"/>
                <w:szCs w:val="18"/>
                <w:color w:val="auto"/>
              </w:rPr>
              <w:t>LEGAL PROCEEDINGS</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MINE SAFETY DISCLOSURES</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bl>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60" w:type="dxa"/>
            <w:vAlign w:val="bottom"/>
          </w:tcPr>
          <w:p>
            <w:pPr>
              <w:jc w:val="center"/>
              <w:ind w:right="590"/>
              <w:spacing w:after="0"/>
              <w:rPr>
                <w:sz w:val="20"/>
                <w:szCs w:val="20"/>
                <w:color w:val="auto"/>
              </w:rPr>
            </w:pPr>
            <w:r>
              <w:rPr>
                <w:rFonts w:ascii="Arial" w:cs="Arial" w:eastAsia="Arial" w:hAnsi="Arial"/>
                <w:sz w:val="18"/>
                <w:szCs w:val="18"/>
                <w:b w:val="1"/>
                <w:bCs w:val="1"/>
                <w:color w:val="auto"/>
              </w:rPr>
              <w:t>CELSION CORPORATION</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60" w:type="dxa"/>
            <w:vAlign w:val="bottom"/>
          </w:tcPr>
          <w:p>
            <w:pPr>
              <w:jc w:val="center"/>
              <w:ind w:right="590"/>
              <w:spacing w:after="0"/>
              <w:rPr>
                <w:sz w:val="20"/>
                <w:szCs w:val="20"/>
                <w:color w:val="auto"/>
              </w:rPr>
            </w:pPr>
            <w:r>
              <w:rPr>
                <w:rFonts w:ascii="Arial" w:cs="Arial" w:eastAsia="Arial" w:hAnsi="Arial"/>
                <w:sz w:val="18"/>
                <w:szCs w:val="18"/>
                <w:b w:val="1"/>
                <w:bCs w:val="1"/>
                <w:color w:val="auto"/>
              </w:rPr>
              <w:t>FORM 10-K</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60" w:type="dxa"/>
            <w:vAlign w:val="bottom"/>
          </w:tcPr>
          <w:p>
            <w:pPr>
              <w:jc w:val="center"/>
              <w:ind w:right="590"/>
              <w:spacing w:after="0"/>
              <w:rPr>
                <w:sz w:val="20"/>
                <w:szCs w:val="20"/>
                <w:color w:val="auto"/>
              </w:rPr>
            </w:pPr>
            <w:r>
              <w:rPr>
                <w:rFonts w:ascii="Arial" w:cs="Arial" w:eastAsia="Arial" w:hAnsi="Arial"/>
                <w:sz w:val="18"/>
                <w:szCs w:val="18"/>
                <w:b w:val="1"/>
                <w:bCs w:val="1"/>
                <w:color w:val="auto"/>
                <w:w w:val="96"/>
              </w:rPr>
              <w:t>TABLE OF CONTENTS (continued)</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tcPr>
          <w:p>
            <w:pPr>
              <w:spacing w:after="0" w:line="201" w:lineRule="exact"/>
              <w:rPr>
                <w:sz w:val="20"/>
                <w:szCs w:val="20"/>
                <w:color w:val="auto"/>
              </w:rPr>
            </w:pPr>
            <w:r>
              <w:rPr>
                <w:rFonts w:ascii="Arial" w:cs="Arial" w:eastAsia="Arial" w:hAnsi="Arial"/>
                <w:sz w:val="18"/>
                <w:szCs w:val="18"/>
                <w:color w:val="auto"/>
              </w:rPr>
              <w:t>ITEM 5.</w:t>
            </w:r>
          </w:p>
        </w:tc>
        <w:tc>
          <w:tcPr>
            <w:tcW w:w="9660" w:type="dxa"/>
            <w:vAlign w:val="bottom"/>
          </w:tcPr>
          <w:p>
            <w:pPr>
              <w:ind w:left="40"/>
              <w:spacing w:after="0" w:line="201" w:lineRule="exact"/>
              <w:rPr>
                <w:sz w:val="20"/>
                <w:szCs w:val="20"/>
                <w:color w:val="auto"/>
              </w:rPr>
            </w:pPr>
            <w:r>
              <w:rPr>
                <w:rFonts w:ascii="Arial" w:cs="Arial" w:eastAsia="Arial" w:hAnsi="Arial"/>
                <w:sz w:val="18"/>
                <w:szCs w:val="18"/>
                <w:color w:val="auto"/>
                <w:w w:val="98"/>
              </w:rPr>
              <w:t>MARKET FOR REGISTRANT’S COMMON EQUITY, RELATED STOCKHOLDER MATTERS AND ISSUER PURCHASES</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rPr>
              <w:t>OF EQUITY SECURITIES</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 Price for Our Common Stock</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rPr>
              <w:t>Dividend Policy</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Securities Authorized for Issuance Under Equity Compensation Plans</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rPr>
              <w:t>Unregistered Shares of Equity Securities</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Issuer Purchases of Equity Securities</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ITEM 6.</w:t>
            </w:r>
          </w:p>
        </w:tc>
        <w:tc>
          <w:tcPr>
            <w:tcW w:w="9660" w:type="dxa"/>
            <w:vAlign w:val="bottom"/>
          </w:tcPr>
          <w:p>
            <w:pPr>
              <w:ind w:left="40"/>
              <w:spacing w:after="0"/>
              <w:rPr>
                <w:sz w:val="20"/>
                <w:szCs w:val="20"/>
                <w:color w:val="auto"/>
              </w:rPr>
            </w:pPr>
            <w:r>
              <w:rPr>
                <w:rFonts w:ascii="Arial" w:cs="Arial" w:eastAsia="Arial" w:hAnsi="Arial"/>
                <w:sz w:val="18"/>
                <w:szCs w:val="18"/>
                <w:color w:val="auto"/>
              </w:rPr>
              <w:t>SELECTED FINANCIAL DATA</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ITEM 7.</w:t>
            </w:r>
          </w:p>
        </w:tc>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Overview</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Significant Events</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Business</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Financing Overview</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Critical Accounting Policies and Estimates</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Results Of Operations</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Financial Condition, Liquidity and Capital Resources</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Contractual Obligations</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Off-Balance Sheet Arrangements</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ITEM 7A.</w:t>
            </w:r>
          </w:p>
        </w:tc>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QUANTITATIVE AND QUALITATIVE DISCLOSURES ABOUT MARKET RISK</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ITEM 8.</w:t>
            </w:r>
          </w:p>
        </w:tc>
        <w:tc>
          <w:tcPr>
            <w:tcW w:w="9660" w:type="dxa"/>
            <w:vAlign w:val="bottom"/>
          </w:tcPr>
          <w:p>
            <w:pPr>
              <w:ind w:left="40"/>
              <w:spacing w:after="0"/>
              <w:rPr>
                <w:sz w:val="20"/>
                <w:szCs w:val="20"/>
                <w:color w:val="auto"/>
              </w:rPr>
            </w:pPr>
            <w:r>
              <w:rPr>
                <w:rFonts w:ascii="Arial" w:cs="Arial" w:eastAsia="Arial" w:hAnsi="Arial"/>
                <w:sz w:val="18"/>
                <w:szCs w:val="18"/>
                <w:color w:val="auto"/>
              </w:rPr>
              <w:t>FINANCIAL STATEMENTS AND SUPPLEMENTARY DATA</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ITEM 9.</w:t>
            </w:r>
          </w:p>
        </w:tc>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ITEM 9A.</w:t>
            </w:r>
          </w:p>
        </w:tc>
        <w:tc>
          <w:tcPr>
            <w:tcW w:w="9660" w:type="dxa"/>
            <w:vAlign w:val="bottom"/>
          </w:tcPr>
          <w:p>
            <w:pPr>
              <w:ind w:left="40"/>
              <w:spacing w:after="0"/>
              <w:rPr>
                <w:sz w:val="20"/>
                <w:szCs w:val="20"/>
                <w:color w:val="auto"/>
              </w:rPr>
            </w:pPr>
            <w:r>
              <w:rPr>
                <w:rFonts w:ascii="Arial" w:cs="Arial" w:eastAsia="Arial" w:hAnsi="Arial"/>
                <w:sz w:val="18"/>
                <w:szCs w:val="18"/>
                <w:color w:val="auto"/>
              </w:rPr>
              <w:t>CONTROLS AND PROCEDURES</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ITEM 9B.</w:t>
            </w:r>
          </w:p>
        </w:tc>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INFORMATION</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III</w:t>
            </w:r>
          </w:p>
        </w:tc>
        <w:tc>
          <w:tcPr>
            <w:tcW w:w="9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ITEM 10.</w:t>
            </w:r>
          </w:p>
        </w:tc>
        <w:tc>
          <w:tcPr>
            <w:tcW w:w="9660" w:type="dxa"/>
            <w:vAlign w:val="bottom"/>
          </w:tcPr>
          <w:p>
            <w:pPr>
              <w:ind w:left="40"/>
              <w:spacing w:after="0"/>
              <w:rPr>
                <w:sz w:val="20"/>
                <w:szCs w:val="20"/>
                <w:color w:val="auto"/>
              </w:rPr>
            </w:pPr>
            <w:r>
              <w:rPr>
                <w:rFonts w:ascii="Arial" w:cs="Arial" w:eastAsia="Arial" w:hAnsi="Arial"/>
                <w:sz w:val="18"/>
                <w:szCs w:val="18"/>
                <w:color w:val="auto"/>
              </w:rPr>
              <w:t>DIRECTORS, EXECUTIVE OFFICERS AND CORPORATE GOVERNANCE</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ITEM 11.</w:t>
            </w:r>
          </w:p>
        </w:tc>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EXECUTIVE COMPENSATION</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tcPr>
          <w:p>
            <w:pPr>
              <w:spacing w:after="0" w:line="201" w:lineRule="exact"/>
              <w:rPr>
                <w:sz w:val="20"/>
                <w:szCs w:val="20"/>
                <w:color w:val="auto"/>
              </w:rPr>
            </w:pPr>
            <w:r>
              <w:rPr>
                <w:rFonts w:ascii="Arial" w:cs="Arial" w:eastAsia="Arial" w:hAnsi="Arial"/>
                <w:sz w:val="18"/>
                <w:szCs w:val="18"/>
                <w:color w:val="auto"/>
              </w:rPr>
              <w:t>ITEM 12.</w:t>
            </w:r>
          </w:p>
        </w:tc>
        <w:tc>
          <w:tcPr>
            <w:tcW w:w="9660" w:type="dxa"/>
            <w:vAlign w:val="bottom"/>
          </w:tcPr>
          <w:p>
            <w:pPr>
              <w:ind w:left="40"/>
              <w:spacing w:after="0" w:line="201" w:lineRule="exact"/>
              <w:rPr>
                <w:sz w:val="20"/>
                <w:szCs w:val="20"/>
                <w:color w:val="auto"/>
              </w:rPr>
            </w:pPr>
            <w:r>
              <w:rPr>
                <w:rFonts w:ascii="Arial" w:cs="Arial" w:eastAsia="Arial" w:hAnsi="Arial"/>
                <w:sz w:val="18"/>
                <w:szCs w:val="18"/>
                <w:color w:val="auto"/>
                <w:w w:val="99"/>
              </w:rPr>
              <w:t>SECURITY OWNERSHIP OF CERTAIN BENEFICIAL OWNERS AND MANAGEMENT AND RELATED STOCKHOLDER</w:t>
            </w:r>
          </w:p>
        </w:tc>
        <w:tc>
          <w:tcPr>
            <w:tcW w:w="5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rPr>
              <w:t>MATTERS</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ITEM 13.</w:t>
            </w:r>
          </w:p>
        </w:tc>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ITEM 14.</w:t>
            </w:r>
          </w:p>
        </w:tc>
        <w:tc>
          <w:tcPr>
            <w:tcW w:w="9660" w:type="dxa"/>
            <w:vAlign w:val="bottom"/>
          </w:tcPr>
          <w:p>
            <w:pPr>
              <w:ind w:left="40"/>
              <w:spacing w:after="0"/>
              <w:rPr>
                <w:sz w:val="20"/>
                <w:szCs w:val="20"/>
                <w:color w:val="auto"/>
              </w:rPr>
            </w:pPr>
            <w:r>
              <w:rPr>
                <w:rFonts w:ascii="Arial" w:cs="Arial" w:eastAsia="Arial" w:hAnsi="Arial"/>
                <w:sz w:val="18"/>
                <w:szCs w:val="18"/>
                <w:color w:val="auto"/>
              </w:rPr>
              <w:t>PRINCIPAL ACCOUNTANT FEES AND SERVICES</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ITEM 15.</w:t>
            </w:r>
          </w:p>
        </w:tc>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EXHIBITS AND FINANCIAL STATEMENT SCHEDULES</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60" w:type="dxa"/>
            <w:vAlign w:val="bottom"/>
          </w:tcPr>
          <w:p>
            <w:pPr>
              <w:ind w:left="360"/>
              <w:spacing w:after="0"/>
              <w:rPr>
                <w:sz w:val="20"/>
                <w:szCs w:val="20"/>
                <w:color w:val="auto"/>
              </w:rPr>
            </w:pPr>
            <w:r>
              <w:rPr>
                <w:rFonts w:ascii="Arial" w:cs="Arial" w:eastAsia="Arial" w:hAnsi="Arial"/>
                <w:sz w:val="18"/>
                <w:szCs w:val="18"/>
                <w:color w:val="auto"/>
              </w:rPr>
              <w:t>1. FINANCIAL STATEMENTS</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 FINANCIAL STATEMENT SCHEDULES</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60" w:type="dxa"/>
            <w:vAlign w:val="bottom"/>
          </w:tcPr>
          <w:p>
            <w:pPr>
              <w:ind w:left="360"/>
              <w:spacing w:after="0"/>
              <w:rPr>
                <w:sz w:val="20"/>
                <w:szCs w:val="20"/>
                <w:color w:val="auto"/>
              </w:rPr>
            </w:pPr>
            <w:r>
              <w:rPr>
                <w:rFonts w:ascii="Arial" w:cs="Arial" w:eastAsia="Arial" w:hAnsi="Arial"/>
                <w:sz w:val="18"/>
                <w:szCs w:val="18"/>
                <w:color w:val="auto"/>
              </w:rPr>
              <w:t>3. EXHIBITS</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SIGNATURES</w:t>
            </w:r>
          </w:p>
        </w:tc>
        <w:tc>
          <w:tcPr>
            <w:tcW w:w="96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Certain of the statements contained in this Annual Report on Form 10-K are forward-looking and constitute forward-looking statements within the meaning of the Private Securities Litigation Reform Act of 1995. In addition, from time to time we may publish forward-looking statements relating to such matters as anticipated financial performance, business prospects, technological developments, product pipelines, clinical trials and research and development activities, the adequacy of capital reserves and anticipated operating results and cash expenditures, current and potential collaborations, strategic alternatives and other aspects of our present and future business operations and similar matters that also constitute such forward-looking statements. These statements involve known and unknown risks, uncertainties, and other factors that may cause our or our industry’s actual results, levels of activity, performance, or achievements to be materially different from any future results, levels of activity, performance, or achievements expressed or implied by such forward-looking statements. Such factors include, among other things, unforeseen changes in the course of research and development activities and in clinical trials; possible changes in cost, timing and progress of development, preclinical studies, clinical trials and regulatory submissions; our or our collaborator’s ability to obtain and maintain regulatory approval of any of our product candidates; possible changes in capital structure, financial condition, future working capital needs and other financial items; changes in approaches to medical treatment; introduction of new products by others; success or failure of our current or future collaboration arrangements, risks and uncertainties associated with possible acquisitions of other technologies, assets or businesses; our ability to obtain additional funds for our operations; our ability to obtain and maintain intellectual property protection for our technologies and product candidates and our ability to operate our business without infringing the intellectual property rights of others; our reliance on third parties to conduct preclinical studies or clinical trials; the rate and degree of market acceptance of any approved product candidates; possible actions by customers, suppliers, strategic partners, potential strategic partners, competitors and regulatory authorities; compliance with listing standards of The NASDAQ Capital Market; and those listed under “Risk Factors” below and elsewhere in this Annual Report on Form 10-K. In some cases, you can identify forward-looking statements by terminology such as “expect,” “anticipate,” “estimate,” “plan,” “believe, “could,” “intend,” “predict,” “may,” “should,” “will,” ”would” and words of similar import regarding the Company’s expectations. Forward-looking statements are only predictions. Actual events or results may differ materially.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you should specifically consider various factors, including the risks outlined under “Risk Factors.” The discussion of risks and uncertainties set forth in this Annual Report on Form 10-K is not necessarily a complete or exhaustive list of all risks facing the Company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Except as required by law, we assume no obligation to revise or update any forward-looking statement that may be made from time to time by us or on our behalf for any reason, even if new information becomes available in the future.</w:t>
      </w:r>
    </w:p>
    <w:p>
      <w:pPr>
        <w:spacing w:after="0" w:line="3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Unless the context requires otherwise or unless otherwise noted, all references in this Annual Report on Form 10-K to “Celsion” “the Company”, “we”, “us”, or “our” are to Celsion Corporation, a Delaware corporation and its wholly owned subsidiary, CLSN Laboratories, Inc., also a Delaware Corporation.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Celsion Corporation (“Celsion” or “the Company”) brand and product names, including but not limited to Celsion®, ThermoDox®, EGEN®, TheraPlas™ and TheraSilence™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Celsion Corporation is a fully-integrated oncology drug development company focused on developing a portfolio of innovative cancer treatments, including directed chemotherapies, DNA-mediated immunotherapy and RNA- based therapies. Our lead product candidate is ThermoDox</w:t>
      </w:r>
      <w:r>
        <w:rPr>
          <w:rFonts w:ascii="Arial" w:cs="Arial" w:eastAsia="Arial" w:hAnsi="Arial"/>
          <w:sz w:val="28"/>
          <w:szCs w:val="28"/>
          <w:color w:val="auto"/>
          <w:vertAlign w:val="superscript"/>
        </w:rPr>
        <w:t>®</w:t>
      </w:r>
      <w:r>
        <w:rPr>
          <w:rFonts w:ascii="Arial" w:cs="Arial" w:eastAsia="Arial" w:hAnsi="Arial"/>
          <w:sz w:val="17"/>
          <w:szCs w:val="17"/>
          <w:color w:val="auto"/>
        </w:rPr>
        <w:t>, a proprietary heat-activated liposomal encapsulation of doxorubicin, currently in a Phase III clinical trial for the treatment of primary liver cancer (the OPTIMA Study) and a Phase II clinical trial for the treatment of recurrent chest wall breast cancer (the DIGNITY Study). Second in our pipeline is GEN-1 (formerly known as EGEN-001), a DNA mediated immunotherapy for the localized treatment of ovarian and brain cancers.</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three platform technologies providing the basis for the future development of a range of therapeutics for difficult-to-treat forms of cancer including: Lysolipid Thermally Sensitive Liposomes, a heat sensitive liposomal based dosage form that targets disease with known therapeutics in the presence of mild heat, TheraPlas, a novel nucleic acid-based treatment for local transfection of therapeutic plasmids, and TheraSilence, a systemic dosage form for lung directed anti-cancer RNA With these technologies we are working to develop and commercialize more efficient, effective and targeted oncology therapies that maximize efficacy while minimizing side-effects common to cancer treatments.</w:t>
      </w:r>
    </w:p>
    <w:p>
      <w:pPr>
        <w:spacing w:after="0" w:line="14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b w:val="1"/>
          <w:bCs w:val="1"/>
          <w:i w:val="1"/>
          <w:iCs w:val="1"/>
          <w:color w:val="auto"/>
        </w:rPr>
        <w:t xml:space="preserve">ThermoDox. </w:t>
      </w:r>
      <w:r>
        <w:rPr>
          <w:rFonts w:ascii="Arial" w:cs="Arial" w:eastAsia="Arial" w:hAnsi="Arial"/>
          <w:sz w:val="17"/>
          <w:szCs w:val="17"/>
          <w:color w:val="auto"/>
        </w:rPr>
        <w:t>ThermoDox</w:t>
      </w:r>
      <w:r>
        <w:rPr>
          <w:rFonts w:ascii="Arial" w:cs="Arial" w:eastAsia="Arial" w:hAnsi="Arial"/>
          <w:sz w:val="28"/>
          <w:szCs w:val="28"/>
          <w:color w:val="auto"/>
          <w:vertAlign w:val="superscript"/>
        </w:rPr>
        <w:t>®</w:t>
      </w:r>
      <w:r>
        <w:rPr>
          <w:rFonts w:ascii="Arial" w:cs="Arial" w:eastAsia="Arial" w:hAnsi="Arial"/>
          <w:sz w:val="17"/>
          <w:szCs w:val="17"/>
          <w:color w:val="auto"/>
        </w:rPr>
        <w:t>, is being evaluated in a Phase III clinical trial for primary liver cancer (the OPTIMA study) which was initiated in 2014 and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Phase II clinical trial for recurrent chest wall breast cancer (the DIGNITY Study). ThermoDox® is a liposomal encapsulation of doxorubicin, an approved and frequently used oncology drug for the treatment of a wide range of cancers. Localized heat at hyperthermia temperatures (greater than 40° Celsius) releases the encapsulated doxorubicin from the liposome enabling high concentrations of doxorubicin to be deposited preferentially in and around the targeted tumor while minimizing systemic side effects common with chemotherapy treatments like doxorubicin.</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18"/>
          <w:szCs w:val="18"/>
          <w:b w:val="1"/>
          <w:bCs w:val="1"/>
          <w:i w:val="1"/>
          <w:iCs w:val="1"/>
          <w:color w:val="auto"/>
        </w:rPr>
        <w:t xml:space="preserve">The HEAT Study. </w:t>
      </w:r>
      <w:r>
        <w:rPr>
          <w:rFonts w:ascii="Arial" w:cs="Arial" w:eastAsia="Arial" w:hAnsi="Arial"/>
          <w:sz w:val="18"/>
          <w:szCs w:val="18"/>
          <w:color w:val="auto"/>
        </w:rPr>
        <w:t>On January 31, 2013, we announced that ThermoDox® in combination with radio frequency ablation (RFA) did not meet the primary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endpoint of progression free survival (PFS) for the 701 patient clinical trial in patients with hepatocellular carcinoma (HCC), also known as primary liver cancer (the HEAT Study). We determined, after conferring with the HEAT Study’s independent Data Monitoring Committee (iDMC), that the HEAT Study did not meet the goal of demonstrating persuasive evidence of clinical effectiveness, that being a clinically meaningful improvement in progression free survival (PFS), that could form the basis for regulatory approval. In the trial,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was well-tolerated with no unexpected serious adverse events. Following the announcement of the HEAT Study results, we have continued to follow patients for Overall Survival (OS), the secondary endpoint of the HEAT Study. We have conducted a comprehensive analysis of the data from the HEAT Study to assess the future strategic value and development strategy for ThermoDox</w:t>
      </w:r>
      <w:r>
        <w:rPr>
          <w:rFonts w:ascii="Arial" w:cs="Arial" w:eastAsia="Arial" w:hAnsi="Arial"/>
          <w:sz w:val="30"/>
          <w:szCs w:val="30"/>
          <w:color w:val="auto"/>
          <w:vertAlign w:val="superscript"/>
        </w:rPr>
        <w:t>®</w:t>
      </w:r>
      <w:r>
        <w:rPr>
          <w:rFonts w:ascii="Arial" w:cs="Arial" w:eastAsia="Arial" w:hAnsi="Arial"/>
          <w:sz w:val="18"/>
          <w:szCs w:val="18"/>
          <w:color w:val="auto"/>
        </w:rPr>
        <w:t>.</w:t>
      </w:r>
    </w:p>
    <w:p>
      <w:pPr>
        <w:spacing w:after="0" w:line="4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Findings from the HEAT Study post-hoc data analysis suggest that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may substantially improve Overall Survival, when compared to the control group, in patients if their lesions undergo a 45 minute RFA procedure standardized for a lesion greater than 3 cm in diameter. Data from eight OS sweeps have been conducted since the top line PFS data from the HEAT Study were announced in January 2013, with each data set showing progressive improvement in statistical significance. The most recent post-hoc OS analysis from the HEAT Study as of July 15, 2015 showed that in a large, well bounded, subgroup of patients (n=285, 41% of the study patients), the combination of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optimized RFA provided a 58% improvement in OS compared to optimized RFA alone. The Hazard Ratio at this latest OS analysis is 0.63 (95% CI 0.43 - 0.93) with a p-value of 0.0198. Median overall survival has been reached in this 285 patient subgroup which translates into a 25.4 month (2.1 year) survival benefit for the ThermoDox® group over the optimized RFA only group (79 months for the ThermoDox® plus optimized RFA group versus 53.6 months for the optimized RFA only group). These data continue to support the protocol for our Phase III OPTIMA Study as described below.</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Findings from the HEAT Study post-hoc data have shown to be well balanced and not diminished in anyway by other factors. Supplementary computational modeling and prospective preclinical animal studies have shown additional support the relationship between heating duration and clinical outcomes. These data analysis have been presented, without objection, at multiple scientific and medical conferences in 2013, 2014 and 2015 by key HEAT Study investigators and leading liver cancer experts. The presentations include:</w:t>
      </w:r>
    </w:p>
    <w:p>
      <w:pPr>
        <w:spacing w:after="0" w:line="187" w:lineRule="exact"/>
        <w:rPr>
          <w:sz w:val="20"/>
          <w:szCs w:val="20"/>
          <w:color w:val="auto"/>
        </w:rPr>
      </w:pPr>
    </w:p>
    <w:p>
      <w:pPr>
        <w:ind w:left="1140" w:hanging="458"/>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World Conference on Interventional Oncology (WCIO) in May 2013;</w:t>
      </w:r>
    </w:p>
    <w:p>
      <w:pPr>
        <w:spacing w:after="0" w:line="23" w:lineRule="exact"/>
        <w:rPr>
          <w:rFonts w:ascii="Arial" w:cs="Arial" w:eastAsia="Arial" w:hAnsi="Arial"/>
          <w:sz w:val="18"/>
          <w:szCs w:val="18"/>
          <w:color w:val="auto"/>
        </w:rPr>
      </w:pPr>
    </w:p>
    <w:p>
      <w:pPr>
        <w:ind w:left="1140" w:hanging="458"/>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European Conference on Interventional Oncology (ECIO) in June 2013 and April 2014;</w:t>
      </w:r>
    </w:p>
    <w:p>
      <w:pPr>
        <w:spacing w:after="0" w:line="9" w:lineRule="exact"/>
        <w:rPr>
          <w:rFonts w:ascii="Arial" w:cs="Arial" w:eastAsia="Arial" w:hAnsi="Arial"/>
          <w:sz w:val="18"/>
          <w:szCs w:val="18"/>
          <w:color w:val="auto"/>
        </w:rPr>
      </w:pPr>
    </w:p>
    <w:p>
      <w:pPr>
        <w:ind w:left="1140" w:hanging="458"/>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Liver Cancer Association (ILCA) Annual Conference in September 2013, 2014 and 2015;</w:t>
      </w:r>
    </w:p>
    <w:p>
      <w:pPr>
        <w:spacing w:after="0" w:line="9" w:lineRule="exact"/>
        <w:rPr>
          <w:rFonts w:ascii="Arial" w:cs="Arial" w:eastAsia="Arial" w:hAnsi="Arial"/>
          <w:sz w:val="18"/>
          <w:szCs w:val="18"/>
          <w:color w:val="auto"/>
        </w:rPr>
      </w:pPr>
    </w:p>
    <w:p>
      <w:pPr>
        <w:ind w:left="1140" w:hanging="458"/>
        <w:spacing w:after="0" w:line="181"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American Society of Clinical Oncology (ASCO) 50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Annual Meeting in June 2014; and</w:t>
      </w:r>
    </w:p>
    <w:p>
      <w:pPr>
        <w:ind w:left="1140" w:hanging="458"/>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Asian Conference on Tumor Ablation (ACTA) in October 2015.</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The OPTIMA Study. </w:t>
      </w:r>
      <w:r>
        <w:rPr>
          <w:rFonts w:ascii="Arial" w:cs="Arial" w:eastAsia="Arial" w:hAnsi="Arial"/>
          <w:sz w:val="16"/>
          <w:szCs w:val="16"/>
          <w:color w:val="auto"/>
        </w:rPr>
        <w:t>On February 24, 2014, we announced that the U.S. Food and Drug Administration (FDA), after its customary 30 day review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accepted without comment, subject to compliance with regulatory standards, our pivotal, double-blind, placebo-controlled Phase III trial of ThermoDox® in combination with RFA in primary liver cancer, also known as HCC (the OPTIMA Study). The OPTIMA Study trial design is based on the comprehensive analysis of data from the HEAT study, which, as described previously, showed that treatment with ThermoDox® resulted in a 58% improvement in overall survival in a large number of HCC patients that received an optimized RFA treatment for longer than 45 minutes. Designed with extensive input from globally recognized HCC researchers and clinicians and, after formal written consultation with the FDA, the OPTIMA Study was launched in the first half of 2014. The OPTIMA Study is expected to enroll up to 550 patients globally at up to 75 sites in the United States, Canada, Europe, China and elsewhere in the Asia Pacific region, and will evaluate ThermoDox® in combination with standardized RFA, which will require a minimum of 45 minutes across all investigators and clinical sites for treating lesions 3 to 7 centimeters, versus standardized RFA alone. The primary endpoint for the trial is Overall Survival, and the secondary endpoints for the trial are PFS and safety. The statistical plan calls for two interim efficacy analyses by an independent DMC.</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16, 2015, we announced that we received the clinical trial application approval from the China Food and Drug Administration (CFDA) to conduct the OPTIMA Study in China. The approval will allow Celsion to enroll patients at up to 20 clinical sites in China. With the addition of these Chinese clinical sites, the Company expects to complete enrollment in the OPTIMA Study during the first quarter of 2018. Results from the OPTIMA Study, if successful, will provide the basis for a global registration filing and marketing approval.</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EGEN Acquisition. </w:t>
      </w:r>
      <w:r>
        <w:rPr>
          <w:rFonts w:ascii="Arial" w:cs="Arial" w:eastAsia="Arial" w:hAnsi="Arial"/>
          <w:sz w:val="16"/>
          <w:szCs w:val="16"/>
          <w:color w:val="auto"/>
        </w:rPr>
        <w:t>On June 20, 2014, we completed the acquisition of substantially all of the assets of EGEN, Inc., an Alabama corporation (EGEN),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an Asset Purchase Agreement. CLSN Laboratories, Inc., a Delaware corporation and a wholly-owned subsidiary of Celsion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 The consideration for the acquisition includes an initial payment of approximately $3.0 million in cash plus 2.7 million shares of Celsion’s common stock. Additional consideration included contingent value rights totaling $30.4 million, payable in cash, shares of Celsion common stock or a combination thereof, at Celsion’s option, upon achievement of three major milestone events as follows:</w:t>
      </w:r>
    </w:p>
    <w:p>
      <w:pPr>
        <w:spacing w:after="0" w:line="166" w:lineRule="exact"/>
        <w:rPr>
          <w:sz w:val="20"/>
          <w:szCs w:val="20"/>
          <w:color w:val="auto"/>
        </w:rPr>
      </w:pPr>
    </w:p>
    <w:p>
      <w:pPr>
        <w:ind w:left="1420" w:right="140" w:hanging="413"/>
        <w:spacing w:after="0" w:line="27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to be conducted by the Company or its subsidiary;</w:t>
      </w:r>
    </w:p>
    <w:p>
      <w:pPr>
        <w:spacing w:after="0" w:line="170" w:lineRule="exact"/>
        <w:rPr>
          <w:rFonts w:ascii="Arial" w:cs="Arial" w:eastAsia="Arial" w:hAnsi="Arial"/>
          <w:sz w:val="18"/>
          <w:szCs w:val="18"/>
          <w:color w:val="auto"/>
        </w:rPr>
      </w:pPr>
    </w:p>
    <w:p>
      <w:pPr>
        <w:ind w:left="1420" w:right="140" w:hanging="413"/>
        <w:spacing w:after="0" w:line="27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glioblastoma multiforme brain cancer study of GEN-1 to be conducted by the Company or its subsidiary; and</w:t>
      </w:r>
    </w:p>
    <w:p>
      <w:pPr>
        <w:spacing w:after="0" w:line="170" w:lineRule="exact"/>
        <w:rPr>
          <w:rFonts w:ascii="Arial" w:cs="Arial" w:eastAsia="Arial" w:hAnsi="Arial"/>
          <w:sz w:val="18"/>
          <w:szCs w:val="18"/>
          <w:color w:val="auto"/>
        </w:rPr>
      </w:pPr>
    </w:p>
    <w:p>
      <w:pPr>
        <w:ind w:left="1420" w:hanging="413"/>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 to $6.0 million will become payable upon achieving certain specified milestones relating to the TheraSilence™ technology.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acquisition, we acquired GEN-1 (formerly known as EGEN-001), a DNA-based immunotherapy for the localized treatment of ovarian and brain cancers, and three platform technologies for the development of treatments for those suffering with difficult-to-treat forms of cancer, novel nucleic acid-based immunotherapies and other anti-cancer DNA or RNA therapies, including TheraPlas™ and TheraSilence™.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GEN-1, designed using the TheraPlas ™ platform technology, is an Interleukin-12 (IL-12) DNA plasmid vector encased in a nanoparticle delivery system which enables cell transfection followed by persistent, local secretion of the IL-12 protein. IL-12 is one of the most active cytokines for the induction of potent anti-cancer immunity acting through the induction of T-lymphocyte and natural killer cell proliferation.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GEN-1 OVATION Study. </w:t>
      </w:r>
      <w:r>
        <w:rPr>
          <w:rFonts w:ascii="Arial" w:cs="Arial" w:eastAsia="Arial" w:hAnsi="Arial"/>
          <w:sz w:val="18"/>
          <w:szCs w:val="18"/>
          <w:color w:val="auto"/>
        </w:rPr>
        <w:t>In February 2015, we announced that the FDA accepted, without objection, the Phase I dose-escalation clinical trial of GEN-1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with the standard of care in neo-adjuvant ovarian cancer (the OVATION Study). On September 30, 2015, we announced enrollment of the first patient in this study. The OVATION Study will seek to identify a safe, tolerable and potentially therapeutically active dose of GEN-1 by recruiting and maximizing an immune response. The OVATION Study is designed to enroll three to six patients per dose cohort and will evaluate safety and efficacy and attempt to define an optimal dose for a follow-on Phase I/II study combining GEN-1 with Avastin® and Doxil®. In addition, the OVATION Study establishes a unique opportunity to assess how cytokine-based compounds such as GEN-1, directly affect ovarian cancer cells and the tumor microenvironment in newly diagnosed patients. The study is designed to characterize the nature of the immune response triggered by GEN-1 at various levels of the patients' immune system, including:</w:t>
      </w:r>
    </w:p>
    <w:p>
      <w:pPr>
        <w:spacing w:after="0" w:line="192" w:lineRule="exact"/>
        <w:rPr>
          <w:sz w:val="20"/>
          <w:szCs w:val="20"/>
          <w:color w:val="auto"/>
        </w:rPr>
      </w:pPr>
    </w:p>
    <w:p>
      <w:pPr>
        <w:ind w:left="1240" w:right="180" w:hanging="422"/>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1240" w:right="460" w:hanging="422"/>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immune-suppressive cytokines associated with tumor suppression and growth, respectively; and</w:t>
      </w:r>
    </w:p>
    <w:p>
      <w:pPr>
        <w:spacing w:after="0" w:line="170" w:lineRule="exact"/>
        <w:rPr>
          <w:rFonts w:ascii="Arial" w:cs="Arial" w:eastAsia="Arial" w:hAnsi="Arial"/>
          <w:sz w:val="18"/>
          <w:szCs w:val="18"/>
          <w:color w:val="auto"/>
        </w:rPr>
      </w:pPr>
    </w:p>
    <w:p>
      <w:pPr>
        <w:ind w:left="1240" w:hanging="422"/>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initiated the study at four clinical sites at the University of Alabama at Birmingham, Oklahoma University Medical Center, Washington University in St. Louis and the Medical College of Wisconsin. In February 2016, we announced the completion of enrollment of the first cohort of three patients in the OVATION Study. The OVATION Study will continue into 2016 at higher doses of GEN-1 with the goal to identify a safe, tolerable and therapeutically active dose of GEN-1 by recruiting and maximizing an immune response.</w:t>
      </w:r>
    </w:p>
    <w:p>
      <w:pPr>
        <w:spacing w:after="0" w:line="187"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b w:val="1"/>
          <w:bCs w:val="1"/>
          <w:i w:val="1"/>
          <w:iCs w:val="1"/>
          <w:color w:val="auto"/>
        </w:rPr>
        <w:t xml:space="preserve">GEN-1 Plus Avastin® and Doxil® Trial. </w:t>
      </w:r>
      <w:r>
        <w:rPr>
          <w:rFonts w:ascii="Arial" w:cs="Arial" w:eastAsia="Arial" w:hAnsi="Arial"/>
          <w:sz w:val="17"/>
          <w:szCs w:val="17"/>
          <w:color w:val="auto"/>
        </w:rPr>
        <w:t>On April 29, 2015, we announced the expansion of our ovarian cancer development program to include a Phase 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dose escalating trial to evaluate GEN-1 in combination with Avastin® and Doxil® in platinum-resistant ovarian cancer patients. We expect to enroll patients beginning in the second half of 2016. This new combination study in platinum-resistant ovarian cancer is supported by three preclinical studies indicating that the combination of GEN-1 with Avastin® may result in significant clinical benefit with a favorable safety profile. Specifically:</w:t>
      </w:r>
    </w:p>
    <w:p>
      <w:pPr>
        <w:spacing w:after="0" w:line="171" w:lineRule="exact"/>
        <w:rPr>
          <w:sz w:val="20"/>
          <w:szCs w:val="20"/>
          <w:color w:val="auto"/>
        </w:rPr>
      </w:pPr>
    </w:p>
    <w:p>
      <w:pPr>
        <w:ind w:left="600" w:right="700" w:hanging="389"/>
        <w:spacing w:after="0" w:line="259"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two preclinical studies using an animal model of disseminated ovarian cancer, GEN-1 in combination with Avastin® led to a significant reduction in tumor burden and disease progression. The effectiveness of the combined treatment was seen when GEN-1 was combined with various dose levels of Avastin® (low-medium-high). Additionally, it was shown that GEN-1 treatment alone resulted in anti-tumor activity that was as good as or better than Avastin® treatment alone.</w:t>
      </w:r>
    </w:p>
    <w:p>
      <w:pPr>
        <w:spacing w:after="0" w:line="186" w:lineRule="exact"/>
        <w:rPr>
          <w:rFonts w:ascii="Arial" w:cs="Arial" w:eastAsia="Arial" w:hAnsi="Arial"/>
          <w:sz w:val="18"/>
          <w:szCs w:val="18"/>
          <w:color w:val="auto"/>
        </w:rPr>
      </w:pPr>
    </w:p>
    <w:p>
      <w:pPr>
        <w:jc w:val="both"/>
        <w:ind w:left="600" w:right="860" w:hanging="389"/>
        <w:spacing w:after="0" w:line="312"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preclinical studies indicated that no obvious overt toxicities were associated with the combined treatments. The preclinical data are also consistent with the mechanism of action for GEN-1, which exhibits certain anti-angiogenic properties and suggests that combining GEN-1 with lower doses of Avastin® may enhance efficacy and help reduce the known toxicities associated with this anti-VEGF drug.</w:t>
      </w:r>
    </w:p>
    <w:p>
      <w:pPr>
        <w:spacing w:after="0" w:line="146" w:lineRule="exact"/>
        <w:rPr>
          <w:rFonts w:ascii="Arial" w:cs="Arial" w:eastAsia="Arial" w:hAnsi="Arial"/>
          <w:sz w:val="16"/>
          <w:szCs w:val="16"/>
          <w:color w:val="auto"/>
        </w:rPr>
      </w:pPr>
    </w:p>
    <w:p>
      <w:pPr>
        <w:jc w:val="both"/>
        <w:ind w:left="600" w:right="860" w:hanging="389"/>
        <w:spacing w:after="0" w:line="259"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distinct biological activities of GEN-1 (immune stimulation) and Avastin® (inhibition of tumor blood vessel formation) makes a sound scientific rationale for this combination approach. Additionally, the anti-angiogenic activity of GEN-1 mediated through up regulation of the interferon gamma (IFN-g) pathway may help to explain the remarkable synergy between GEN-1 and Avastin® and potentially addresses the VEGF escape mechanisms associated with resistance to Avastin® therapy.</w:t>
      </w:r>
    </w:p>
    <w:p>
      <w:pPr>
        <w:spacing w:after="0" w:line="200" w:lineRule="exact"/>
        <w:rPr>
          <w:sz w:val="20"/>
          <w:szCs w:val="20"/>
          <w:color w:val="auto"/>
        </w:rPr>
      </w:pP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Early Access Program. </w:t>
      </w:r>
      <w:r>
        <w:rPr>
          <w:rFonts w:ascii="Arial" w:cs="Arial" w:eastAsia="Arial" w:hAnsi="Arial"/>
          <w:sz w:val="17"/>
          <w:szCs w:val="17"/>
          <w:color w:val="auto"/>
        </w:rPr>
        <w:t>On January 13, 2015, we entered into an Early Access Agreement with Impatients N.V., a Netherlands company (Impatients),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which Impatients will develop and execute through its brand myTomorrows an early access program for ThermoDox® in all countries of the European Union territory, Iceland, Liechtenstein, Norway and Switzerland for the treatment of patients with RCW breast cancer. Under the early access program, Impatients will engage in activities to secure authorization, exemption or waiver from regulatory authorities for patient use of ThermoDox® that may otherwise be subject to approvals from such regulatory authorities before the sale and distribution of ThermoDox® in the relevant territories. We will be responsible for the manufacture and supply of quantities of ThermoDox® to Impatients for use in the early access program and Impatients will distribute and sell ThermoDox® pursuant to such authorization, exemptions or waivers. On August 10, 2015, we expanded the Early Access Program with Impatients to include patients with primary liver cancer, also known as hepatocellular carcinoma, and liver cancer metastases, in all countries of the European Union territory, Switzerland, Turkey and Israel.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ThermoDox</w:t>
      </w:r>
      <w:r>
        <w:rPr>
          <w:rFonts w:ascii="Arial" w:cs="Arial" w:eastAsia="Arial" w:hAnsi="Arial"/>
          <w:sz w:val="30"/>
          <w:szCs w:val="30"/>
          <w:b w:val="1"/>
          <w:bCs w:val="1"/>
          <w:i w:val="1"/>
          <w:iCs w:val="1"/>
          <w:color w:val="auto"/>
          <w:vertAlign w:val="superscript"/>
        </w:rPr>
        <w:t>®</w:t>
      </w:r>
      <w:r>
        <w:rPr>
          <w:rFonts w:ascii="Arial" w:cs="Arial" w:eastAsia="Arial" w:hAnsi="Arial"/>
          <w:sz w:val="18"/>
          <w:szCs w:val="18"/>
          <w:b w:val="1"/>
          <w:bCs w:val="1"/>
          <w:i w:val="1"/>
          <w:iCs w:val="1"/>
          <w:color w:val="auto"/>
        </w:rPr>
        <w:t xml:space="preserve"> Manufacturing and Supply Developments.</w:t>
      </w:r>
    </w:p>
    <w:p>
      <w:pPr>
        <w:spacing w:after="0" w:line="111" w:lineRule="exact"/>
        <w:rPr>
          <w:sz w:val="20"/>
          <w:szCs w:val="20"/>
          <w:color w:val="auto"/>
        </w:rPr>
      </w:pPr>
    </w:p>
    <w:p>
      <w:pPr>
        <w:jc w:val="both"/>
        <w:spacing w:after="0" w:line="183" w:lineRule="auto"/>
        <w:rPr>
          <w:sz w:val="20"/>
          <w:szCs w:val="20"/>
          <w:color w:val="auto"/>
        </w:rPr>
      </w:pPr>
      <w:r>
        <w:rPr>
          <w:rFonts w:ascii="Arial" w:cs="Arial" w:eastAsia="Arial" w:hAnsi="Arial"/>
          <w:sz w:val="18"/>
          <w:szCs w:val="18"/>
          <w:color w:val="auto"/>
        </w:rPr>
        <w:t>On May 6, 2012, we entered into a long-term commercial supply agreement with Zhejiang Hisun Pharmaceutical Co. Ltd. (Hisun) for the production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mainland China, Hong Kong and Macau (the China territory). Hisun will be responsible for providing all of the technical and regulatory support services for the manufacture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the China territory. In March 2015, the results of stability tests performed by Hisun demonstrated it successfully manufactured three registration batches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all of which show chemical equivalence with investigational product produced by the Company’s current contract manufacturer in the U.S. and we reimbursed Hisun for direct development costs and fees totaling $1.2 million as a result of their successful completion of these three registration batches of ThermoDox</w:t>
      </w:r>
      <w:r>
        <w:rPr>
          <w:rFonts w:ascii="Arial" w:cs="Arial" w:eastAsia="Arial" w:hAnsi="Arial"/>
          <w:sz w:val="30"/>
          <w:szCs w:val="30"/>
          <w:color w:val="auto"/>
          <w:vertAlign w:val="superscript"/>
        </w:rPr>
        <w:t>®</w:t>
      </w:r>
      <w:r>
        <w:rPr>
          <w:rFonts w:ascii="Arial" w:cs="Arial" w:eastAsia="Arial" w:hAnsi="Arial"/>
          <w:sz w:val="18"/>
          <w:szCs w:val="18"/>
          <w:color w:val="auto"/>
        </w:rPr>
        <w:t>. We plan to qualify and seek regulatory approval for Hisun to serve as an approved global manufacturer of ThermoDox®.</w:t>
      </w:r>
    </w:p>
    <w:p>
      <w:pPr>
        <w:spacing w:after="0" w:line="203" w:lineRule="exact"/>
        <w:rPr>
          <w:sz w:val="20"/>
          <w:szCs w:val="20"/>
          <w:color w:val="auto"/>
        </w:rPr>
      </w:pPr>
    </w:p>
    <w:p>
      <w:pPr>
        <w:jc w:val="both"/>
        <w:spacing w:after="0" w:line="217" w:lineRule="auto"/>
        <w:rPr>
          <w:sz w:val="20"/>
          <w:szCs w:val="20"/>
          <w:color w:val="auto"/>
        </w:rPr>
      </w:pPr>
      <w:r>
        <w:rPr>
          <w:rFonts w:ascii="Arial" w:cs="Arial" w:eastAsia="Arial" w:hAnsi="Arial"/>
          <w:sz w:val="17"/>
          <w:szCs w:val="17"/>
          <w:color w:val="auto"/>
        </w:rPr>
        <w:t>On January 18, 2013, we broadened our relationship with Hisun by entering into a technology development contract, pursuant to which Hisun paid us a non-refundable research and development fee of $5.0 million to support our development of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Following our announcement of the HEAT Study results on January 31, 2013, we and Hisun agreed that the technology development contract entered into on January 18, 2013 will remain in effect while the parties continue to collaborate the next steps in relation to ThermoDox</w:t>
      </w:r>
      <w:r>
        <w:rPr>
          <w:rFonts w:ascii="Arial" w:cs="Arial" w:eastAsia="Arial" w:hAnsi="Arial"/>
          <w:sz w:val="28"/>
          <w:szCs w:val="28"/>
          <w:color w:val="auto"/>
          <w:vertAlign w:val="superscript"/>
        </w:rPr>
        <w:t>®</w:t>
      </w:r>
      <w:r>
        <w:rPr>
          <w:rFonts w:ascii="Arial" w:cs="Arial" w:eastAsia="Arial" w:hAnsi="Arial"/>
          <w:sz w:val="17"/>
          <w:szCs w:val="17"/>
          <w:color w:val="auto"/>
        </w:rPr>
        <w:t>, which include the continued subgroup analysis of the Chinese cohort of patients in the HEAT Study for primary liver cancer and other activities to further the development of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for the China territory.</w:t>
      </w:r>
    </w:p>
    <w:p>
      <w:pPr>
        <w:spacing w:after="0" w:line="70"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On July 19, 2013, we and Hisun entered into a Memorandum of Understanding to pursue ongoing collaborations for the continued clinical development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the technology transfer relating to the commercial manufacture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China territory. This expanded collaboration includes development of the next generation liposomal formulation with the goal of creating safer, more efficacious versions of marketed cancer chemotherapeutics.</w:t>
      </w:r>
    </w:p>
    <w:p>
      <w:pPr>
        <w:spacing w:after="0" w:line="257"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Our current efforts and resources are applied on the development and commercialization of cancer drugs including tumor-targeting chemotherapy treatments using focused heat energy in combination with heat-activated drug delivery systems, immunotherapies and RNA-based therapies. To support our research and development, we raised gross proceeds of approximately $125 million in equity financings and warrant and option exercises in the years 2009 through 2014. During 2015, we raised gross proceeds of $8.0 million through a registered direct equity financing with two institutional investors and raised an additional $0.6 million through the utilization of our at-the-market equity facility. We had cash, cash equivalents, short-term investments and interest receivable totaling $20.1 million at December 31, 2015. We have one credit facility for a total principle amount of up to $20 million and have drawn down $10 million under this credit facility.</w:t>
      </w:r>
    </w:p>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result of the risks and uncertainties discussed in this Annual Report on Form 10-K,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w:t>
      </w:r>
      <w:r>
        <w:rPr>
          <w:rFonts w:ascii="Arial" w:cs="Arial" w:eastAsia="Arial" w:hAnsi="Arial"/>
          <w:sz w:val="18"/>
          <w:szCs w:val="18"/>
          <w:b w:val="1"/>
          <w:bCs w:val="1"/>
          <w:color w:val="auto"/>
        </w:rPr>
        <w:t>Part I, Item 1A. Risk Factors</w:t>
      </w:r>
      <w:r>
        <w:rPr>
          <w:rFonts w:ascii="Arial" w:cs="Arial" w:eastAsia="Arial" w:hAnsi="Arial"/>
          <w:sz w:val="18"/>
          <w:szCs w:val="18"/>
          <w:color w:val="auto"/>
        </w:rPr>
        <w:t>" in this Annual Report on Form 10-K.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THERMODOX</w:t>
      </w:r>
      <w:r>
        <w:rPr>
          <w:rFonts w:ascii="Arial" w:cs="Arial" w:eastAsia="Arial" w:hAnsi="Arial"/>
          <w:sz w:val="30"/>
          <w:szCs w:val="30"/>
          <w:b w:val="1"/>
          <w:bCs w:val="1"/>
          <w:color w:val="auto"/>
          <w:vertAlign w:val="superscript"/>
        </w:rPr>
        <w:t>®</w:t>
      </w:r>
      <w:r>
        <w:rPr>
          <w:rFonts w:ascii="Arial" w:cs="Arial" w:eastAsia="Arial" w:hAnsi="Arial"/>
          <w:sz w:val="18"/>
          <w:szCs w:val="18"/>
          <w:b w:val="1"/>
          <w:bCs w:val="1"/>
          <w:color w:val="auto"/>
        </w:rPr>
        <w:t xml:space="preserve"> (DOXORUBICIN ENCAPSULATED IN HEAT-ACTIVATED LIPOSOME)</w:t>
      </w:r>
    </w:p>
    <w:p>
      <w:pPr>
        <w:spacing w:after="0" w:line="11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Liposomes are manufactured submicroscopic vesicles consisting of a discrete aqueous central compartment surrounded by a membrane bilayer composed of naturally occurring lipids. Conventional liposomes have been designed and manufactured to carry drugs and increase residence time, thus allowing the drugs to remain in the bloodstream for extended periods of time before they are removed from the body. However, the current existing liposomal formulations of cancer drugs and liposomal cancer drugs under development do not provide for the immediate release of the drug and the direct targeting of organ specific tumors, two important characteristics that are required for improving the efficacy of cancer drugs such as doxorubicin. A team of research scientists at Duke University developed a heat-sensitive liposome that rapidly changes its structure when heated to a threshold minimum temperature of 39.5º to 42º Celsius. Heating creates channels in the liposome bilayer that allow an encapsulated drug to rapidly disperse into the surrounding tissue. Through a perpetual, world-wide, exclusive development and commercialization license from Duke University, Celsion has licensed this novel, heat-activated liposomal technology that is differentiated from other liposomes through its unique low heat-activated release of encapsulated chemotherapeutic agents.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using several available focused-heat technologies, such as radio frequency ablation (RFA), microwave energy and high intensity focused ultrasound (HIFU), to activate the release of drugs from our novel heat sensitive liposomes.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THERMODOX® IN RELATION TO PRIMARY LIVER CANCER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Liver Cancer Overview</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Primary liver cancer (hepatocellular carcinoma or HCC) is one of the most common and deadliest forms of cancer worldwide. It ranks as the fifth most common solid tumor cancer. It is estimated that up to 90% of liver cancer patients will die within five years of diagnosis. The incidence of primary liver cancer is approximately 30,000 cases per year in the United States, approximately 40,000 cases per year in Europe and is rapidly growing worldwide at approximately 800,000 cases per year. HCC has the fastest rate of growth of all cancers and is projected to be the most prevalent form of cancer by 2020. HCC is commonly diagnosed in patients with longstanding hepatic disease and cirrhosis (primarily due to hepatitis C in the U.S. and Europe and hepatitis B in Asia).</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an early stage, the standard first line treatment for liver cancer is surgical resection of the tumor. Up to 80% of patients are ineligible for surgery or transplantation at time of diagnosis because early stage liver cancer generally has few symptoms and when finally detected the tumor frequently is too large for surgical resection. There are few alternative treatments, since radiation therapy and chemotherapy are largely ineffective in treating liver cancer. For tumors generally up to 5 centimeters in diameter, RFA has emerged as the standard of care treatment which directly destroys the tumor tissue through the application of high temperatures administered by a probe inserted into the core of the tumor. Local recurrence rates after RFA directly correlate to the size of the tumor. For tumors 3 cm or smaller in diameter the recurrence rate has been reported to be 10 – 20%; however, for tumors greater than 3 cm, local recurrence rates of 40% or higher have been observed.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Celsion’s Approach</w:t>
      </w:r>
    </w:p>
    <w:p>
      <w:pPr>
        <w:spacing w:after="0" w:line="27"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While RFA uses extremely high temperatures (greater than 80° Celsius) to ablate the tumor, it may fail to treat micro-metastases in the outer margins of the ablation zone because temperatures in the periphery may not be high enough to destroy cancer cells. Celsion’s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treatment approach is designed to utilize the ability of RFA devices to ablate the center of the tumor while simultaneously thermally activating our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liposome to release its encapsulated doxorubicin to kill remaining viable cancer cells throughout the heated region, including the tumor ablation margins. This novel treatment approach is intended to deliver the drug directly to those cancer cells that survive RFA. This approach will also increase the delivery of the doxorubicin at the desired tumor site while potentially reducing drug exposure distant to the tumor site.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I Clinical Trial - Primary Liver Cancer</w:t>
      </w:r>
    </w:p>
    <w:p>
      <w:pPr>
        <w:spacing w:after="0" w:line="2"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In the second quarter of 2007, we completed our first Phase I single dose escalation clinical trial that investigated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combination with RFA for the treatment of primary and metastatic liver cancer. The study was carried out at the National Cancer Institute (NCI), which is part of the National Institutes of Health (NIH) and Queen Mary Hospital in Hong Kong.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jc w:val="both"/>
        <w:spacing w:after="0" w:line="183" w:lineRule="auto"/>
        <w:rPr>
          <w:sz w:val="20"/>
          <w:szCs w:val="20"/>
          <w:color w:val="auto"/>
        </w:rPr>
      </w:pPr>
      <w:r>
        <w:rPr>
          <w:rFonts w:ascii="Arial" w:cs="Arial" w:eastAsia="Arial" w:hAnsi="Arial"/>
          <w:sz w:val="18"/>
          <w:szCs w:val="18"/>
          <w:color w:val="auto"/>
        </w:rPr>
        <w:t>In 2007 we initiated a second Phase I dose escalation study designed to investigate simplification of the current RFA/ThermoDox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treatment regimen including a single vial formulation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designed for commercial distribution. The study also permitted multiple dosing in liver cancer patients. This clinical trial was completed in 2008.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701 Patient Phase III Global Clinical Trial - Primary Liver Cancer (The HEAT Study)</w:t>
      </w:r>
    </w:p>
    <w:p>
      <w:pPr>
        <w:spacing w:after="0" w:line="2"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The HEAT Study for ThermoDox</w:t>
      </w:r>
      <w:r>
        <w:rPr>
          <w:rFonts w:ascii="Arial" w:cs="Arial" w:eastAsia="Arial" w:hAnsi="Arial"/>
          <w:sz w:val="30"/>
          <w:szCs w:val="30"/>
          <w:color w:val="auto"/>
          <w:vertAlign w:val="superscript"/>
        </w:rPr>
        <w:t>®</w:t>
      </w:r>
      <w:r>
        <w:rPr>
          <w:rFonts w:ascii="Arial" w:cs="Arial" w:eastAsia="Arial" w:hAnsi="Arial"/>
          <w:sz w:val="18"/>
          <w:szCs w:val="18"/>
          <w:color w:val="auto"/>
        </w:rPr>
        <w:t>, in combination with RFA, was conducted in patients with primary liver cancer under a Special Protocol Assessment agreed to with the FDA. The Special Protocol Assessment (SPA) agreed to with the FDA specified PFS as the HEAT Study’s primary endpoint. We scheduled a meeting with the HEAT Study independent DMC on January 30, 2013 in order to conduct an analysis of the HEAT Study’s PFS endpoint. Following review by the DMC, on January 31, 2013, we announced that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combination with RFA did not meet the HEAT Study’s primary endpoint of PFS. Specifically, we determined, after conferring with the DMC, that the HEAT Study did not meet the goal of demonstrating persuasive evidence of clinical effectiveness that could form the basis for regulatory approval in the population chosen for the HEAT Study. The HEAT Study was designed to show a 33 percent improvement in PFS with 80 percent power and a p-value = 0.05. In the trial,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was well-tolerated with no unexpected serious adverse events.</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As provided for in the SPA, we continue to follow the patients enrolled in the HEAT Study to the secondary endpoint of overall survival. We have evaluated data from eight sweeps of Overall Survival since the announcement of the HEAT Study’s primary endpoint result, with each showing progressive improvement in statistical significance. The most recent post-hoc OS analysis from the HEAT Study (as of July 15, 2015 and announced on August 6, 2015) demonstrated that in a large, well bounded subgroup of patients (n=285, 41% of the study patients), the combination of ThermoDox® and optimized RFA provided a 58% improvement in OS compared to optimized RFA alone. The Hazard Ratio at this latest OS analysis is 0.63 (95% CI 0.43 - 0.93) with a p-value of 0.0198. Median overall survival for the ThermoDox® group has been reached in this subgroup which translates into a 25.4 month (2.1 year) survival benefit over the optimized RFA only group (79 months for the ThermoDox® plus optimized RFA group versus 53.6 months for the optimized RFA only group). These data continue to strongly suggest that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may significantly improve Overall Survival compared to a RFA control in patients whose lesions undergo optimized RFA treatment for 45 minutes or more as well as support the protocol for our Phase III OPTIMA Study as described below.</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completed computational modeling with supplementary prospective preclinical animal studies which support the relationship between heating duration and clinical outcomes.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550 Patient Phase III Global Clinical Trial - Primary Liver Cancer (The OPTIMA Study)</w:t>
      </w:r>
    </w:p>
    <w:p>
      <w:pPr>
        <w:spacing w:after="0" w:line="2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Based on the Overall Survival data from the post-hoc analysis of results from the HEAT Study, we submitted our proposed pivotal Phase III clinical protocol for FDA review in the fourth quarter of 2013. On February 24, 2014, we announced that the FDA, after its customary 30 day review period, accepted without comment, subject to compliance with regulatory standards, clearance for the OPTIMA Study, our pivotal, double-blind, placebo-controlled Phase III trial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combination with standardized RFA in primary liver cancer. The OPTIMA Study trial design is based on a comprehensive analysis of data from the HEAT Study.</w:t>
      </w:r>
    </w:p>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Designed with extensive input from globally recognized HCC researchers and clinicians and after formal written consultation with the FDA, the OPTIMA Study was launched in the first half of 2014. The OPTIMA Study is expected to enroll up to 550 patients globally at up to 75 sites in the United States, Canada, Europe, China and elsewhere in the Asia Pacific region, and will evaluate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combination with standardized RFA, which will require a minimum of 45 minutes across all investigators and clinical sites for treating lesions 3 to 7 centimeters, versus standardized RFA alone. The primary endpoint for the trial is Overall Survival, and the secondary endpoints for the trial are PFS and safety. The OPTIMA Study is 80% powered to show a 33% improvement in OS. The statistical plan calls for two interim efficacy analyses by an independent DMC.</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16, 2015, we announced that we received approval from the CFDA to conduct the OPTIMA Study in China. This clinical trial application approval will allow Celsion to enroll patients at up to 20 clinical sites in China. With the addition of these Chinese clinical sites, the Company expects to complete enrollment in the OPTIMA Study around the end of 2017. Results from the OPTIMA Study, if successful, will provide the basis for a global registration filing and marketing approval.</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will continue with partnerships, such as our arrangement with Hisun and Yakult Pharmaceuticals to the extent feasible. In addition, we have assessed our product pipeline and research and development priorities. As we evaluate strategic alternatives, we will need to consider a number of factors, including investment in, or acquisition of, complementary businesses, technologies or products, possible capital raising transactions, partnering opportunities and working capital requirements. We expect that the strength of our balance sheet will afford us the opportunity to evaluate our future development plans. However, as demonstrated by the HEAT Study results announced on January 31, 2013, drug research and development is an inherently uncertain process and there is a high risk of failure at every stage prior to approval. The timing and the outcome of clinical results is extremely difficult to predict. Clinical development successes and failures can have a disproportionate positive or negative impact on our scientific and medical prospects, financial prospects, financial condition and market value.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THERMODOX® IN RELATION TO CANCERS OTHER THAN PRIMARY LIVER CANCER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Recurrent Chest Wall (RCW) Breast Cancer Overview</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Breast cancer is the most common malignancy in women in both the United States and the world. Despite a variety of therapeutic approaches, up to 40% of the estimated 95,000 patients in the United States undergoing a mastectomy as their primary treatment will develop locally recurrent RCW breast cancer. There is currently no effective chemotherapeutic standard of care for RCW breast cancer and as a result, many of these patients will die within two years of the recurrence. Patients with RCW breast cancer suffer from disfiguring tumors and other symptoms including pain, foul-smelling wounds, and a very visual reminder of tumor progression.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Celsion’s Approach</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been actively seeking a targeted localized treatment for breast cancer using ThermoDox® in conjunction with localized microwave hyperthermia to treat RCW breast cancer. Studies at Duke University and other centers have indicated that heat may improve the therapeutic action of non-temperature sensitive liposomal doxorubicin formulations in advanced loco-regional breast cancer. Our liposomal encapsulated doxorubicin is released by heat generated from an external microwave tissue hyperthermia device that is placed on a woman’s chest. The microwave hyperthermia heats the target to a temperature adequate to activate ThermoDox® but not to ablate the tissue like RFA. Upon heating to 39.5º to 42º C, a significant concentration of doxorubicin is released directly to the tumor. As in our liver cancer program, we use a commercially available thermotherapy device to heat the target tissue and activate ThermoDox® at the desired target site.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Microwave hyperthermia as a separate standalone treatment has been found to have the ability to kill breast cancer cells. Because breast cancer cells have higher water content than surrounding normal cells, the tumor is heated to a greater extent than normal breast tissue and is selectively destroyed. Therefore, heating cancer cells with a microwave device for sixty minutes at 43°C has been found to be tumoricidal. We expect that the combination of microwave hyperthermia and ThermoDox® will be more efficacious than microwave hyperthermia alone or treatment with existing non-heat activated liposomal formulations.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Breast Cancer Phase I/II Clinical Trial - The DIGNITY Study</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In 2009, the Company commenced an open label, dose-escalating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Phase I/Phase II clinical trial for patients with RCW breast cancer – (the DIGNITY Study). The DIGNITY Study is designed to establish a safe therapeutic dose in Phase I, and in Phase II to demonstrate local control, including complete and partial responses, and stable disease as its primary endpoint. The DIGNITY Study is also planned to evaluate kinetics in ThermoDox® produced from more than one manufacturing site.</w:t>
      </w:r>
    </w:p>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Company completed enrollment of the Phase I portion of the study in 2010. The enrollment of the DIGNITY Study commenced in the first quarter of 2013 and completed in mid-2015. The trial evaluated ThermoDox® in combination with mild hyperthermia and enrolled 28 patients at five clinical sites in the United States in both phases of the study. On December 14, 2015, we announced final data from the DIGNITY Study of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RCW Breast Cancer at the San Antonio Breast Cancer Symposium. Of the 28 patients enrolled and treated, 21 patients were eligible for evaluation of efficacy. Thirteen patients, representing approximately 62% of the evaluable patients, experienced a local response, including six complete responses and seven partial responses. These data are consistent with the combined clinical data from the two previous Phase I trials discussed below.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89" w:lineRule="auto"/>
        <w:rPr>
          <w:sz w:val="20"/>
          <w:szCs w:val="20"/>
          <w:color w:val="auto"/>
        </w:rPr>
      </w:pPr>
      <w:r>
        <w:rPr>
          <w:rFonts w:ascii="Arial" w:cs="Arial" w:eastAsia="Arial" w:hAnsi="Arial"/>
          <w:sz w:val="16"/>
          <w:szCs w:val="16"/>
          <w:color w:val="auto"/>
        </w:rPr>
        <w:t>Duke University conducted a Phase I dose escalating ThermoDox® study in patients with RCW breast cancer and has presented preliminary results from the 16 enrolled patients that characterize the safety of the drug in RCW patients and the feasibility of ThermoDox® administration in these patients. In December 2013, we announced combined clinical data from our DIGNITY study and the Duke University sponsored Phase I trial of ThermoDox® plus hyperthermia in RCW breast cancer. The two similarly designed Phase I studies enrolled patients with highly resistant tumors found on the chest wall and who had progressed on previous therapy including chemotherapy, radiation therapy and hormone therapy. ThermoDox® in combination with mild hyperthermia was evaluated in these patients in up to six cycles. Both studies employed an open label 3+3 dose escalation study design to determine the Maximum Tolerated Dose, evaluate safety and determine early effects of ThermoDox® in combination with mild hyperthermia. There were 29 patients treated in the two trials, including 11 patients in the DIGNITY Study and 18 patients in the Duke study. Of the 29 patients, 23 were eligible for evaluation of efficacy. A local response rate of over 60 percent was reported in 14 of the 23 evaluable patients with five complete responses and nine partial responses.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Breast Cancer Phase II Clinical Trial - The Euro-DIGNITY Study</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Company anticipates that a Phase II study of RadioTherapy, HyperThermia and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to treat patients with local-regional recurrent chest wall breast cancer will be initiated by six to eight clinical sites located in Italy, Israel, the Netherlands, Poland and the Czech Republic (the Euro-DIGNITY Study). The Euro-DIGNITY Study is expected to commence in the second half of 2016 and should enroll up to 70 patients affected by recurrent breast adenocarcinoma on the chest wall with/without nodes over a period of two years.</w:t>
      </w:r>
    </w:p>
    <w:p>
      <w:pPr>
        <w:spacing w:after="0" w:line="179" w:lineRule="exact"/>
        <w:rPr>
          <w:sz w:val="20"/>
          <w:szCs w:val="20"/>
          <w:color w:val="auto"/>
        </w:rPr>
      </w:pPr>
    </w:p>
    <w:p>
      <w:pPr>
        <w:jc w:val="both"/>
        <w:spacing w:after="0" w:line="196" w:lineRule="auto"/>
        <w:rPr>
          <w:sz w:val="20"/>
          <w:szCs w:val="20"/>
          <w:color w:val="auto"/>
        </w:rPr>
      </w:pPr>
      <w:r>
        <w:rPr>
          <w:rFonts w:ascii="Arial" w:cs="Arial" w:eastAsia="Arial" w:hAnsi="Arial"/>
          <w:sz w:val="18"/>
          <w:szCs w:val="18"/>
          <w:color w:val="auto"/>
        </w:rPr>
        <w:t>The primary objectives of the Euro-DIGNITY Study will be (i) to evaluate efficacy in patients after 3 cycles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plus Hyperthermia measuring tumor diameter as a response to therapy and (ii) to evaluate loco-regional breast tumor control in patients who undergo ThermoDox</w:t>
      </w:r>
      <w:r>
        <w:rPr>
          <w:rFonts w:ascii="Arial" w:cs="Arial" w:eastAsia="Arial" w:hAnsi="Arial"/>
          <w:sz w:val="30"/>
          <w:szCs w:val="30"/>
          <w:color w:val="auto"/>
          <w:vertAlign w:val="superscript"/>
        </w:rPr>
        <w:t>®</w:t>
      </w:r>
      <w:r>
        <w:rPr>
          <w:rFonts w:ascii="Arial" w:cs="Arial" w:eastAsia="Arial" w:hAnsi="Arial"/>
          <w:sz w:val="18"/>
          <w:szCs w:val="18"/>
          <w:color w:val="auto"/>
        </w:rPr>
        <w:t>/hyperthermia/radiotherapy as measured by target lesion clinical response rate combining a RECIST criteria with digital photography to gauge response.</w:t>
      </w:r>
    </w:p>
    <w:p>
      <w:pPr>
        <w:spacing w:after="0" w:line="202"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Secondary objectives of the Euro-DIGNITY Study will be (i) to evaluate the safety of the combination of ThermoDox/Hyperthermia/Radiotherapy among patients with local-regional recurrence (LRR) breast cancer, (ii) to evaluate the duration of local control complete response, partial response and stable disease following treatment with ThermoDox/Hyperthermia/Radiotherapy up to 24 months among patients with LRR breast cancer and (iii) to assess Patient Reported Quality of Life using the FACT-B and Brief Pain Inventory following treatment with ThermoDox/Hyperthermia/Radiotherapy among patients with LRR breast cancer.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 (IL-12 DNA PLASMID VECTOR ENCASED IN A NANOPARTICLE DELIVERY SYSTEM) and Other RNA and DNA Therapies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20, 2014, we completed the acquisition of substantially all of the assets of EGEN, Inc. (EGEN) pursuant to an Asset Purchase Agreement (EGEN Asset Purchase Agreement).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 The EGEN Purchase Agreement contains customary representations and warranties regarding EGEN and Celsion, covenants regarding the conduct of EGEN’s business prior to the consummation of the Acquisition, indemnification provisions, termination and other provisions customary for transactions of this nature.</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acquisition, we acquired GEN-1, an IL-12 DNA plasmid vector encased in a nanoparticle delivery system which enables cell transfection followed by persistent, local secretion of the IL-12 protein, and three platform technologies for the development of treatments for those suffering with difficult-to-treat forms of cancer, novel nucleic acid-based immunotherapies and other anti-cancer DNA or RNA therapies, including TheraPlas™ and TheraSilence™.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Ovarian Cancer Overview</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Ovarian cancer is the most lethal of gynecological malignancies among women with an overall five year survival rate of 45%. This poor outcome is due in part to the lack of effective prevention and early detection strategies. There were approximately 22,000 new cases of ovarian cancer in the U.S. in 2014 with an estimated 14,000 deaths. Mortality rates for ovarian cancer declined very little in the last forty years due to the unavailability of detection tests and improved treatments. Most women with ovarian cancer are not diagnosed until Stages III or IV, when the disease has spread outside the pelvis to the abdomen and areas beyond causing swelling and pain, where the five-year survival rates are 25 to 41 percent and 11 percent, respectively. First-line chemotherapy regimens are typically platinum-based combination therapies. Although this first line of treatment has an approximate 80 percent response rate, 55 to 75 percent of women will develop recurrent ovarian cancer within two years and ultimately will not respond to platinum therapy.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Avastin are the only approved second-line therapies for platinum-resistant ovarian cancer. The overall response rate for these therapies is 10 to 20 percent with median overall survival of eleven to twelve months. Immunotherapy is an attractive novel approach for the treatment of ovarian cancer particularly since ovarian cancers are considered immunogenic tumors. IL-12 is one of the most active cytokines for the induction of potent anti-cancer immunity acting through the induction of T-lymphocyte and natural killer cell proliferation. The precedence for a therapeutic role of IL-12 in ovarian cancer is based on epidemiologic and preclinical data.</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Celsion’s Approach</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Celsion’s GEN-1 approach for IL-12 delivery is designed to achieve local concentrations of IL-12 at the tumor site with minimal increases in systemic circulation. This DNA-based approach involves intraperitoneal administration of an IL-12 plasmid formulated with a proprietary lipopolymer delivery system PEG-PEI-Cholesterol. In this approach, our GEN-1 immunotherapy is combined with standard chemotherapy drugs to achieve better clinical outcome than with chemotherapy alone. Increases in IL-12 concentrations at the tumor site for several days (up to one week) after a single administration will create a potent immune environment against the tumor and a direct killing of the tumor with concomitant use of cytotoxic chemotherapy together will result in more robust and durable antitumor response than chemotherapy alone. The activation of the body’s immune system will potentially eliminate the chemotherapy resistant cells and lower the risk of recurrence.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 OVATION Study</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initiated a Phase I dose-escalation clinical trial of GEN-1 in combination with the standard of care in neo-adjuvant ovarian cancer (the OVATION Study) at four clinical sites, including the University of Alabama at Birmingham, Oklahoma University Medical Center, Washington University in St. Louis and the Medical College of Wisconsin. The OVATION Study will seek to identify a safe, tolerable and therapeutically active dose of GEN-1 in newly diagnosed ovarian cancer patients who will be undergoing neo-adjuvant chemotherapy followed by surgical resection of their tumors. The trial is expected to enroll three to six patients per dose level and will evaluate safety and efficacy and attempt to define an optimal dose for a follow-on Phase I/II study combining GEN-1 with Avastin® and Doxil®. In addition, the OVATION Study establishes a unique opportunity to assess how cytokine-based compounds such as GEN-1, directly affects ovarian cancer cells and the tumor microenvironment in newly diagnosed patients. The study is designed to characterize the nature of the immune response triggered by GEN-1 at various levels of the patients' immune system, including:</w:t>
      </w:r>
    </w:p>
    <w:p>
      <w:pPr>
        <w:spacing w:after="0" w:line="184" w:lineRule="exact"/>
        <w:rPr>
          <w:sz w:val="20"/>
          <w:szCs w:val="20"/>
          <w:color w:val="auto"/>
        </w:rPr>
      </w:pPr>
    </w:p>
    <w:p>
      <w:pPr>
        <w:ind w:left="1020" w:right="540" w:hanging="661"/>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1020" w:right="120" w:hanging="661"/>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70" w:lineRule="exact"/>
        <w:rPr>
          <w:rFonts w:ascii="Arial" w:cs="Arial" w:eastAsia="Arial" w:hAnsi="Arial"/>
          <w:sz w:val="18"/>
          <w:szCs w:val="18"/>
          <w:color w:val="auto"/>
        </w:rPr>
      </w:pPr>
    </w:p>
    <w:p>
      <w:pPr>
        <w:ind w:left="1020" w:hanging="661"/>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7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These extensive mechanistic studies will assist in the design of novel combination approaches with immunotherapies and other anti-cancer agents driven by potential synergistic action mechanisms, and define an enhanced patient population based on molecular characteristics inherent to tumor tissue or the immune system.</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jc w:val="both"/>
        <w:spacing w:after="0" w:line="271" w:lineRule="auto"/>
        <w:rPr>
          <w:sz w:val="20"/>
          <w:szCs w:val="20"/>
          <w:color w:val="auto"/>
        </w:rPr>
      </w:pPr>
      <w:r>
        <w:rPr>
          <w:rFonts w:ascii="Arial" w:cs="Arial" w:eastAsia="Arial" w:hAnsi="Arial"/>
          <w:sz w:val="17"/>
          <w:szCs w:val="17"/>
          <w:color w:val="auto"/>
        </w:rPr>
        <w:t>On February 12, 2016, we announced the completion of enrollment of the first cohort of patients in the OVATION Study combining GEN-1, the Company's DNA-based immunotherapy, with the standard of care for the treatment of newly-diagnosed ovarian cancer patients who will undergo neoadjuvant chemotherapy followed by surgical resection of their tumor. The first two patients in the OVATION Study who completed treatment have shown promising results. Both patients reported stable disease with a drop in their cancer antigen 125 (CA-125) protein levels of 89% and 98% respectively. CA-125 is used to monitor certain cancers during and after treatment and is present in greater concentrations in ovarian cancer cells than in other cells. A 50% reduction in CA-125 levels is considered meaningful. Both patients’ CA-125 levels were below the normal healthy level of 35 U/mL. In addition, both patients experienced successful surgical resections of their tumors with one patient reporting a R0 resection which indicates a microscopically margin-negative resection in which no gross or microscopic tumor remains in the tumor bed.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OVATION Study will continue into 2016 at higher doses of GEN-1 with the goal to identify a safe, tolerable and therapeutically active dose of GEN-1 by recruiting and maximizing an immune response.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 + Avastin® + Doxil Combination Study in Platinum Resistant Ovarian Cancer</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April 2015, we announced plans to expand our ovarian cancer development program to include a Phase 1 dose escalating trial evaluating GEN-1 in combination with Avastin® and Doxil® in platinum-resistant ovarian cancer patients.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new combination study in platinum-resistant ovarian cancer is supported by three preclinical studies indicating that the combination of GEN-1 with Avastin® may result in clinical benefit with a favorable safety profile, as well as the prior Phase 1b trial of GEN-1 plus Doxil® in platinum resistant ovarian cancer patients. Specifically:</w:t>
      </w:r>
    </w:p>
    <w:p>
      <w:pPr>
        <w:spacing w:after="0" w:line="181" w:lineRule="exact"/>
        <w:rPr>
          <w:sz w:val="20"/>
          <w:szCs w:val="20"/>
          <w:color w:val="auto"/>
        </w:rPr>
      </w:pPr>
    </w:p>
    <w:p>
      <w:pPr>
        <w:jc w:val="both"/>
        <w:ind w:left="780" w:right="260" w:hanging="380"/>
        <w:spacing w:after="0" w:line="25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two preclinical studies using an animal model of disseminated ovarian cancer, GEN-1 in combination with Avastin® led to a significant reduction in tumor burden and disease progression. The effectiveness of the combined treatment was seen when GEN-1 was combined with various dose levels of Avastin® (low-medium-high). Additionally, it was shown that GEN-1 treatment alone resulted in anti-tumor activity that was as good as or better than Avastin® treatment alone.</w:t>
      </w:r>
    </w:p>
    <w:p>
      <w:pPr>
        <w:spacing w:after="0" w:line="186" w:lineRule="exact"/>
        <w:rPr>
          <w:rFonts w:ascii="Arial" w:cs="Arial" w:eastAsia="Arial" w:hAnsi="Arial"/>
          <w:sz w:val="18"/>
          <w:szCs w:val="18"/>
          <w:color w:val="auto"/>
        </w:rPr>
      </w:pPr>
    </w:p>
    <w:p>
      <w:pPr>
        <w:jc w:val="both"/>
        <w:ind w:left="780" w:right="260" w:hanging="380"/>
        <w:spacing w:after="0" w:line="286" w:lineRule="auto"/>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preclinical studies indicated that no obvious overt toxicities were associated with the combined treatments. The preclinical data are also consistent with the mechanism of action for GEN-1, which exhibits certain anti-angiogenic properties and suggests that combining GEN-1 with lower doses of Avastin® may enhance efficacy and help reduce the known toxicities associated with this anti-VEGF drug.</w:t>
      </w:r>
    </w:p>
    <w:p>
      <w:pPr>
        <w:spacing w:after="0" w:line="165" w:lineRule="exact"/>
        <w:rPr>
          <w:rFonts w:ascii="Arial" w:cs="Arial" w:eastAsia="Arial" w:hAnsi="Arial"/>
          <w:sz w:val="17"/>
          <w:szCs w:val="17"/>
          <w:color w:val="auto"/>
        </w:rPr>
      </w:pPr>
    </w:p>
    <w:p>
      <w:pPr>
        <w:jc w:val="both"/>
        <w:ind w:left="780" w:right="260" w:hanging="380"/>
        <w:spacing w:after="0" w:line="25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distinct biological activities of GEN-1 (immune stimulation) and Avastin® (inhibition of tumor blood vessel formation) makes a sound scientific rationale for this combination approach. Additionally, the anti-angiogenic activity of GEN-1 mediated through up regulation of the interferon gamma (IFN-g) pathway may help to explain the remarkable synergy between GEN-1 and Avastin® and potentially addresses the VEGF escape mechanisms associated with resistance to Avastin® therapy.</w:t>
      </w:r>
    </w:p>
    <w:p>
      <w:pPr>
        <w:spacing w:after="0" w:line="186" w:lineRule="exact"/>
        <w:rPr>
          <w:rFonts w:ascii="Arial" w:cs="Arial" w:eastAsia="Arial" w:hAnsi="Arial"/>
          <w:sz w:val="18"/>
          <w:szCs w:val="18"/>
          <w:color w:val="auto"/>
        </w:rPr>
      </w:pPr>
    </w:p>
    <w:p>
      <w:pPr>
        <w:jc w:val="both"/>
        <w:ind w:left="780" w:right="260" w:hanging="380"/>
        <w:spacing w:after="0" w:line="25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 16-patient Phase 1b study of GEN-1 in combination study in platinum-resistant ovarian cancer, there were no overlapping toxicities between GEN-1 and pegylated doxorubicin (Doxil®). Biological activity and clinical efficacy results, including disease control rates, translational data and survival rates, have been submitted for presentation at the American Society of Clinical Oncologist (ASCO) Annual Meeting.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jc w:val="both"/>
        <w:spacing w:after="0" w:line="270" w:lineRule="auto"/>
        <w:rPr>
          <w:sz w:val="20"/>
          <w:szCs w:val="20"/>
          <w:color w:val="auto"/>
        </w:rPr>
      </w:pPr>
      <w:r>
        <w:rPr>
          <w:rFonts w:ascii="Arial" w:cs="Arial" w:eastAsia="Arial" w:hAnsi="Arial"/>
          <w:sz w:val="17"/>
          <w:szCs w:val="17"/>
          <w:color w:val="auto"/>
        </w:rPr>
        <w:t>On October 12, 2015, we announced the results of an additional preclinical study to support an Investigational New Drug filing with the FDA for the planned Phase I/II combination study. The study will be designed to optimize the dosing regimen for GEN-1 in combination with Avastin® + Doxil® and is expected to enroll approximately 12 to 18 patients. Results from the comprehensive preclinical studies showed that GEN-1 when combined with Avastin® and Doxil®, standard of care for platinum resistant patients, indicated a greater than 98% reduction in tumor burden when compared to the untreated control group. The findings represent a reduction in tumor burden and disease progression when compared to the combination of Avastin® and Doxil® in a SKOV3 human cell line implanted into immunocompromised (nude) mice. The study was designed to evaluate in a mouse model of disseminated ovarian cancer, the efficacy of a combined treatment regimen that consisted of weekly administrations of GEN-1 with therapeutically relevant doses of Doxil® and Avastin®. In the study, the combination of GEN-1 with Avastin® and Doxil® showed a robust anti-tumor advantage compared to untreated animals as well as a statistically significant improvement over the combination of Avastin® and Doxil® as summarized below:</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Reduction in</w:t>
            </w:r>
          </w:p>
        </w:tc>
        <w:tc>
          <w:tcPr>
            <w:tcW w:w="3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5"/>
              </w:rPr>
              <w:t>Mean</w:t>
            </w:r>
          </w:p>
        </w:tc>
        <w:tc>
          <w:tcPr>
            <w:tcW w:w="3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 of Animals</w:t>
            </w: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Tumor Burden vs.</w:t>
            </w:r>
          </w:p>
        </w:tc>
        <w:tc>
          <w:tcPr>
            <w:tcW w:w="3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0"/>
              </w:rPr>
              <w:t>with No Visible</w:t>
            </w:r>
          </w:p>
        </w:tc>
      </w:tr>
      <w:tr>
        <w:trPr>
          <w:trHeight w:val="234"/>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Untreated Control</w:t>
            </w:r>
          </w:p>
        </w:tc>
        <w:tc>
          <w:tcPr>
            <w:tcW w:w="32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Tumors</w:t>
            </w:r>
          </w:p>
        </w:tc>
      </w:tr>
      <w:tr>
        <w:trPr>
          <w:trHeight w:val="210"/>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GEN-1 Immunotherapy</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84%</w:t>
            </w:r>
          </w:p>
        </w:tc>
        <w:tc>
          <w:tcPr>
            <w:tcW w:w="3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Avastin® + LD Doxil®</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77%</w:t>
            </w:r>
          </w:p>
        </w:tc>
        <w:tc>
          <w:tcPr>
            <w:tcW w:w="3120" w:type="dxa"/>
            <w:vAlign w:val="bottom"/>
            <w:gridSpan w:val="2"/>
          </w:tcPr>
          <w:p>
            <w:pPr>
              <w:jc w:val="center"/>
              <w:ind w:left="230"/>
              <w:spacing w:after="0"/>
              <w:rPr>
                <w:sz w:val="20"/>
                <w:szCs w:val="20"/>
                <w:color w:val="auto"/>
              </w:rPr>
            </w:pPr>
            <w:r>
              <w:rPr>
                <w:rFonts w:ascii="Arial" w:cs="Arial" w:eastAsia="Arial" w:hAnsi="Arial"/>
                <w:sz w:val="18"/>
                <w:szCs w:val="18"/>
                <w:color w:val="auto"/>
                <w:w w:val="88"/>
              </w:rPr>
              <w:t>12%</w:t>
            </w: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Avastin® + HD Doxil®</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88%</w:t>
            </w:r>
          </w:p>
        </w:tc>
        <w:tc>
          <w:tcPr>
            <w:tcW w:w="312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8"/>
              </w:rPr>
              <w:t>50%</w:t>
            </w: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Avastin® + LD Doxil® + GEN-1</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&gt; 98%</w:t>
            </w:r>
          </w:p>
        </w:tc>
        <w:tc>
          <w:tcPr>
            <w:tcW w:w="3120" w:type="dxa"/>
            <w:vAlign w:val="bottom"/>
            <w:gridSpan w:val="2"/>
          </w:tcPr>
          <w:p>
            <w:pPr>
              <w:jc w:val="center"/>
              <w:ind w:left="230"/>
              <w:spacing w:after="0"/>
              <w:rPr>
                <w:sz w:val="20"/>
                <w:szCs w:val="20"/>
                <w:color w:val="auto"/>
              </w:rPr>
            </w:pPr>
            <w:r>
              <w:rPr>
                <w:rFonts w:ascii="Arial" w:cs="Arial" w:eastAsia="Arial" w:hAnsi="Arial"/>
                <w:sz w:val="18"/>
                <w:szCs w:val="18"/>
                <w:color w:val="auto"/>
                <w:w w:val="88"/>
              </w:rPr>
              <w:t>75%</w:t>
            </w:r>
          </w:p>
        </w:tc>
      </w:tr>
      <w:tr>
        <w:trPr>
          <w:trHeight w:val="196"/>
        </w:trPr>
        <w:tc>
          <w:tcPr>
            <w:tcW w:w="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Avastin® + HD Doxil® + GEN-1</w:t>
            </w:r>
          </w:p>
        </w:tc>
        <w:tc>
          <w:tcPr>
            <w:tcW w:w="19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&gt; 98%</w:t>
            </w:r>
          </w:p>
        </w:tc>
        <w:tc>
          <w:tcPr>
            <w:tcW w:w="3120" w:type="dxa"/>
            <w:vAlign w:val="bottom"/>
            <w:tcBorders>
              <w:bottom w:val="single" w:sz="8" w:color="CCEEFF"/>
            </w:tcBorders>
            <w:gridSpan w:val="2"/>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8"/>
              </w:rPr>
              <w:t>75%</w:t>
            </w:r>
          </w:p>
        </w:tc>
      </w:tr>
      <w:tr>
        <w:trPr>
          <w:trHeight w:val="230"/>
        </w:trPr>
        <w:tc>
          <w:tcPr>
            <w:tcW w:w="20" w:type="dxa"/>
            <w:vAlign w:val="bottom"/>
          </w:tcPr>
          <w:p>
            <w:pPr>
              <w:spacing w:after="0"/>
              <w:rPr>
                <w:sz w:val="20"/>
                <w:szCs w:val="20"/>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LD - Low Dose; HD - High Dose</w:t>
            </w: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Analysis of serum chemistry and hematology suggested no overt toxicities associated with the combined treatments. The preclinical data are consistent with the mechanism of action for GEN-1, which exhibits certain anti-angiogenic properties in addition to its well-characterized immunomodulatory activities.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THERAPLAS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TECHNOLOGY PLATFORM</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TheraPlas™ is a technology platform for the delivery of DNA and messenger RNA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DNA/RNA from degradation and promote trafficking into cells and through intracellular compartments. We designed the delivery system of TheraPlas™ by chemically modifying the low molecular weight polymer to improve its gene transfer activity without increasing toxicity. We believe that TheraPlas™ is a viable alternative to current approaches to gene delivery due to several distinguishing characteristics, including enhanced molecular versatility that allows for complex modifications to improve activity and safety.</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design of TheraPlas™ delivery systems is based on molecular functionalization of polyethyleneimine (PEI), a cationic delivery polymer with a distinct ability to escape from the endosomes due to heavy protonation. The transfection activity and toxicity of PEI is tightly coupled to its molecular weight therefore the clinical application of PEI is limited. We have used molecular functionalization strategies to improve the activity of low molecular weight PEIs without augmenting their cytotoxicity. In one instance, chemical conjugation of a low molecular weight branched BPEI1800 with cholesterol and polyethylene glycol (PEG) to form PEG-PEI-Cholesterol (PPC) dramatically improved the transfection activity of BPEI1800 following in vivo delivery. Together, the cholesterol and PEG modifications produced approximately 20-fold enhancement in transfection activity. Biodistribution studies following intraperitoneal or subcutaneous administration of DNA/PPC nanocomplexes showed DNA delivery localized primarily at the injection site with only small amount escaped into systemic circulation. PPC is the delivery component of our lead TheraPlas product, GEN-1, which is in clinical development for the treatment ovarian cancer and in preclinical development for the treatment of glioblastoma. The PPC manufacturing process has been scaled up from bench scale (1-2 g) to 0.6Kg, and several cGMP lots have been produced with reproducible quality.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Another approach to improve PEI activity involved crosslinking low-molecular-weight PEIs through degradable linkages to create larger and degradable structures. Two cross-linked polymers have been synthesized with this approach and optimized for transfection activity. Both cross-linked polymers expressed several fold higher transfection activity than their respective monomers and lower cyotoxicity than a commercially available 25 kDa polymer. One embodiment of the polymer is being developed for in vivo delivery of plasmid DNA and mRNA. Intravenous administration of the nanoparticles carrying DNA or mRNA payload in mice has produced expression with high degree of lung specificity. The lung specificity and safety for mRNA delivery following intravenous administration in mice has been confirmed in non-human primates. These results demonstrate potential clinical utility for delivery of therapeutic DNA and RNA for lung diseases and pulmonary disorders.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TheraPlas™ has emerged as a viable alternative to current approaches due to several distinguishing characteristics such as excellent molecular versatility that allows for complex modifications to improve activity and safety with little difficulty. The biocompatibility of these polymers reduces the risk of adverse immune response, thus allowing for repeated administration. Compared to naked DNA or cationic lipids, TheraPlas™ is generally safer, more efficient, and cost effective. We believe that these advantages place Celsion in an excellent position to capitalize on the technology.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THERASILENCE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TECHNOLOGY PLATFORM</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TheraSilence™ is a technology platform for the delivery of synthetically-generated inhibitory RNA (RNAi) such as small inhibitory RNAs (siRNAs), microRNAs, anti-microRNAs, microRNA mimics, and related molecules that can regulate protein expression at the transcript level by exploiting endogenous cell mechanisms. Inhibitory RNA-based therapies have tremendous potential for targeting virtually any disease related gene with a high degree of specificity and thus eliminating so called “non-drugable” target classes. The TheraSilence technology addresses the primary obstacle to nucleic acid-based therapeutics which is the efficient delivery to target cells. Specifically, a delivery system needs to be able to protect the RNAi from nuclease degradation, transfer the molecule across the cellular membranes and release the material so that it can be available to the endogenous RNA silencing machinery. We have developed proprietary, novel structures that are able to interact with the RNAi molecules forming protective nanoparticles that can be readily taken up into cells. In addition, these systems are chemically flexible and amenable to attachment of tissue-targeted ligands, in vivo stabilizing agents and other functional moieties which can tailor a formulation for a particular application and delivery modality. We believe that these features can provide high specificity for RNAi delivery to select tissue, enhance stability and reduce in vivo toxicity. In-vivo proof-of-concept studies of our most advanced system have shown the ability to deliver RNAi molecules specifically to the pulmonary vascular following intravenous administration. Using this delivery system we have been able to show in mice that delivery of a siRNA molecule that targets anti-vascular endothelial receptor 2 (VEGF2), a protein that is critical for the growth of new blood vessels in tumors, can significantly inhibit lung tumor growth. Additionally, delivery of an anti-micro RNA molecule into rats with experimentally induced pulmonary arterial hypertension was able to normalize vascular remodeling that occurs in the lung and restore cardiac function that is compromised as a result of the disease. This suggests that this delivery system can effective deliver numerous potentially therapeutic molecular targets and may have application for the treatment of numerous lung diseases.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 element of our business strategy has been to pursue, as resources permit, the research and development of a range of product candidates for a variety of indications. We may also evaluate licensing cancer products from third parties for cancer treatments to expand our current product pipeline. This is intended to allow us to diversify the risks associated with our research and development expenditures. To the extent we are unable to maintain a broad range of product candidates, our dependence on the success of one or a few product candidates would increase and results such as those announced in relation to the HEAT study on January 31, 2013 will have a more significant impact on our financial prospects, financial condition and market value. We may also consider and evaluate strategic alternatives, including investment in, or acquisition of, complementary businesses, technologies or products. As demonstrated by the HEAT Study results, drug research and development is an inherently uncertain process and there is a high risk of failure at every stage prior to approval. The timing and the outcome of clinical results are extremely difficult to predict. The success or failure of any preclinical development and clinical trial can have a disproportionately positive or negative impact on our results of operations, financial condition, prospects and market value.</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a result of the risks and uncertainties discussed in this Annual Report on Form 10-K, among others, we are unable to estimate the duration and completion costs of our research and development projects or when, if ever, and to what extent we will receive cash inflows from the commercialization and sale of a product if one of our product candidates receives regulatory approval for marketing, if at all.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and development activities, preclinical studies and clinical trials, or whether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are engaged in a limited amount of research and development in our own facilities and have sponsored research programs in partnership with various research institutions, including the National Cancer Institute and Duke University. We are currently, with minimal cash expenditures, sponsoring clinical and pre-clinical research at the University of Oxford, University of Utrecht, Brigham and Women’s Hospital and the University of Washington. The majority of the spending in research and development is for the funding of ThermoDox® clinical trials. Research and development expenses were approximately $14.7 million, $15.0 million and $9.4 million for the years ended December 31, 2015, 2014 and 2013, respectively. See </w:t>
      </w:r>
      <w:r>
        <w:rPr>
          <w:rFonts w:ascii="Arial" w:cs="Arial" w:eastAsia="Arial" w:hAnsi="Arial"/>
          <w:sz w:val="18"/>
          <w:szCs w:val="18"/>
          <w:b w:val="1"/>
          <w:bCs w:val="1"/>
          <w:i w:val="1"/>
          <w:iCs w:val="1"/>
          <w:color w:val="auto"/>
        </w:rPr>
        <w:t>Item 7 – Management’s Discussion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Analysis of Financial Condition and Results of Operations </w:t>
      </w:r>
      <w:r>
        <w:rPr>
          <w:rFonts w:ascii="Arial" w:cs="Arial" w:eastAsia="Arial" w:hAnsi="Arial"/>
          <w:sz w:val="18"/>
          <w:szCs w:val="18"/>
          <w:color w:val="auto"/>
        </w:rPr>
        <w:t>for additional information regarding expenditures related to our research and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GOVERNMENT REGULATION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extensively regulate, among other things, the research, development, testing, quality control, approval, manufacturing, labeling, post-approval monitoring and reporting, recordkeeping, packaging, promotion, storage, advertising, distribution, marketing and export and import of pharmaceutical products such as those we are developing. The process of obtaining regulatory approvals and the subsequent compliance with appropriate federal, state, local and foreign statutes and regulations require the expenditure of substantial time and financial resources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in the United States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United States, the FDA regulates drugs under the Federal Food, Drug, and Cosmetic Act (FDCA) and implementing regulations. Failure to comply with the applicable FDA requirements at any time pre- or post-approval may result in a delay of approval or administrative or judicial sanctions. These sanctions could include the FDA's imposition of a clinical hold on trials, refusal to approve pending applications, withdrawal of an approval, issuance of warning or untitled letters, product recalls, product seizures, total or partial suspension of production or distribution, injunctions, fines, civil penalties or criminal prosecution.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vehicle by which FDA approves a new pharmaceutical product for sale and marketing in the United States is a New Drug Application (NDA). The steps ordinarily required before a new drug can be marketed in the U.S. include (a) completion of pre-clinical and clinical studies; (b) submission and FDA acceptance of an Investigational New Drug application (IND), which must become effective before human clinical trials may commence; (c) completion of adequate and well-controlled human clinical trials to establish the safety and efficacy of the product to support each of its proposed indications; (d) submission and FDA acceptance of a NDA; and (e) FDA review and approval of the NDA.</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Pre-clinical tests include laboratory evaluations of product chemistry, toxicity, formulation and stability, as well as animal studies, to assess the potential safety and efficacy of the product. Pre-clinical safety tests must be conducted by laboratories that comply with FDA regulations regarding good laboratory practice. The results of pre-clinical tests are submitted to the FDA as part of an IND and are reviewed by the FDA before the commencement of human clinical trials. Submission of an IND will not necessarily result in FDA authorization to commence clinical trials, and the absence of FDA objection to an IND does not necessarily mean that the FDA will ultimately approve an NDA or that a product candidate otherwise will come to market.</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a qualified principal investigator. Clinical trials must be conducted in accordance with good clinical practices under protocols submitted to the FDA as part of an IND and with patient informed consent. Also, each clinical trial must be approved by an Institutional Review Board (IRB), and is subject to ongoing IRB monitoring.</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Clinical trials are typically conducted in three sequential phases, but the phases may overlap or be combined. Phase I clinical trials may be conducted in patients or healthy volunteers to evaluate the product's safety, dosage tolerance and pharmacokinetics and, if possible, seek to gain an early indication of its effectiveness. Phase II clinical trials usually involve controlled trials in a larger but still relatively small number of subjects from the relevant patient population to evaluate dosage tolerance and appropriate dosage; identify possible short-term adverse effects and safety risks; and provide a preliminary evaluation of the efficacy of the drug for specific indications. Phase III clinical trials are typically conducted in a significantly larger patient population and are intended to further evaluate safety and efficacy, establish the overall risk-benefit profile of the product, and provide an adequate basis for physician labeling.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any of our clinical trials will be completed successfully within any specified time period or at all.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jc w:val="both"/>
        <w:spacing w:after="0" w:line="276" w:lineRule="auto"/>
        <w:rPr>
          <w:sz w:val="20"/>
          <w:szCs w:val="20"/>
          <w:color w:val="auto"/>
        </w:rPr>
      </w:pPr>
      <w:r>
        <w:rPr>
          <w:rFonts w:ascii="Arial" w:cs="Arial" w:eastAsia="Arial" w:hAnsi="Arial"/>
          <w:sz w:val="17"/>
          <w:szCs w:val="17"/>
          <w:color w:val="auto"/>
        </w:rPr>
        <w:t>Either the FDA or we may suspend clinical trials at any time on various grounds, including among other things, if we, the FDA, or our independent DMC conclude that clinical subjects are being exposed to an unacceptable health risk. The FDA inspects and reviews clinical trial sites, informed consent forms, data from the clinical trial sites (including case report forms and record keeping procedures) and the performance of the protocols by clinical trial personnel to determine compliance with good clinical practices. The conduct of clinical trials is complex and difficult, and there can be no assurance that the design or the performance of the pivotal clinical trial protocols of any of our current or future product candidates will be successful.</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pre-clinical studies and clinical trials, if successful, are submitted to FDA in the form of an NDA. The testing and approval process requires substantial time, effort, and financial resources, and there can be no assurance that any approval will be granted for any product at any time, according to any schedule, or at all. The FDA may refuse to accept or approve an application if it determines that applicable regulatory criteria are not satisfied. The FDA may also require additional testing for safety and efficacy. Even, if regulatory approval is granted, the approval will be limited to specific indications. There can be no assurance that any of our current product candidates will receive regulatory approvals for marketing or, if approved, that approval will be for any or all of the indications that we request.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Drug Designation</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 2009, the FDA granted orphan drug designation for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treatment of HCC. Orphan drug designation does not convey any advantage in, or shorten the duration of, the regulatory review and approval process. However, if a product which has an orphan drug designation subsequently receives the first FDA approval for the indication for which it has such designation, the product is entitled to orphan drug exclusivity, which means the FDA may not approve any other application to market the same drug for the same indication for a period of seven years, except in limited circumstances, such as a showing of clinical superiority to the product with orphan exclusivity. Orphan drug designation can also provide opportunities for grant funding towards clinical trial costs, tax advantages and FDA user-fee benefits.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Hatch-Waxman Exclusivity</w:t>
      </w:r>
    </w:p>
    <w:p>
      <w:pPr>
        <w:spacing w:after="0" w:line="27"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The FDCA provides a five-year period of non-patent data exclusivity within the United States to the first applicant to gain approval of an NDA for a new chemical entity. A drug is a new chemical entity if the FDA has not previously approved any other new drug containing the same active moiety. During the exclusivity period, the FDA generally may not accept for review an abbreviated new drug application (ANDA) or a 505(b)(2) NDA submitted by another company that references the previously approved drug. However, an ANDA or 505(b)(2) NDA referencing the new chemical entity may be submitted after four years if it contains a certification of patent invalidity or non-infringement.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Requirements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After FDA approval of a product is obtained, we and our contract manufacturers are required to comply with various post-approval requirements, including establishment registration and product listing, record-keeping requirements, reporting of adverse reactions and production problems to the FDA, providing updated safety and efficacy information, and complying with requirements concerning advertising and promotional labeling. As a condition of approval of an NDA, the FDA may require the applicant to conduct additional clinical trials or other post market testing and surveillance to further monitor and assess the drug's safety and efficacy. The FDA can also impose other post-marketing controls on us as well as our products including, but not limited to, restrictions on sale and use, through the approval process, regulations and otherwise. The FDA also has the authority to require the recall of our products in the event of material deficiencies or defects in manufacture. A governmentally mandated recall, or a voluntary recall by us, could result from a number of events or factors, including component failures, manufacturing errors, instability of product or defects in labeling.</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manufacturing establishments in the U.S. and abroad are subject to periodic inspections by the FDA and must comply with current good manufacturing practices (cGMP). To maintain compliance with cGMP, manufacturers must expend funds, time and effort in the areas of production and quality control.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Outside of the U.S.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regulations in the U.S., we will be subject to regulations of other countries governing any clinical trials and commercial sales and distribution of our product candidates. Whether or not we obtain FDA approval for a product, we must obtain approval by the comparable regulatory authorities of countries outside of the U.S. before we can commence clinical trials in such countries and approval of the regulators of such countries or economic areas, such as the European Union and China, before we may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jc w:val="both"/>
        <w:spacing w:after="0" w:line="291" w:lineRule="auto"/>
        <w:rPr>
          <w:sz w:val="20"/>
          <w:szCs w:val="20"/>
          <w:color w:val="auto"/>
        </w:rPr>
      </w:pPr>
      <w:r>
        <w:rPr>
          <w:rFonts w:ascii="Arial" w:cs="Arial" w:eastAsia="Arial" w:hAnsi="Arial"/>
          <w:sz w:val="16"/>
          <w:szCs w:val="16"/>
          <w:color w:val="auto"/>
        </w:rPr>
        <w:t>Under European Union regulatory systems, a company may submit marketing authorization applications either under a centralized or decentralized procedure. The centralized procedure, which is compulsory for medicines produced by biotechnology or those medicines intended to treat AIDS, cancer, neurodegenerative disorders or diabetes and is optional for those medicines that are highly innovative, provides for the grant of a single marketing authorization that is valid for all European Union member states. The decentralized procedure provides for mutual recognition of national approval decisions. Under this procedure, the holder of a national marketing authorization may submit an application to the remaining member states. Within 90 days of receiving the applications and assessments report, each member state must decide whether to recognize approval. If a member state does not recognize the marketing authorization, the disputed points are eventually referred to the European Commission, whose decision is binding on all member states.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2014, we filed a request for a Voluntary Harmonization Procedure (VHP) in Europe for the OPTIMA Study, which provides for the assessment of multinational clinical trial applications across several European countries, including Germany, Italy and Spain. Our request for a VHP in Europe for the OPTIMA Study was approved on October 23, 2014.</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2011, the European Commission granted orphan drug designation for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for the treatment of HCC in Europe. As established by the EMA, orphan drug designation provides for scientific advice and regulatory assistance from the EMA, direct access to centralized marketing authorization and certain financial incentives, such as reduction of fees associated with pre-authorization inspections and marketing authorization application fees. The orphan drug designation in Europe also provides 10 years of market exclusivity subsequent to product approval.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do not currently own or operate manufacturing facilities for the production of preclinical, clinical or commercial quantities of any of our product candidates. We currently contract with third party contract manufacturing organizations (CMOs) for our preclinical and clinical trial supplies, and we expect to continue to do so to meet the preclinical and any clinical requirements of our product candidates. We have agreements for the supply of such drug materials with manufacturers or suppliers that we believe have sufficient capacity to meet our demands. In addition, we believe that adequate alternative sources for such supplies exist. However, there is a risk that, if supplies are interrupted, it would materially harm our business. We typically order raw materials and services on a purchase order basis and do not enter into long-term dedicated capacity or minimum supply arrangements.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Manufacturing is subject to extensive regulations that impose various procedural and documentation requirements, which govern record keeping, manufacturing processes and controls, personnel, quality control and quality assurance, among others. Our CMOs manufacture our product candidates under current Good Manufacturing Practice (cGMP) conditions. cGMP is a regulatory standard for the production of pharmaceuticals that will be used in humans.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current focus is on the development of our existing portfolio, the completion of clinical trials and, if and where appropriate, the registration of our product candidates. We currently do not have marketing, sales and distribution capabilities. If we receive marketing and commercialization approval for any of our product candidates, we intend to market the product either directly or through strategic alliances and distribution agreements with third parties. The ultimate implementation of our strategy for realizing the financial value of our product candidates is dependent on the results of clinical trials for our product candidates, the availability of regulatory approvals and the ability to negotiate acceptable commercial terms with third parties.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business exposes us to potential product liability risks that are inherent in the testing, manufacturing and marketing of human therapeutic products. We presently have product liability insurance limited to $10 million per incident, and if we were to be subject to a claim in excess of this coverage or to a claim not covered by our insurance and the claim succeeded, we would be required to pay the claim out of our own limited resources.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Competition in the discovery and development of new methods for treating and preventing disease is intense. We face, and will continue to face, intense competition from pharmaceutical and biotechnology companies, as well as academic and research institutions and government agencies both in the U.S. and abroad. We face significant competition from organizations pursuing the same or similar technologies used by us in our drug discovery efforts and from organizations developing pharmaceuticals that are competitive with our product candidates.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Most of our competitors, either alone or together with their collaborative partners, have substantially greater financial resources and larger research and development staffs than we do. In addition, most of these organizations, either alone or together with their collaborators, have significantly greater experience than we do in developing products, undertaking preclinical testing and clinical trials, obtaining FDA and other regulatory approvals of products, and manufacturing and marketing products. Mergers and acquisitions in the pharmaceutical industry may result in even more resources being concentrated among our competitors.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and biotechnology field also depends on the status of our collaborations and on the continuing availability of capital to us.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ThermoDox®</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there are many drugs and devices marketed and under development for the treatment of cancer, the Company is not aware of any other heat activated drug delivery product either being marketed or in human clinical development. In addition, the Company is not aware of any other Phase III clinical trial for the treatment of HCC or primary liver cancer.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w:t>
      </w:r>
    </w:p>
    <w:p>
      <w:pPr>
        <w:spacing w:after="0" w:line="27" w:lineRule="exact"/>
        <w:rPr>
          <w:sz w:val="20"/>
          <w:szCs w:val="20"/>
          <w:color w:val="auto"/>
        </w:rPr>
      </w:pPr>
    </w:p>
    <w:p>
      <w:pPr>
        <w:jc w:val="both"/>
        <w:spacing w:after="0" w:line="187" w:lineRule="auto"/>
        <w:rPr>
          <w:sz w:val="20"/>
          <w:szCs w:val="20"/>
          <w:color w:val="auto"/>
        </w:rPr>
      </w:pPr>
      <w:r>
        <w:rPr>
          <w:rFonts w:ascii="Arial" w:cs="Arial" w:eastAsia="Arial" w:hAnsi="Arial"/>
          <w:sz w:val="18"/>
          <w:szCs w:val="18"/>
          <w:color w:val="auto"/>
        </w:rPr>
        <w:t>Studied indications for GEN-1 include ovarian cancer and glioblastoma multiforme (GBM) brain cancer. In evaluating the competitive landscape for both indications, early stage indications are treated with chemotherapy (temozolomide, BCNU, CCNU for brain cancer; docetaxel, doxil and cisplatinum for ovarian cancer), while later stage ovarian and GBM cancer are treated with Bevacizumab - Avastin</w:t>
      </w:r>
      <w:r>
        <w:rPr>
          <w:rFonts w:ascii="Arial" w:cs="Arial" w:eastAsia="Arial" w:hAnsi="Arial"/>
          <w:sz w:val="30"/>
          <w:szCs w:val="30"/>
          <w:color w:val="auto"/>
          <w:vertAlign w:val="superscript"/>
        </w:rPr>
        <w:t>®</w:t>
      </w:r>
      <w:r>
        <w:rPr>
          <w:rFonts w:ascii="Arial" w:cs="Arial" w:eastAsia="Arial" w:hAnsi="Arial"/>
          <w:sz w:val="18"/>
          <w:szCs w:val="18"/>
          <w:color w:val="auto"/>
        </w:rPr>
        <w:t>, an anti-angiogenesis inhibitor. Avastin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currently also being evaluated for early stage disease.</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In product positioning for both indications, there currently is no direct immunotherapy competitor for GEN-1, which will be studied as an adjuvant to both chemotherapy standard of care regimens, as well as anti-angiogenesis compounds. To support these cases, we have conducted clinical studies in combination with chemotherapy for ovarian cancer, and preclinical studies in combination with both temozolomide and Bevacizumab-Avastin</w:t>
      </w:r>
      <w:r>
        <w:rPr>
          <w:rFonts w:ascii="Arial" w:cs="Arial" w:eastAsia="Arial" w:hAnsi="Arial"/>
          <w:sz w:val="30"/>
          <w:szCs w:val="30"/>
          <w:color w:val="auto"/>
          <w:vertAlign w:val="superscript"/>
        </w:rPr>
        <w:t>®</w:t>
      </w:r>
      <w:r>
        <w:rPr>
          <w:rFonts w:ascii="Arial" w:cs="Arial" w:eastAsia="Arial" w:hAnsi="Arial"/>
          <w:sz w:val="18"/>
          <w:szCs w:val="18"/>
          <w:color w:val="auto"/>
        </w:rPr>
        <w:t>. We plan to initiate a clinical study in platinum resistant ovarian cancer in the second half of 2016.</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Duke University License Agreement</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1999, we entered into a license agreement with Duke University under which we received exclusive rights, subject to certain exceptions, to commercialize and use Duke’s thermo-liposome technology. In relation to these liposome patents licensed from Duke University, we have filed two additional patents related to the formulation and use of liposomes. We have also licensed from Valentis, CA certain global rights covering the use of pegylation for temperature sensitive liposomes.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2003, our obligations under the license agreement with Duke University with respect to the testing and regulatory milestones and other licensed technology performance deadlines were eliminated in exchange for a payment of shares of our common stock. The license agreement continues to be subject to agreements to pay a royalty based upon future sales. In conjunction with the patent holder, we have filed international applications for a certain number of the United States patents.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rights under the license agreement with Duke University extend for the longer of 20 years or the end of any term for which any relevant patents are issued by the United States Patent and Trademark Office. Currently we have rights to Duke’s patent for its thermo-liposome technology in the United States, which expires in 2018, and to future patents received by Duke in Canada, Europe, Japan and Australia, where it has patent applications have been granted. The European grant provides coverage in the European Community. For this technology, our license rights are worldwide, including the United States, Canada, certain European countries, Australia, Hong Kong, and Japan.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Celsion holds an exclusive license agreement with Duke University for its temperature-sensitive liposome technology that covers the ThermoDox® formulation. Celsion's newly issued patents pertain specifically to methods of storing stabilized, temperature-sensitive liposomal formulations and will assist in the protection of global rights. These patents will extend the overall term of the ThermoDox® patent portfolio to 2026. The patents in these three countries are the first in this family, which includes pending applications in the U.S., Europe and additional key commercial geographies in Asia. This extended patent runway to 2026 allows for the evaluation of future development activities for ThermoDox® and Celsion's heat-sensitive liposome technology platform.</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ThermoDox® technology, we either exclusively license or own US and international patents with claims and methods and compositions of matters that cover various aspects of lysolipid thermally-sensitive liposomes technology, with expiration dates ranging from 2019 to 2026.</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TheraPlas™ technology, we own three US and international patent families and related applications with claims and methods and compositions of matters that cover various aspects of TheraPlas™ and GEN-1 technologies, with expiration dates ranging from 2020 to 2028.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TheraSilence™ technology, we own multiple US and international patent families and related applications with claims and methods and compositions of matters that cover various aspects of TheraSilence™ technology, with expiration dates to 2031.</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can be no assurance that an issued patent will remain valid and enforceable in a court of law through the entire patent term. Should the validity of a patent be challenged, the legal process associated with defending the patent can be costly and time consuming. Issued patents can be subject to oppositions, interferences and other third party challenges that can result in the revocation of the patent or maintenance of the patent in amended form (and potentially in a form that renders the patent without commercially relevant or broad coverage). Competitors may be able to circumvent our patents. Development and commercialization of pharmaceutical products can be subject to substantial delays and it is possible that at the time of commercialization any patent covering the product has expired or will be in force for only a short period of time following commercialization. We cannot predict with any certainty if any third party U.S. or foreign patent rights, other proprietary rights, will be deemed infringed by the use of our technology. Nor can we predict with certainty which, if any, of these rights will or may be asserted against us by third parties. Should we need to defend ourselves and our partners against any such claims, substantial costs may be incurred. Furthermore, parties making such claims may be able to obtain injunctive or other equitable relief, which could effectively block our ability to develop or commercialize some or all of our products in the U.S. and abroad, and could result in the award of substantial damages. In the event of a claim of infringement, we or our partners may be required to obtain one or more licenses from a third party. There can be no assurance that we can obtain a license on a reasonable basis should we deem it necessary to obtain rights to an alternative technology that meets our needs. The failure to obtain a license may have a material adverse effect on our business, results of operations and financial condition.</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rights available to us under completed or pending license agreements, we rely on our proprietary know-how and experience in the development and use of heat for medical therapies, which we seek to protect, in part, through proprietary information agreements with employees, consultants and others. There can be no assurance that these proprietary information agreements will not be breached, that we will have adequate remedies for any breach, or that these agreements, even if fully enforced, will be adequate to prevent third-party use of the Company’s proprietary technology. Please refer to “Item 1A, Risk Factors,” including, but not limited to, “We rely on trade secret protection and other unpatented proprietary rights for important proprietary technologies, and any loss of such rights could harm our business, results of operations and financial condition.” Similarly, we cannot guarantee that technology rights licensed to us by others will not be successfully challenged or circumvented by third parties, or that the rights granted will provide us with adequate protection. Please refer to “Item 1A, Risk Factors,” including, but not limited to, “Our business depends on licensing agreements with third parties to permit us to use patented technologies. The loss of any of our rights under these agreements could impair our ability to develop and market our products.”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29, 2016, we employed 25 full-time employees. We also maintain active independent contractor relationships with various individuals, most of whom have month-to-month or annual consulting agreements. None of our employees are covered by a collective bargaining agreement, and we consider our relations with our employees to be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Celsion was founded in 1982 and is a Delaware corporation. Our principal executive offices are located at 997 Lenox Drive, Suite 100, Lawrenceville, NJ 08648. Our telephone number is (609) 896-9100. The Company’s website is </w:t>
      </w:r>
      <w:r>
        <w:rPr>
          <w:rFonts w:ascii="Arial" w:cs="Arial" w:eastAsia="Arial" w:hAnsi="Arial"/>
          <w:sz w:val="18"/>
          <w:szCs w:val="18"/>
          <w:u w:val="single" w:color="auto"/>
          <w:color w:val="auto"/>
        </w:rPr>
        <w:t>www.celsion.com</w:t>
      </w:r>
      <w:r>
        <w:rPr>
          <w:rFonts w:ascii="Arial" w:cs="Arial" w:eastAsia="Arial" w:hAnsi="Arial"/>
          <w:sz w:val="18"/>
          <w:szCs w:val="18"/>
          <w:color w:val="auto"/>
        </w:rPr>
        <w:t>. The information contained in, or that can be accessed through, our website is not part of, and is not incorporated in,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make available free of charge through our website, www.celsion.com, our Annual Report on Form 10-K, Quarterly Reports on Form 10-Q, Current Reports on Form 8-K, and all amendments to those reports as soon as reasonably practicable after such material is electronically filed with or furnished to the Securities and Exchange Commission (the SEC). In addition, our website includes other items related to corporate governance matters, including, among other things, our corporate governance principles, charters of various committees of the Board of Directors, and our code of business conduct and ethics applicable to all employees, officers and directors. We intend to disclose on our internet website any amendments to or waivers from our code of business conduct and ethics as well as any amendments to its corporate governance principles or the charters of various committees of the Board of Directors. Copies of these documents may be obtained, free of charge, from our website. In addition, copies of these documents will be made available free of charge upon written request. The public may read and copy any materials filed with the SEC at the SEC’s Public Reference Room at 100 F Street, NE, Washington, DC 20549. The public may obtain information on the operation of the Public Reference Room by calling the SEC at 1-800-SEC-0330. The SEC also maintains an internet site that contains reports, proxy and information statements and other information regarding issuers that file periodic and other reports electronically with the Securities and Exchange Commission. The address of that site is www.sec.gov. The information available on or through our website is not a part of this Annual Report on Form 10-K and should not be relied upon.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2015 and 2014, we issued a total of 6.9 million shares of common stock in the following equity transactions for an aggregate $23.6 million in gross proceeds. On October 28, 2013, we effected a 4.5-to-1 reverse stock split of our common stock. Unless otherwise expressly stated, the share and per share data in this section and elsewhere in this Annual Report on Form 10-K have been adjusted to reflect the reverse stock split.</w:t>
      </w:r>
    </w:p>
    <w:p>
      <w:pPr>
        <w:spacing w:after="0" w:line="166" w:lineRule="exact"/>
        <w:rPr>
          <w:sz w:val="20"/>
          <w:szCs w:val="20"/>
          <w:color w:val="auto"/>
        </w:rPr>
      </w:pPr>
    </w:p>
    <w:p>
      <w:pPr>
        <w:jc w:val="both"/>
        <w:ind w:left="860" w:right="320" w:hanging="420"/>
        <w:spacing w:after="0" w:line="264" w:lineRule="auto"/>
        <w:tabs>
          <w:tab w:leader="none" w:pos="860" w:val="left"/>
        </w:tabs>
        <w:numPr>
          <w:ilvl w:val="1"/>
          <w:numId w:val="9"/>
        </w:numPr>
        <w:rPr>
          <w:rFonts w:ascii="Arial" w:cs="Arial" w:eastAsia="Arial" w:hAnsi="Arial"/>
          <w:sz w:val="18"/>
          <w:szCs w:val="18"/>
          <w:color w:val="auto"/>
        </w:rPr>
      </w:pPr>
      <w:r>
        <w:rPr>
          <w:rFonts w:ascii="Arial" w:cs="Arial" w:eastAsia="Arial" w:hAnsi="Arial"/>
          <w:sz w:val="18"/>
          <w:szCs w:val="18"/>
          <w:color w:val="auto"/>
        </w:rPr>
        <w:t>On January 15, 2014, we entered into a Securities Purchase Agreement with certain institutional investors, pursuant to which the Company sold, in a registered offering, an aggregate of 3,603,604 shares of its common stock and warrants to purchase up to 1,801,802 shares of common stock, for an aggregate purchase price of approximately $15.0 million.</w:t>
      </w:r>
    </w:p>
    <w:p>
      <w:pPr>
        <w:spacing w:after="0" w:line="181" w:lineRule="exact"/>
        <w:rPr>
          <w:rFonts w:ascii="Arial" w:cs="Arial" w:eastAsia="Arial" w:hAnsi="Arial"/>
          <w:sz w:val="18"/>
          <w:szCs w:val="18"/>
          <w:color w:val="auto"/>
        </w:rPr>
      </w:pPr>
    </w:p>
    <w:p>
      <w:pPr>
        <w:jc w:val="both"/>
        <w:ind w:left="840" w:right="320" w:hanging="413"/>
        <w:spacing w:after="0" w:line="259"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May 27, 2015, the Company entered into a Securities Purchase Agreement with certain institutional investors, pursuant to which the Company sold, in a registered direct offering, an aggregate of 3,000,000 shares of common stock, for an aggregate purchase price of approximately $8.0 million. In a concurrent private placement, the Company issued to the same investors warrants to purchase up to 1,950,000 shares of common stock.</w:t>
      </w:r>
    </w:p>
    <w:p>
      <w:pPr>
        <w:spacing w:after="0" w:line="163" w:lineRule="exact"/>
        <w:rPr>
          <w:rFonts w:ascii="Arial" w:cs="Arial" w:eastAsia="Arial" w:hAnsi="Arial"/>
          <w:sz w:val="18"/>
          <w:szCs w:val="18"/>
          <w:color w:val="auto"/>
        </w:rPr>
      </w:pPr>
    </w:p>
    <w:p>
      <w:pPr>
        <w:jc w:val="both"/>
        <w:ind w:left="840" w:right="280" w:hanging="413"/>
        <w:spacing w:after="0" w:line="250" w:lineRule="auto"/>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are a party 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(ATM) dated as of February 1, 2013 with Cantor Fitzgerald &amp; Co., pursuant to which we may sell additional shares of our common stock having an aggregate offering price of up to $25 million through “at-the-market” equity offerings from time to time. From February 1, 2013 through February 25, 2013, the Company sold and issued an aggregate of 1,195,927 shares of common stock under the ATM, receiving approximately $6.8 million in net proceeds. The Company did not have any sales under the ATM from February 25, 2013 through September 30, 2015. On October 2, 2015, the Company filed a prospectus supplement whereby it registered $7.5 million of the remaining availability under the ATM. During the fourth quarter of 2015, the Company sold an aggregate of 283,608 shares for gross proceeds of $0.6 million.</w:t>
      </w:r>
    </w:p>
    <w:p>
      <w:pPr>
        <w:spacing w:after="0" w:line="19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On June 20, 2014, we completed the acquisition of substantially all of the assets of EGEN, Inc. At the closing, we paid approximately $3.0 million in cash and issued 2,712,188 shares of its common stock to EGEN. In addition, 670,070 shares of common stock are issuable to EGEN on or after August 2, 2016 pending satisfactory resolution of any post-closing adjustments of expenses and EGEN’s indemnification obligations under the EGEN Purchase Agreement</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we entered into a loan agreement on November 25, 2013 with Hercules Technology Growth Capital, Inc. (Hercules), pursuant to which we may borrow a secured term loan of up to $20 million in multiple tranches (the Hercules Credit Agreement). The loan bears interest at a floating per annum rate equal to the greater of (i) 11.25 percent and (ii) the sum of 11.25 percent plus the prime rate minus 3.25 percent. Payments under the loan agreement are interest only for the first twelve months after loan closing, followed by a 30-month amortization period of principal and interest through the scheduled maturity date. We drew the first tranche of $5 million on November 25, 2013 and may request, subject to Hercules’ consent in its sole discretion, an additional $15 million in up to three advances with each advance in a minimum amount of $5 million before June 30, 2014 unless extended upon Hercules’ consent. We used approximately $4 million of the first tranche to repay the outstanding obligations under a loan agreement with Oxford Finance LLC and Horizon Technology Finance Corporation. On June 9, 2014, we borrowed an additional $5 million and used the loan proceeds to pay the upfront cash payment to EGEN at closing and certain transaction related costs incurred in connection with the acquisition.</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that our cash and investment resources of $20.1 million on hand at December 31, 2015, coupled with the remaining availability of $17.4 million under the ATM, are sufficient to fund operations into the second quarter of 2017.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To complete the development and commercialization of our products, we will need to raise substantial amounts of additional capital to fund our operations. We do not have any committed sources of financing and cannot give assurance that alternate funding will be available in a timely manner, on acceptable terms or at all. We may need to pursue dilutive equity financings, such as the issuance of shares of common stock, preferred stock, convertible debt or other convertible or exercisable securities, which financings could dilute the percentage ownership of our current common stockholders and could significantly lower the market value of our common stock.</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7, 2016, we reported translational research data from our Phase Ib study of GEN-1 immunotherapy in recurrent ovarian cancer. The translational research data indicate that intraperitoneally-administered GEN-1 produces an immunologically distinct IL-12 protein that is localized at the tumor site and lasts for up to one week after a single treatment. Furthermore, concomitant increases in IFN-ã and TNF- á indicate that the IL-12 produced following treatment with GEN-1 treatment is immunologically active. The translational research data is highlighted below:</w:t>
      </w:r>
    </w:p>
    <w:p>
      <w:pPr>
        <w:spacing w:after="0" w:line="171" w:lineRule="exact"/>
        <w:rPr>
          <w:sz w:val="20"/>
          <w:szCs w:val="20"/>
          <w:color w:val="auto"/>
        </w:rPr>
      </w:pPr>
    </w:p>
    <w:p>
      <w:pPr>
        <w:jc w:val="both"/>
        <w:ind w:left="800" w:hanging="333"/>
        <w:spacing w:after="0" w:line="264"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Intraperitoneal administration of GEN-1 in platinum-resistant ovarian cancer patients resulted in a significant increase in IL-12 levels in peritoneal fluid samples. IL-12 levels were quantifiable in 91% of evaluable fluid samples collected post GEN-1 treatment. None of the evaluable pre-treatment peritoneal fluid samples had any detectable IL-12 levels;</w:t>
      </w:r>
    </w:p>
    <w:p>
      <w:pPr>
        <w:spacing w:after="0" w:line="181" w:lineRule="exact"/>
        <w:rPr>
          <w:rFonts w:ascii="Arial" w:cs="Arial" w:eastAsia="Arial" w:hAnsi="Arial"/>
          <w:sz w:val="18"/>
          <w:szCs w:val="18"/>
          <w:color w:val="auto"/>
        </w:rPr>
      </w:pPr>
    </w:p>
    <w:p>
      <w:pPr>
        <w:ind w:left="800" w:hanging="333"/>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IL-12 levels were detectable for at least seven days after GEN-1 treatment;</w:t>
      </w:r>
    </w:p>
    <w:p>
      <w:pPr>
        <w:spacing w:after="0" w:line="225" w:lineRule="exact"/>
        <w:rPr>
          <w:rFonts w:ascii="Arial" w:cs="Arial" w:eastAsia="Arial" w:hAnsi="Arial"/>
          <w:sz w:val="18"/>
          <w:szCs w:val="18"/>
          <w:color w:val="auto"/>
        </w:rPr>
      </w:pPr>
    </w:p>
    <w:p>
      <w:pPr>
        <w:ind w:left="800" w:right="20" w:hanging="333"/>
        <w:spacing w:after="0" w:line="277"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comparison to peritoneal fluid, the IL-12 levels in plasma samples (systemic exposure) following GEN-1 treatment were not detectable or were very low in quantity;</w:t>
      </w:r>
    </w:p>
    <w:p>
      <w:pPr>
        <w:spacing w:after="0" w:line="170" w:lineRule="exact"/>
        <w:rPr>
          <w:rFonts w:ascii="Arial" w:cs="Arial" w:eastAsia="Arial" w:hAnsi="Arial"/>
          <w:sz w:val="18"/>
          <w:szCs w:val="18"/>
          <w:color w:val="auto"/>
        </w:rPr>
      </w:pPr>
    </w:p>
    <w:p>
      <w:pPr>
        <w:jc w:val="both"/>
        <w:ind w:left="800" w:hanging="333"/>
        <w:spacing w:after="0" w:line="286" w:lineRule="auto"/>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Significant increases in levels of IFN-ã, a key downstream mediator of IL-12 action, were observed in peritoneal fluid but not in plasma samples. At least a 5-fold increase above pre-treatment level in IFN- ã was observed in most samples, with the highest increase observed at 120-fold. Similar results were observed with TNF-á levels, with the highest increase observed at 77-fold over pre-treatment control; and</w:t>
      </w:r>
    </w:p>
    <w:p>
      <w:pPr>
        <w:spacing w:after="0" w:line="16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We are providing the following cautionary discussion of risk factors, uncertainties and assumptions that we believe are relevant to our business. These are factors that, individually or in the aggregate, we think could cause our actual results to differ significantly from expected or historical results and our forward-looking statements. We note these factors for investors as permitted by Section 21E of the Securities Exchange Act of 1934, as amended (Exchange Act), and Section 27A of the Securities Act of 1933, as amended (Securities Act). You should understand that it is not possible to predict or identify all such factors. Consequently, you should not consider the following to be a complete discussion of all potential risks or uncertainties that may impact our business.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significant losses from operations and expect to continue to incur significant losses for the foreseeable future.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Since our inception, our expenses have substantially exceeded our revenue, resulting in continuing losses and an accumulated deficit of $218 million at December 31, 2015. For the years ended December 31, 2013, 2014 and 2015, we incurred a net loss of $8.3 million, $25.5 million and $22.5 million, respectively. We currently have no product revenue and do not expect to generate any product revenue for the foreseeable future other than through the sale of our proprietary reagent products for life science research, which products are based on our newly acquired proprietary delivery platform technologies, TheraPlas™ and TheraSilence™. Because we are committed to continuing our product research, development, clinical trial and commercialization programs, we will continue to incur significant operating losses unless and until we complete the development of ThermoDox®, GEN-1 and other new product candidates and these product candidates have been clinically tested, approved by the U.S. Food and Drug Administration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establishing a sales and marketing organization or suitable third 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jc w:val="both"/>
        <w:spacing w:after="0" w:line="282"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Our lead drug candidate failed to meets its primary endpoint in the Phase III HEAT study.</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31, 2013, we announced that our lead product ThermoDox® in combination with radiofrequency ablation (RFA) failed to meet the primary endpoint of the Phase III clinical trial for primary liver cancer, known as the HEAT study. We have not completed our final analysis of the data and do not know the extent to which, if any, the failure of ThermoDox® to meet its primary endpoint in the Phase III trial could impact our other ongoing studies of ThermoDox® including a pivotal, double-blind, placebo-controlled Phase III trial of ThermoDox® in combination with RFA in primary liver cancer, known as the OPTIMA study, which we launched in the first half of 2014. The trial design of the OPTIMA study is based on the overall survival data from the post-hoc analysis of results from the HEAT study. ThermoDox® is also being evaluated in a Phase II clinical trial for recurrent chest wall breast cancer and other preclinical studies. In addition, we have initiated a Phase I dose-escalation clinical trial of GEN-1 in combination with the standard of care in neo-adjuvant ovarian cancer, known as the OVATION Study, and plan to expand our ovarian cancer development program to include a Phase I dose escalating trial evaluating GEN-1 in combination with Avastin® and Doxil® in platinum-resistant ovarian cancer patients.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inherently risky and clinical trials take us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69" w:lineRule="exact"/>
        <w:rPr>
          <w:sz w:val="20"/>
          <w:szCs w:val="20"/>
          <w:color w:val="auto"/>
        </w:rPr>
      </w:pPr>
    </w:p>
    <w:p>
      <w:pPr>
        <w:jc w:val="both"/>
        <w:ind w:right="380"/>
        <w:spacing w:after="0" w:line="266"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The testing and approval process requires substantial time, effort and resources, and generally takes a number of years to complete. The time to complete testing and obtaining approvals is uncertain, and the FDA and foreign regulatory agencies have substantial discretion, at any phase of development, to terminate clinical studies, require additional clinical studies or other testing, delay or withhold approval, and mandate product withdrawals, including recalls. In addition, our drug candidates may have undesirable side effects or other unexpected characteristics that could cause us or regulatory authorities to interrupt, delay or halt clinical trials and could result in a more restricted label or the delay or denial of regulatory approval by regulatory authorities. Even if we receive regulatory approval of a product, the approval may limit the indicated uses for which the drug may be marketed. The failure to obtain timely regulatory approval of product candidates, the imposition of marketing limitations, or a product withdrawal would negatively impact our business, results of operations and financial condition.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We do not expect to generate revenue for the foreseeable future.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devoted our resources to developing a new generation of products and will not be able to market these products until we have completed clinical trials and obtain all necessary governmental approvals. Our lead product candidate, ThermoDox® and the product candidates we purchased in our acquisition of EGEN, including GEN-1, are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continued to follow the patients enrolled in the HEAT Study to the secondary endpoint, overall survival. Based on the overall survival data from the post-hoc analysis of results from the HEAT Study, we launched a pivotal, double-blind, placebo-controlled Phase III trial of ThermoDox® in combination with RFA in primary liver cancer, known as the OPTIMA Study, in the first half of 2014. ThermoDox® is currently also being evaluated in a Phase II clinical trial for the treatment of recurrent chest wall breast cancer, known as the DIGNITY Study, and other preclinical studies. GEN-1 is currently in an early stage of clinical development for the treatment of ovarian cancer. We initiated a Phase I dose-escalation clinical trial of GEN-1 in combination with the standard of care in neo-adjuvant ovarian cancer in the second half of 2015 and plan to expand our ovarian cancer development program to include a Phase I dose escalating trial evaluating GEN-1 in combination with Avastin® and Doxil® in platinum-resistant ovarian cancer patients. The delivery technology platforms, TheraPlas™ and TheraSilence™, are in preclinical stages of development. Accordingly, our revenue sources are, and will remain, extremely limited until our product candidates are clinically tested, approved by the FDA or foreign regulatory agencies and successfully marketed. We cannot guarantee that any of our product candidates will be approved by the FDA or any foreign regulatory agency or marketed, successfully or otherwise, at any time in the foreseeable future or at all.</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will need to raise substantial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of December 31, 2015, we had approximately $20.1 million in cash, cash equivalents and short-term investments. We have substantial future capital requirements to continue our research and development activities and advance our drug candidates through various development stages, including the product candidates and technology platforms that we purchased from EGEN in June 2014. For example, ThermoDox® is being evaluated in a Phase III clinical trial in combination with RFA for the treatment of primary liver cancer, a Phase II clinical trial for the treatment of recurrent chest wall breast cancer and other preclinical studies. We initiated a Phase I dose-escalation clinical trial of GEN-1 in combination with the standard of care in neo-adjuvant ovarian cancer in the second half of 2015 and plan to expand our ovarian cancer development program to include a Phase I dose escalating trial evaluating GEN-1 in combination with Avastin® and Doxil® in platinum-resistant ovarian cancer patients. We will continue to conduct additional analyses of the data from the HEAT study to assess the future strategic value of ThermoDox® and are performing sub-group analysis of the Chinese cohort of patients in the HEAT study and other activities for further development of ThermoDox® for mainland China, Hong Kong and Macau. 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we are unable to obtain additional capital on a timely basis or on acceptable terms,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 w:name="page28"/>
    <w:bookmarkEnd w:id="27"/>
    <w:p>
      <w:pPr>
        <w:jc w:val="both"/>
        <w:spacing w:after="0" w:line="313" w:lineRule="auto"/>
        <w:rPr>
          <w:sz w:val="20"/>
          <w:szCs w:val="20"/>
          <w:color w:val="auto"/>
        </w:rPr>
      </w:pPr>
      <w:r>
        <w:rPr>
          <w:rFonts w:ascii="Arial" w:cs="Arial" w:eastAsia="Arial" w:hAnsi="Arial"/>
          <w:sz w:val="17"/>
          <w:szCs w:val="17"/>
          <w:b w:val="1"/>
          <w:bCs w:val="1"/>
          <w:color w:val="auto"/>
        </w:rPr>
        <w:t>Failure to successfully integrate the assets we acquired from EGEN in June 2014 into our operations could adversely affect our ability to develop and commercialize product candidates or negatively impact our business, results of operations and financial conditions.</w:t>
      </w:r>
    </w:p>
    <w:p>
      <w:pPr>
        <w:spacing w:after="0" w:line="1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20, 2014, we completed the acquisition of substantially all of the assets of EGEN, a privately-held biopharmaceutical company focused on the development of nucleic acid-based therapeutics for the treatment of cancer and other difficult to treat diseases. The acquisition included EGEN’s Phase Ib DNA-based immunotherapy product candidate GEN-1 (formerly known as EGEN-001) and its therapeutic platform technologies, TheraPlas™ for delivery of DNA and mRNA, and TheraSilence™ for delivery of RNA. The success of the EGEN acquisition, including the realization of anticipated benefits and cost savings, will depend, in part, on our ability to combine successfully the business we acquired from EGEN with the business of Celsion. Our integration of the acquired operations and product candidates requires significant efforts, including the coordination of research and development, manufacturing, finance, information technologies and management and administration. These integration efforts will result in additional expenses and require significant time and dedication from management, and may divert management attention and resources. The integration may be more difficult, costly or time consuming than expected. It is possible that the integration process could result in the loss of key employees or the disruption of our ongoing business or that the alignment of standards, controls, procedures and policies may adversely affect the combined company’s ability to maintain relationships with suppliers, manufacturers, other vendors or employees or to fully achieve the anticipated benefits and cost savings of the transaction.</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the EGEN acquisition may result in our assumption of material unknown or unexpected liabilities. If we experience difficulties with the integration process, the anticipated benefits of the transaction may not be realized fully or at all, or may take longer to realize than expected to materialize. Factors that will affect the success of the acquisition include our ability to execute our business strategy, results of clinical trials and regulatory approvals related to the acquired product candidates and platform technologies, our ability to adequately fund acquired in-process research and development projects and retain key employees, as well as our ability to achieve financial and operational synergies with the acquired business, such as by achieving cost savings and effectively developing product candidates. Our failure to successfully manage and coordinate the growth of our newly acquired business could have a material adverse impact on our business, results of operations and financial condition. In addition, we cannot be certain that the product candidates we acquired will be approved for marketing and commercialization, become profitable or remain so or that we will realize operational cost savings or other expected synergies of the acquisition. If the acquisition and integration are not successful, we may record related asset impairment charges in the future.</w:t>
      </w:r>
    </w:p>
    <w:p>
      <w:pPr>
        <w:spacing w:after="0" w:line="163"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We may not successfully engage in future strategic transactions, which could adversely affect our ability to develop and commercialize product candidates, impact our cash position, increase our expense and present significant distractions to our management.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future, we may consider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Strategic transactions, such as acquisitions, partnerships and collaborations, including the EGEN acquisition, involve numerous risks, including:</w:t>
      </w:r>
    </w:p>
    <w:p>
      <w:pPr>
        <w:spacing w:after="0" w:line="225" w:lineRule="exact"/>
        <w:rPr>
          <w:sz w:val="20"/>
          <w:szCs w:val="20"/>
          <w:color w:val="auto"/>
        </w:rPr>
      </w:pPr>
    </w:p>
    <w:p>
      <w:pPr>
        <w:ind w:left="340" w:hanging="10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failure of markets for the products of acquired businesses, technologies or product lines to develop as expected;</w:t>
      </w:r>
    </w:p>
    <w:p>
      <w:pPr>
        <w:spacing w:after="0" w:line="225" w:lineRule="exact"/>
        <w:rPr>
          <w:rFonts w:ascii="Arial" w:cs="Arial" w:eastAsia="Arial" w:hAnsi="Arial"/>
          <w:sz w:val="18"/>
          <w:szCs w:val="18"/>
          <w:color w:val="auto"/>
        </w:rPr>
      </w:pPr>
    </w:p>
    <w:p>
      <w:pPr>
        <w:ind w:left="340" w:hanging="10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uncertainties in identifying and pursuing acquisition targets;</w:t>
      </w:r>
    </w:p>
    <w:p>
      <w:pPr>
        <w:spacing w:after="0" w:line="225" w:lineRule="exact"/>
        <w:rPr>
          <w:rFonts w:ascii="Arial" w:cs="Arial" w:eastAsia="Arial" w:hAnsi="Arial"/>
          <w:sz w:val="18"/>
          <w:szCs w:val="18"/>
          <w:color w:val="auto"/>
        </w:rPr>
      </w:pPr>
    </w:p>
    <w:p>
      <w:pPr>
        <w:ind w:left="340" w:hanging="10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225" w:lineRule="exact"/>
        <w:rPr>
          <w:rFonts w:ascii="Arial" w:cs="Arial" w:eastAsia="Arial" w:hAnsi="Arial"/>
          <w:sz w:val="18"/>
          <w:szCs w:val="18"/>
          <w:color w:val="auto"/>
        </w:rPr>
      </w:pPr>
    </w:p>
    <w:p>
      <w:pPr>
        <w:ind w:left="240" w:right="140" w:hanging="2"/>
        <w:spacing w:after="0" w:line="277" w:lineRule="auto"/>
        <w:tabs>
          <w:tab w:leader="none" w:pos="3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 that the financial returns on acquisitions will not support the expenditures incurred to acquire such businesses or the capital expenditures needed to develop such businesses;</w:t>
      </w:r>
    </w:p>
    <w:p>
      <w:pPr>
        <w:spacing w:after="0" w:line="170" w:lineRule="exact"/>
        <w:rPr>
          <w:rFonts w:ascii="Arial" w:cs="Arial" w:eastAsia="Arial" w:hAnsi="Arial"/>
          <w:sz w:val="18"/>
          <w:szCs w:val="18"/>
          <w:color w:val="auto"/>
        </w:rPr>
      </w:pPr>
    </w:p>
    <w:p>
      <w:pPr>
        <w:ind w:left="340" w:hanging="10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assimilating the acquired businesses, technologies or product lines;</w:t>
      </w:r>
    </w:p>
    <w:p>
      <w:pPr>
        <w:spacing w:after="0" w:line="225" w:lineRule="exact"/>
        <w:rPr>
          <w:rFonts w:ascii="Arial" w:cs="Arial" w:eastAsia="Arial" w:hAnsi="Arial"/>
          <w:sz w:val="18"/>
          <w:szCs w:val="18"/>
          <w:color w:val="auto"/>
        </w:rPr>
      </w:pPr>
    </w:p>
    <w:p>
      <w:pPr>
        <w:ind w:left="240" w:right="140" w:hanging="2"/>
        <w:spacing w:after="0" w:line="277" w:lineRule="auto"/>
        <w:tabs>
          <w:tab w:leader="none" w:pos="3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failure to successfully manage additional business locations, including the additional infrastructure and resources necessary to support and integrate such locations;</w:t>
      </w:r>
    </w:p>
    <w:p>
      <w:pPr>
        <w:spacing w:after="0" w:line="170" w:lineRule="exact"/>
        <w:rPr>
          <w:rFonts w:ascii="Arial" w:cs="Arial" w:eastAsia="Arial" w:hAnsi="Arial"/>
          <w:sz w:val="18"/>
          <w:szCs w:val="18"/>
          <w:color w:val="auto"/>
        </w:rPr>
      </w:pPr>
    </w:p>
    <w:p>
      <w:pPr>
        <w:ind w:left="240" w:right="140" w:hanging="2"/>
        <w:spacing w:after="0" w:line="277" w:lineRule="auto"/>
        <w:tabs>
          <w:tab w:leader="none" w:pos="3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spacing w:after="0" w:line="170" w:lineRule="exact"/>
        <w:rPr>
          <w:rFonts w:ascii="Arial" w:cs="Arial" w:eastAsia="Arial" w:hAnsi="Arial"/>
          <w:sz w:val="18"/>
          <w:szCs w:val="18"/>
          <w:color w:val="auto"/>
        </w:rPr>
      </w:pPr>
    </w:p>
    <w:p>
      <w:pPr>
        <w:ind w:left="340" w:hanging="10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rFonts w:ascii="Arial" w:cs="Arial" w:eastAsia="Arial" w:hAnsi="Arial"/>
          <w:sz w:val="18"/>
          <w:szCs w:val="18"/>
          <w:color w:val="auto"/>
        </w:rPr>
      </w:pPr>
    </w:p>
    <w:p>
      <w:pPr>
        <w:ind w:left="340" w:hanging="10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entering markets or conducting operations with which we have no or limited direct prior experience;</w:t>
      </w:r>
    </w:p>
    <w:p>
      <w:pPr>
        <w:spacing w:after="0" w:line="225" w:lineRule="exact"/>
        <w:rPr>
          <w:rFonts w:ascii="Arial" w:cs="Arial" w:eastAsia="Arial" w:hAnsi="Arial"/>
          <w:sz w:val="18"/>
          <w:szCs w:val="18"/>
          <w:color w:val="auto"/>
        </w:rPr>
      </w:pPr>
    </w:p>
    <w:p>
      <w:pPr>
        <w:ind w:left="340" w:hanging="10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assuming the legal obligations of acquired businesses, technologies or product lines;</w:t>
      </w:r>
    </w:p>
    <w:p>
      <w:pPr>
        <w:spacing w:after="0" w:line="225" w:lineRule="exact"/>
        <w:rPr>
          <w:rFonts w:ascii="Arial" w:cs="Arial" w:eastAsia="Arial" w:hAnsi="Arial"/>
          <w:sz w:val="18"/>
          <w:szCs w:val="18"/>
          <w:color w:val="auto"/>
        </w:rPr>
      </w:pPr>
    </w:p>
    <w:p>
      <w:pPr>
        <w:ind w:left="240" w:right="140" w:hanging="2"/>
        <w:spacing w:after="0" w:line="277" w:lineRule="auto"/>
        <w:tabs>
          <w:tab w:leader="none" w:pos="3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the effect that internal control processes of acquired businesses might have on our financial reporting and management’s report on our internal control over financial reporting;</w:t>
      </w:r>
    </w:p>
    <w:p>
      <w:pPr>
        <w:spacing w:after="0" w:line="170" w:lineRule="exact"/>
        <w:rPr>
          <w:rFonts w:ascii="Arial" w:cs="Arial" w:eastAsia="Arial" w:hAnsi="Arial"/>
          <w:sz w:val="18"/>
          <w:szCs w:val="18"/>
          <w:color w:val="auto"/>
        </w:rPr>
      </w:pPr>
    </w:p>
    <w:p>
      <w:pPr>
        <w:ind w:left="340" w:hanging="10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loss of key employees related to acquired businesses, technologies or product lines; and</w:t>
      </w:r>
    </w:p>
    <w:p>
      <w:pPr>
        <w:spacing w:after="0" w:line="225" w:lineRule="exact"/>
        <w:rPr>
          <w:rFonts w:ascii="Arial" w:cs="Arial" w:eastAsia="Arial" w:hAnsi="Arial"/>
          <w:sz w:val="18"/>
          <w:szCs w:val="18"/>
          <w:color w:val="auto"/>
        </w:rPr>
      </w:pPr>
    </w:p>
    <w:p>
      <w:pPr>
        <w:ind w:left="340" w:hanging="10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incurrence of significant exit charges if products or technologies acquired in business combinations are unsuccessful.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never realize the perceived benefits of the EGEN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acquisition or potential future transactions.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others’ claimed proprietary rights.</w:t>
      </w:r>
    </w:p>
    <w:p>
      <w:pPr>
        <w:spacing w:after="0" w:line="17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If any of our pending patent applications do not issue, or are deemed invalid following issuance, we may lose valuable intellectual property protection.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issued will be held valid and enforceable in a court of law through the entire patent term. Even for patents that are held valid and enforceable, the legal process associated with obtaining such a judgment is time 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and/or substantial cost to us.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filed patent applications, and plan to file additional patent applications, covering various aspects of our technologies and our proprietary product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jc w:val="both"/>
        <w:spacing w:after="0" w:line="282"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 party patent holder may assert a claim of patent infringement against us in the future. Alternatively, we may initiate litigation against the third 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do not independently conduct clinical trials for our drug candidates. We rely, and expect to continue to rely, on third-party clinical investigators, clinical research organizations (CROs), clinical data management organizations and consultants to design, conduct, supervise and monitor our clinical trials.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we do not conduct our own clinical trials, we must rely on the efforts of others and have reduced control over aspects of these activities, including, the timing of such trials, the costs associated with such trials and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Despite our reliance on third parties to conduct our clinical trials, we are ultimately responsible for ensuring that each of our clinical trials is conducted in accordance with the general investigational plan and protocols for the trial. Moreover, the FDA requires clinical trials to be conducted in accordance with good clinical practices for conducting, recording and reporting the results of clinical trials to assure that data and reported results are credible and accurate and that the rights, integrity and confidentiality of clinical trial participants are protected. We also are required to register ongoing clinical trials and post the results of completed clinical trials on a government-sponsored database, </w:t>
      </w:r>
      <w:r>
        <w:rPr>
          <w:rFonts w:ascii="Arial" w:cs="Arial" w:eastAsia="Arial" w:hAnsi="Arial"/>
          <w:sz w:val="17"/>
          <w:szCs w:val="17"/>
          <w:b w:val="1"/>
          <w:bCs w:val="1"/>
          <w:i w:val="1"/>
          <w:iCs w:val="1"/>
          <w:u w:val="single" w:color="auto"/>
          <w:color w:val="auto"/>
        </w:rPr>
        <w:t>ClinicalTrials.gov</w:t>
      </w:r>
      <w:r>
        <w:rPr>
          <w:rFonts w:ascii="Arial" w:cs="Arial" w:eastAsia="Arial" w:hAnsi="Arial"/>
          <w:sz w:val="17"/>
          <w:szCs w:val="17"/>
          <w:color w:val="auto"/>
        </w:rPr>
        <w:t>, within certain timeframes. Failure to do so can result in fines, adverse publicity and civil and criminal sanctions. Our reliance on third parties that we do not control does not relieve us of these responsibilities and requirements. If we or a third party we rely on fails to meet these requirements, we may not be able to obtain, or may be delayed in obtaining, marketing authorizations for our drug candidates and will not be able to, or may be delayed in our efforts to, successfully commercialize our drug candidates. This could have a material adverse effect on our business, financial condition, results of operations and prospects.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jc w:val="both"/>
        <w:spacing w:after="0" w:line="282" w:lineRule="auto"/>
        <w:rPr>
          <w:sz w:val="20"/>
          <w:szCs w:val="20"/>
          <w:color w:val="auto"/>
        </w:rPr>
      </w:pPr>
      <w:r>
        <w:rPr>
          <w:rFonts w:ascii="Arial" w:cs="Arial" w:eastAsia="Arial" w:hAnsi="Arial"/>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 w:name="page33"/>
    <w:bookmarkEnd w:id="32"/>
    <w:p>
      <w:pPr>
        <w:ind w:right="140"/>
        <w:spacing w:after="0" w:line="282" w:lineRule="auto"/>
        <w:rPr>
          <w:sz w:val="20"/>
          <w:szCs w:val="20"/>
          <w:color w:val="auto"/>
        </w:rPr>
      </w:pPr>
      <w:r>
        <w:rPr>
          <w:rFonts w:ascii="Arial" w:cs="Arial" w:eastAsia="Arial" w:hAnsi="Arial"/>
          <w:sz w:val="18"/>
          <w:szCs w:val="18"/>
          <w:b w:val="1"/>
          <w:b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part of our business strategy, we may seek Orphan Drug Designation for our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Even after an orphan product is approved, the FDA can subsequently approve the same drug with the same active moiety for the same condition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changes affecting the healthcare industry could adversely affect our business.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Political, economic and regulatory influences are subjecting the healthcare industry to potential fundamental changes that could substantially affect our results of operations. There have been a number of government and private sector initiatives during the last few years to limit the growth of healthcare costs, including price regulation, competitive pricing, coverage and payment policies, comparative effectiveness of therapies, technology assessments and managed-care arrangements. It is uncertain whether or when any legislative proposals will be adopted or what actions federal, state, or private payors for health care treatment and services may take in response to any healthcare reform proposals or legislation. We cannot predict the effect healthcare reforms may have on our business and we can offer no assurances that any of these reforms will not have a material adverse effect on our business. In addition, uncertainty remains regarding proposed significant reforms to the U.S. health care system.</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commercialize our new cancer treatment systems successfully will depend in part on the extent to which reimbursement for the costs of such products and related treatments will be available from government health administration authorities, private health insurers and other third-party payors. The reimbursement status of newly approved medical products is subject to significant uncertainty. We cannot guarantee that adequate third-party insurance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by the FDA.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payors as clinically useful, cost effective and safe. Any or our drug candidates may prove not to be effective in practice. Our testing and clinical practice may not confirm the safety and efficacy of our product candidates or even if further testing and clinical practice produce positive results, the medical community may view these new forms of treatment as effective and desirable or our efforts to market our new products may fail. Market acceptance depends upon physicians and hospitals obtaining adequate reimbursement rates from third-party payors to make our products commercially viable. Any of these factors could have an adverse effect on our business, financial condition and results of operations.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6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17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 candidates and business, including those purchased in the EGEN acquisition.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depends significantly on the continued contributions of our executive officers, scientific and technical personnel and consultants, including those retained in the EGEN acquisition, and on our ability to attract additional personnel as we seek to implement our business strategy and develop our product candidates and businesses. Our operations associated with the EGEN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United States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trading price for our common stock has been, and we expect it to continue to be, volatile. Our January 31, 2013 announcement that the HEAT study failed to meet its primary endpoint has resulted in significant volatility and a steep decline in the price of our common stock, a level of decline that could result in securities litigation. Plaintiffs’ securities litigation firms have publicly announced that they are investigating potential securities fraud claims that they may wish to make against us.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$3.15 and a low price of $1.65 in the 52-week period ended December 31, 2015 and a high price of $1.93 and a low price of $1.08 from January 2, 2016 through March 29, 2016. Among the factors that may cause the market price of our common stock to fluctuate are the risks described in this “Risk Factors” section and other factors, including:</w:t>
      </w:r>
    </w:p>
    <w:p>
      <w:pPr>
        <w:spacing w:after="0" w:line="183" w:lineRule="exact"/>
        <w:rPr>
          <w:sz w:val="20"/>
          <w:szCs w:val="20"/>
          <w:color w:val="auto"/>
        </w:rPr>
      </w:pPr>
    </w:p>
    <w:p>
      <w:pPr>
        <w:ind w:left="1420" w:hanging="494"/>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results of preclinical and clinical studies of our product candidates or those of our competitors;</w:t>
      </w:r>
    </w:p>
    <w:p>
      <w:pPr>
        <w:spacing w:after="0" w:line="225" w:lineRule="exact"/>
        <w:rPr>
          <w:rFonts w:ascii="Arial" w:cs="Arial" w:eastAsia="Arial" w:hAnsi="Arial"/>
          <w:sz w:val="18"/>
          <w:szCs w:val="18"/>
          <w:color w:val="auto"/>
        </w:rPr>
      </w:pPr>
    </w:p>
    <w:p>
      <w:pPr>
        <w:ind w:left="1420" w:hanging="494"/>
        <w:spacing w:after="0" w:line="277"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 especially changes in laws and regulations applicable to our product candidates;</w:t>
      </w:r>
    </w:p>
    <w:p>
      <w:pPr>
        <w:spacing w:after="0" w:line="170" w:lineRule="exact"/>
        <w:rPr>
          <w:rFonts w:ascii="Arial" w:cs="Arial" w:eastAsia="Arial" w:hAnsi="Arial"/>
          <w:sz w:val="18"/>
          <w:szCs w:val="18"/>
          <w:color w:val="auto"/>
        </w:rPr>
      </w:pPr>
    </w:p>
    <w:p>
      <w:pPr>
        <w:ind w:left="1420" w:hanging="494"/>
        <w:spacing w:after="0" w:line="277"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 candidates, clinical studies, manufacturing process or sales and marketing terms;</w:t>
      </w:r>
    </w:p>
    <w:p>
      <w:pPr>
        <w:spacing w:after="0" w:line="170" w:lineRule="exact"/>
        <w:rPr>
          <w:rFonts w:ascii="Arial" w:cs="Arial" w:eastAsia="Arial" w:hAnsi="Arial"/>
          <w:sz w:val="18"/>
          <w:szCs w:val="18"/>
          <w:color w:val="auto"/>
        </w:rPr>
      </w:pPr>
    </w:p>
    <w:p>
      <w:pPr>
        <w:ind w:left="1420" w:hanging="494"/>
        <w:spacing w:after="0"/>
        <w:tabs>
          <w:tab w:leader="none" w:pos="14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introductions and announcements of new products by us or our competitors, and the timing of these introductions or announcements;</w:t>
      </w:r>
    </w:p>
    <w:p>
      <w:pPr>
        <w:spacing w:after="0" w:line="236" w:lineRule="exact"/>
        <w:rPr>
          <w:rFonts w:ascii="Arial" w:cs="Arial" w:eastAsia="Arial" w:hAnsi="Arial"/>
          <w:sz w:val="17"/>
          <w:szCs w:val="17"/>
          <w:color w:val="auto"/>
        </w:rPr>
      </w:pPr>
    </w:p>
    <w:p>
      <w:pPr>
        <w:ind w:left="1420" w:hanging="494"/>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other strategic transactions or capital commitments;</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1420" w:right="20" w:hanging="494"/>
        <w:spacing w:after="0" w:line="277"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70" w:lineRule="exact"/>
        <w:rPr>
          <w:rFonts w:ascii="Arial" w:cs="Arial" w:eastAsia="Arial" w:hAnsi="Arial"/>
          <w:sz w:val="18"/>
          <w:szCs w:val="18"/>
          <w:color w:val="auto"/>
        </w:rPr>
      </w:pPr>
    </w:p>
    <w:p>
      <w:pPr>
        <w:ind w:left="1420" w:hanging="494"/>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 and</w:t>
      </w:r>
    </w:p>
    <w:p>
      <w:pPr>
        <w:spacing w:after="0" w:line="225" w:lineRule="exact"/>
        <w:rPr>
          <w:rFonts w:ascii="Arial" w:cs="Arial" w:eastAsia="Arial" w:hAnsi="Arial"/>
          <w:sz w:val="18"/>
          <w:szCs w:val="18"/>
          <w:color w:val="auto"/>
        </w:rPr>
      </w:pPr>
    </w:p>
    <w:p>
      <w:pPr>
        <w:ind w:left="1420" w:hanging="481"/>
        <w:spacing w:after="0"/>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acquisitions and financings, including the EGEN acquisition; and</w:t>
      </w:r>
    </w:p>
    <w:p>
      <w:pPr>
        <w:spacing w:after="0" w:line="225" w:lineRule="exact"/>
        <w:rPr>
          <w:rFonts w:ascii="Arial" w:cs="Arial" w:eastAsia="Arial" w:hAnsi="Arial"/>
          <w:sz w:val="18"/>
          <w:szCs w:val="18"/>
          <w:color w:val="auto"/>
        </w:rPr>
      </w:pPr>
    </w:p>
    <w:p>
      <w:pPr>
        <w:ind w:left="1420" w:hanging="494"/>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977" w:gutter="0" w:footer="0" w:header="0"/>
        </w:sectPr>
      </w:pPr>
    </w:p>
    <w:bookmarkStart w:id="36" w:name="page37"/>
    <w:bookmarkEnd w:id="36"/>
    <w:p>
      <w:pPr>
        <w:jc w:val="both"/>
        <w:spacing w:after="0" w:line="297"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March 29, 2016, we had 23,424,699 shares of common stock outstanding, all of which shares,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5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acquisition. Our stockholders may experience significant dilution as a result of future equity offerings or issuances. Investors purchasing shares or other securities in the future could have rights superior to existing stockholders. As of March 29, 2016, we have a significant number of securities convertible into, or allowing the purchase of, our common stock, including 5,894,675 shares of common stock issuable upon exercise of warrants outstanding, 2,772,590 options to purchase shares of our common stock and restricted stock awards outstanding, and 793,180 shares of common stock reserved for future issuance under our stock incentive plans. Under the Controlled Equity Offering</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Sales Agreement entered into with Cantor Fitzgerald &amp; Co. on February 1, 2013, we may offer and sell, from time to time through “at-the-market” offerings, up to an aggregate of $25 million of shares of our common stock. We had only sold $7.6 million under the Sales Agreement as of March 29, 2016.</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be unable to maintain compliance with The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common stock is currently listed on The NASDAQ Capital Market. To maintain the listing of our common stock on The NASDAQ Capital Market, we are required to meet certain listing requirements, including, among others, either: (i) a minimum closing bid price of $1.00 per share, a market value of publicly held shares (excluding shares held by our executive officers, directors and 10% or more stockholders) of at least $1 million and stockholders’ equity of at least $2.5 million; or (ii) a minimum closing bid price of $1.00 per share, a market value of publicly held shares (excluding shares held by our executive officers, directors and 10% or more stockholders) of at least $1 million and a total market value of listed securities of at least $35 million. As of March 29, 2016, the closing sale price of our common stock was $1.53, the total market value of our publicly held shares of our common stock (excluding shares held by our executive officers, directors and 10% or more stockholders) was approximately $31.5 million and the total market value of our listed securities was approximately $35.8 million. There is no assurance that we will continue to meet the minimum closing price requirement and other listing requirements. As of December 31, 2015, we had stockholders’ equity of $20.4 million.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jc w:val="both"/>
        <w:spacing w:after="0" w:line="269" w:lineRule="auto"/>
        <w:rPr>
          <w:sz w:val="20"/>
          <w:szCs w:val="20"/>
          <w:color w:val="auto"/>
        </w:rPr>
      </w:pPr>
      <w:r>
        <w:rPr>
          <w:rFonts w:ascii="Arial" w:cs="Arial" w:eastAsia="Arial" w:hAnsi="Arial"/>
          <w:sz w:val="17"/>
          <w:szCs w:val="17"/>
          <w:color w:val="auto"/>
        </w:rPr>
        <w:t>If the closing bid price of our common stock is below $1.00 per share or the total market value of our publicly held shares of common stock is below $35 million for 30 consecutive business days, we could be subject to delisting from The NASDAQ Capital Market. If our common stock is delisted, trading of the stock will most likely take place on an over-the-counter market established for unlisted securities, such as the Pink Sheets or the OTC Bulletin Board. An investor is likely to find it less convenient to sell, or to obtain accurate quotations in seeking to buy, our common stock on an over-the-counter market, and many investors may not buy or sell our common stock due to difficulty in accessing over-the-counter markets, or due to policies preventing them from trading in securities not listed on a national exchange or other reasons. In addition, as a delisted security, our common stock would be subject to SEC rules regarding “penny stock,” which impose additional disclosure requirements on broker-dealers. The regulations relating to penny stocks, coupled with the typically higher cost per trade to investors in penny stocks due to factors such as broker commissions generally representing a higher percentage of the price of a penny stock than of a higher priced stock, would further limit the ability and willingness of investors to trade in our common stock. For these reasons and others, delisting would adversely affect the liquidity, trading volume and price of our common stock, causing the value of an investment in us to decrease and having an adverse effect on our business, financial condition and results of operations, including our ability to attract and retain qualified executives and employees and to raise capital.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2015, 2014, 2013 and years prior, we performed analyses to determine if there were changes in ownership, as defined by Section 382 of the Internal Revenue Code that would limit our ability to utilize certain net operating loss and tax credit carry forwards. We determined we experienced an ownership change, as defined by Section 382, in connection with certain common stock offerings on July 25, 2011, February 5, 2013, June 3, 2013 and on June 1, 2015. As a result, the utilization of our federal tax net operating loss carry 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never paid cash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classified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6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2011, we entered into a lease with Brandywine Operating Partnership, L.P. (Brandywine), a Delaware limited partnership for a 10,870 square foot premises located in Lawrenceville, New Jersey. In October 2011, we relocated our offices to Lawrenceville, New Jersey from Columbia, Maryland. The lease has a remaining term of 16 months. As required by the lease, we provided Brandywine with an irrevocable and unconditional standby letter of credit for $250,000, which we secured with an escrow deposit at our banking institution of this same amount. The lease stipulated standby letter of credit will be reduced by $50,000 on each of the 19th, 31st and 43rd months from the initial term, with the remaining $100,000 amount remaining until the term of the lease has expired. In connection with three $50,000 reductions of the standby letter of credit in April 2013, 2014 and 2015, we reduced the escrow deposit by $50,000 each time.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acquisition of substantially all of the assets of EGEN, Inc., an Alabama corporation, in June 2014, we assumed the existing lease with another landlord for an 11,500 square foot premises located in Huntsville Alabama. This lease has a remaining term of 25 months with monthly rent payments of approximately $23,200.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existing facilities are suitable and adequate to conduct our business.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for Our Common Stock</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common stock trades on The NASDAQ Capital Market under the symbol “CLSN”. The following table sets forth the high and low reported closing sale prices for the periods indicated as adjusted to reflect the 4.5-to-1 reverse stock split of our common stock effective October 28, 2013.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2015</w:t>
            </w:r>
          </w:p>
        </w:tc>
        <w:tc>
          <w:tcPr>
            <w:tcW w:w="2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First Quarter (January 1 – March 31, 2015)</w:t>
            </w:r>
          </w:p>
        </w:tc>
        <w:tc>
          <w:tcPr>
            <w:tcW w:w="2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7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(April 1 – June 30, 2015)</w:t>
            </w:r>
          </w:p>
        </w:tc>
        <w:tc>
          <w:tcPr>
            <w:tcW w:w="2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w:t>
            </w: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Third Quarter (July 1 – September 30, 2015)</w:t>
            </w:r>
          </w:p>
        </w:tc>
        <w:tc>
          <w:tcPr>
            <w:tcW w:w="2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2.58</w:t>
            </w:r>
          </w:p>
        </w:tc>
        <w:tc>
          <w:tcPr>
            <w:tcW w:w="7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(October 1 – December 31, 2015)</w:t>
            </w:r>
          </w:p>
        </w:tc>
        <w:tc>
          <w:tcPr>
            <w:tcW w:w="2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w:t>
            </w: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2014</w:t>
            </w:r>
          </w:p>
        </w:tc>
        <w:tc>
          <w:tcPr>
            <w:tcW w:w="2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First Quarter (January 1 – March 31, 2014)</w:t>
            </w:r>
          </w:p>
        </w:tc>
        <w:tc>
          <w:tcPr>
            <w:tcW w:w="2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4.57</w:t>
            </w:r>
          </w:p>
        </w:tc>
        <w:tc>
          <w:tcPr>
            <w:tcW w:w="7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 (April 1 – June 30, 2014)</w:t>
            </w:r>
          </w:p>
        </w:tc>
        <w:tc>
          <w:tcPr>
            <w:tcW w:w="2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Third Quarter (July 1 – September 30, 2014)</w:t>
            </w:r>
          </w:p>
        </w:tc>
        <w:tc>
          <w:tcPr>
            <w:tcW w:w="2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7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 (October 1 – December 31, 2014)</w:t>
            </w:r>
          </w:p>
        </w:tc>
        <w:tc>
          <w:tcPr>
            <w:tcW w:w="2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w:t>
            </w: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2013</w:t>
            </w:r>
          </w:p>
        </w:tc>
        <w:tc>
          <w:tcPr>
            <w:tcW w:w="2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First Quarter (January 1 – March 31, 2013)</w:t>
            </w:r>
          </w:p>
        </w:tc>
        <w:tc>
          <w:tcPr>
            <w:tcW w:w="2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42.12</w:t>
            </w:r>
          </w:p>
        </w:tc>
        <w:tc>
          <w:tcPr>
            <w:tcW w:w="7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 (April 1 – June 30, 2013)</w:t>
            </w:r>
          </w:p>
        </w:tc>
        <w:tc>
          <w:tcPr>
            <w:tcW w:w="2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8.42</w:t>
            </w: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Third Quarter (July 1 – September 30, 2013)</w:t>
            </w:r>
          </w:p>
        </w:tc>
        <w:tc>
          <w:tcPr>
            <w:tcW w:w="2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6.40</w:t>
            </w:r>
          </w:p>
        </w:tc>
        <w:tc>
          <w:tcPr>
            <w:tcW w:w="7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 (October 1 – December 31, 2013)</w:t>
            </w:r>
          </w:p>
        </w:tc>
        <w:tc>
          <w:tcPr>
            <w:tcW w:w="2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w:t>
            </w: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March 29, 2016, the last reported sale price for our Common Stock on the NASDAQ Capital Market was $1.53.</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29, 2016, there were approximately 13,600 stockholders of record of our Common Stock. The actual number of stockholders is greater than this number of record stockholders and includes stockholders who are beneficial owners but whose shares are held in street name by brokers and other nominees. This number of stockholders of record also does not include stockholders whose shares may be held in trust by other entities.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performance graph shall not be deemed “soliciting material” or to be “filed” with the Securities and Exchange Commission for purposes of Section 18 of the Securities Exchange Act of 1934, as amended (the Exchange Act), or otherwise subject to the liabilities under that section, and shall not be deemed to be incorporated by reference into any filing of Celsion under the Securities Act of 1933, as amended, or the Exchange Act.</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graph compares the percentage change in the cumulative return to the stockholders of our common stock during the five year period ended December 31, 2015 with the cumulative return the NASDAQ Composite Index and the NASDAQ Biotechnology Index for the same periods.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graph assumes that $100 was invested on December 31, 2010 in our common stock or an index, and that all dividends were reinvested. We have not declared nor paid any dividends on our common stock. Stockholder returns over the indicated period should not be considered indicative of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158750</wp:posOffset>
            </wp:positionV>
            <wp:extent cx="3867785" cy="26327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67785"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never declared or paid any cash dividends on our common stock. We currently anticipate that we will retain all of our future earnings for use in the operation of our business and to fund future growth and do not anticipate paying any cash dividends in the foreseeable future. Any future determination to declare cash dividends will be made at the discretion of our board of directors, subject to applicable law, and will depend on our financial condition, results of operations, capital requirements, general business conditions and other factors that our board of directors may deem relevant.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Matters—Equity Compensation Plan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Shares of Equity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unregistered shares of equity securities have been previously reported by the Company in its Quarterly Reports on Form 10-Q or Current Reports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The selected financial data set forth below is not necessarily indicative of results of future operations and should be read together with Item 7, “Management’s Discussion and Analysis of Financial Condition and Results of Operations,” and the financial statements and related notes thereto included in Part II, Item 8 of this Annual Report on Form 10-K to fully understand factors that may affect the comparability of the information presented below. All shares and per share data prior to 2014 have been adjusted to reflect the 4.5-to-1 reverse split of our common stock effected as of October 28, 2013.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Licensing revenue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9,364</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8,861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6,547</w:t>
            </w: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6,373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 operating expense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25,215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15,911</w:t>
            </w: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22,143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(20,847)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(24,715)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(15,411)</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(22,143)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(loss) income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7,160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(22,461)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(25,494)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(8,251)</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(26,569)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(23,223)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w w:val="92"/>
              </w:rPr>
              <w:t>Non-cash deemed dividend from beneficial conversion feature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(4,602)</w:t>
            </w:r>
          </w:p>
        </w:tc>
        <w:tc>
          <w:tcPr>
            <w:tcW w:w="300" w:type="dxa"/>
            <w:vAlign w:val="bottom"/>
          </w:tcPr>
          <w:p>
            <w:pPr>
              <w:spacing w:after="0"/>
              <w:rPr>
                <w:sz w:val="17"/>
                <w:szCs w:val="17"/>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on convertible preferred stock</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(12,853)</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tcPr>
          <w:p>
            <w:pPr>
              <w:ind w:left="160"/>
              <w:spacing w:after="0" w:line="182" w:lineRule="exact"/>
              <w:rPr>
                <w:sz w:val="20"/>
                <w:szCs w:val="20"/>
                <w:color w:val="auto"/>
              </w:rPr>
            </w:pPr>
            <w:r>
              <w:rPr>
                <w:rFonts w:ascii="Arial" w:cs="Arial" w:eastAsia="Arial" w:hAnsi="Arial"/>
                <w:sz w:val="18"/>
                <w:szCs w:val="18"/>
                <w:color w:val="auto"/>
                <w:w w:val="94"/>
              </w:rPr>
              <w:t>Net loss attributable to common shareholders per common</w:t>
            </w:r>
          </w:p>
        </w:tc>
        <w:tc>
          <w:tcPr>
            <w:tcW w:w="3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(1.03)</w:t>
            </w:r>
          </w:p>
        </w:tc>
        <w:tc>
          <w:tcPr>
            <w:tcW w:w="340" w:type="dxa"/>
            <w:vAlign w:val="bottom"/>
            <w:gridSpan w:val="2"/>
            <w:vMerge w:val="restart"/>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(1.38)</w:t>
            </w:r>
          </w:p>
        </w:tc>
        <w:tc>
          <w:tcPr>
            <w:tcW w:w="320" w:type="dxa"/>
            <w:vAlign w:val="bottom"/>
            <w:gridSpan w:val="2"/>
            <w:vMerge w:val="restart"/>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(0.95)</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(3.44)</w:t>
            </w:r>
          </w:p>
        </w:tc>
        <w:tc>
          <w:tcPr>
            <w:tcW w:w="320" w:type="dxa"/>
            <w:vAlign w:val="bottom"/>
            <w:gridSpan w:val="2"/>
            <w:vMerge w:val="restart"/>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80" w:type="dxa"/>
            <w:vAlign w:val="bottom"/>
          </w:tcPr>
          <w:p>
            <w:pPr>
              <w:ind w:left="320"/>
              <w:spacing w:after="0" w:line="190" w:lineRule="exact"/>
              <w:rPr>
                <w:sz w:val="20"/>
                <w:szCs w:val="20"/>
                <w:color w:val="auto"/>
              </w:rPr>
            </w:pPr>
            <w:r>
              <w:rPr>
                <w:rFonts w:ascii="Arial" w:cs="Arial" w:eastAsia="Arial" w:hAnsi="Arial"/>
                <w:sz w:val="18"/>
                <w:szCs w:val="18"/>
                <w:color w:val="auto"/>
              </w:rPr>
              <w:t>share - basic and diluted</w:t>
            </w:r>
          </w:p>
        </w:tc>
        <w:tc>
          <w:tcPr>
            <w:tcW w:w="3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rPr>
              <w:t>Weighted average shares used in computing net loss</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21,813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18,472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13,541</w:t>
            </w:r>
          </w:p>
        </w:tc>
        <w:tc>
          <w:tcPr>
            <w:tcW w:w="3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7,731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w w:val="98"/>
              </w:rPr>
              <w:t>available to common shareholders per common share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3"/>
              </w:rPr>
              <w:t>As of December 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9,265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12,687</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w w:val="96"/>
              </w:rPr>
              <w:t>Investment securities, available for sale (including interest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receivable on investments)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10,827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24,383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37,368</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39,091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49,055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66,695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45,671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32,649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 liability</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19,319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23,778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9,476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33,896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14,147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20,386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32,825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31,524</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26,194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4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42" w:name="page43"/>
    <w:bookmarkEnd w:id="42"/>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discussions should be read in conjunction with our financial statements and related notes thereto included in this Annual Report on Form 10-</w:t>
      </w:r>
    </w:p>
    <w:p>
      <w:pPr>
        <w:spacing w:after="0" w:line="46" w:lineRule="exact"/>
        <w:rPr>
          <w:sz w:val="20"/>
          <w:szCs w:val="20"/>
          <w:color w:val="auto"/>
        </w:rPr>
      </w:pPr>
    </w:p>
    <w:p>
      <w:pPr>
        <w:jc w:val="both"/>
        <w:ind w:firstLine="8"/>
        <w:spacing w:after="0" w:line="290" w:lineRule="auto"/>
        <w:tabs>
          <w:tab w:leader="none" w:pos="26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following discussion contains forward-looking statements made pursuant to the safe harbor provisions of Section 21E of the Securities Exchange Act of 1934 and the Private Securities Litigation Reform Act of 1995. These statements are based on our beliefs and expectations about future outcomes and are subject to risks and uncertainties that could cause actual results to differ materially from anticipated results. Factors that could cause or contribute to such differences include those described under “Part I, Item 1A – Risk Factors” appearing in this Annual Report on Form 10-K and factors described in other cautionary statements, cautionary language and risk factors set forth in other documents that we file with the Securities and Exchange Commission. We undertake no obligation to publicly update forward-looking statements, whether as a result of new information, future events or otherwise.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Celsion is a fully-integrated oncology drug development company focused on developing a portfolio of innovative cancer treatments, including directed chemotherapies, DNA-mediated immunotherapy and RNA based therapies. Our lead product candidate is ThermoDox</w:t>
      </w:r>
      <w:r>
        <w:rPr>
          <w:rFonts w:ascii="Arial" w:cs="Arial" w:eastAsia="Arial" w:hAnsi="Arial"/>
          <w:sz w:val="30"/>
          <w:szCs w:val="30"/>
          <w:color w:val="auto"/>
          <w:vertAlign w:val="superscript"/>
        </w:rPr>
        <w:t>®</w:t>
      </w:r>
      <w:r>
        <w:rPr>
          <w:rFonts w:ascii="Arial" w:cs="Arial" w:eastAsia="Arial" w:hAnsi="Arial"/>
          <w:sz w:val="18"/>
          <w:szCs w:val="18"/>
          <w:color w:val="auto"/>
        </w:rPr>
        <w:t>, a proprietary heat-activated liposomal encapsulation of doxorubicin, currently in a Phase III clinical trial for the treatment of primary liver cancer (the OPTIMA Study) and a Phase II clinical trial for the treatment of recurrent chest wall breast cancer (the DIGNITY Study). Second in our pipeline is GEN-1 (formerly known as EGEN-001), a DNA-mediated immunotherapy for the localized treatment of ovarian and brain cancers.</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three platform technologies providing the basis for the future development of a range of therapeutics for difficult-to-treat forms of cancer including: Lysolipid Thermally Sensitive Liposomes, a heat sensitive liposomal based dosage form that targets disease with known therapeutics in the presence of mild heat, TheraPlas, a novel nucleic acid-based treatment for local transfection of therapeutic plasmids, and TheraSilence, a systemic dosage form for lung directed anti-cancer RNA With these technologies we are working to develop and commercialize more efficient, effective and targeted oncology therapies that maximize efficacy while minimizing side-effects common to cancer treatments.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ThermoDox®</w:t>
      </w:r>
    </w:p>
    <w:p>
      <w:pPr>
        <w:spacing w:after="0" w:line="202"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is being evaluated in a Phase III clinical trial for primary liver cancer (the OPTIMA study) which was initiated in 2014 and a Phase II clinical trial for recurrent chest wall breast cancer (the DIGNITY Study).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is a liposomal encapsulation of doxorubicin, an approved and frequently used oncology drug for the treatment of a wide range of cancers. Localized heat at hyperthermia temperatures (greater than 40° Celsius) releases the encapsulated doxorubicin from the liposome enabling high concentrations of doxorubicin to be deposited preferentially in and around the targeted tumor.</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i w:val="1"/>
          <w:iCs w:val="1"/>
          <w:color w:val="auto"/>
        </w:rPr>
        <w:t xml:space="preserve">The HEAT Study. </w:t>
      </w:r>
      <w:r>
        <w:rPr>
          <w:rFonts w:ascii="Arial" w:cs="Arial" w:eastAsia="Arial" w:hAnsi="Arial"/>
          <w:sz w:val="16"/>
          <w:szCs w:val="16"/>
          <w:color w:val="auto"/>
        </w:rPr>
        <w:t>On January 31, 2013, we announced that ThermoDox</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combination with radio frequency ablation (RFA) did not meet the primary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endpoint of progression free survival for the 701 patient clinical trial in patients with hepatocellular carcinoma (HCC), also known as primary liver cancer (the HEAT Study). We determined, after conferring with the HEAT Study’s independent Data Monitoring Committee (iDMC), that the HEAT Study did not meet the goal of demonstrating persuasive evidence of clinical effectiveness, that being a clinically meaningful improvement in progression free survival (PFS), that could form the basis for regulatory approval. In the trial,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was well-tolerated with no unexpected serious adverse events. Following the announcement of the HEAT Study results, we continue to follow patients for overall survival (OS), the secondary endpoint of the HEAT Study. We have conducted a comprehensive analysis of the data from the HEAT Study to assess the future strategic value and development strategy for ThermoDox</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4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Findings from the HEAT Study post-hoc data analysis suggest that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may substantially improve overall survival, when compared to the control group, in patients if their lesions undergo a 45 minute RFA procedure standardized for a lesion greater than 3 cm in diameter. Data from eight OS sweeps have been conducted since the top line PFS data from the HEAT Study were announced in January 2013, with each data set showing progressive improvement in statistical significance. The most recent post-hoc OS analysis data from the HEAT Study as of July 15, 2015 showed that in a large, well bounded, subgroup of patients (n=285, 41% of the study patients), the combination of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optimized RFA provided a 58% improvement in OS compared to optimized RFA alone. The Hazard Ratio at this latest OS analysis is 0.63 (95% CI 0.43 - 0.93) with a p-value of 0.0198. Median overall survival for the ThermoDox® group has been reached in this subgroup which translates into a 25.4 month (2.1 year) survival benefit over the optimized RFA only group (79 months for the ThermoDox® plus optimized RFA group versus 53.6 months for the optimized RFA only group). These data continue to support the protocol for the Phase III OPTIMA Study, as described below.</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jc w:val="both"/>
        <w:spacing w:after="0" w:line="259" w:lineRule="auto"/>
        <w:rPr>
          <w:sz w:val="20"/>
          <w:szCs w:val="20"/>
          <w:color w:val="auto"/>
        </w:rPr>
      </w:pPr>
      <w:r>
        <w:rPr>
          <w:rFonts w:ascii="Arial" w:cs="Arial" w:eastAsia="Arial" w:hAnsi="Arial"/>
          <w:sz w:val="18"/>
          <w:szCs w:val="18"/>
          <w:color w:val="auto"/>
        </w:rPr>
        <w:t>Findings from the HEAT Study post-hoc data analysis have shown to be well balanced and not diminished in anyway by other factors. Supplementary computational modeling and prospective preclinical animal studies have shown additional support the relationship between heating duration and clinical outcomes. These data have been presented, without objection, at multiple scientific and medical conferences in 2013, 2014 and 2015 by key HEAT Study investigators and leading liver cancer experts. The presentations include:</w:t>
      </w:r>
    </w:p>
    <w:p>
      <w:pPr>
        <w:spacing w:after="0" w:line="187" w:lineRule="exact"/>
        <w:rPr>
          <w:sz w:val="20"/>
          <w:szCs w:val="20"/>
          <w:color w:val="auto"/>
        </w:rPr>
      </w:pPr>
    </w:p>
    <w:p>
      <w:pPr>
        <w:ind w:left="1140" w:hanging="458"/>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World Conference on Interventional Oncology in May 2013;</w:t>
      </w:r>
    </w:p>
    <w:p>
      <w:pPr>
        <w:spacing w:after="0" w:line="23" w:lineRule="exact"/>
        <w:rPr>
          <w:rFonts w:ascii="Arial" w:cs="Arial" w:eastAsia="Arial" w:hAnsi="Arial"/>
          <w:sz w:val="18"/>
          <w:szCs w:val="18"/>
          <w:color w:val="auto"/>
        </w:rPr>
      </w:pPr>
    </w:p>
    <w:p>
      <w:pPr>
        <w:ind w:left="1140" w:hanging="458"/>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European Conference on Interventional Oncology in June 2013 and April 2014;</w:t>
      </w:r>
    </w:p>
    <w:p>
      <w:pPr>
        <w:spacing w:after="0" w:line="9" w:lineRule="exact"/>
        <w:rPr>
          <w:rFonts w:ascii="Arial" w:cs="Arial" w:eastAsia="Arial" w:hAnsi="Arial"/>
          <w:sz w:val="18"/>
          <w:szCs w:val="18"/>
          <w:color w:val="auto"/>
        </w:rPr>
      </w:pPr>
    </w:p>
    <w:p>
      <w:pPr>
        <w:ind w:left="1140" w:hanging="458"/>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International Liver Cancer Association Annual Conference in September 2013, 2014 and 2015;</w:t>
      </w:r>
    </w:p>
    <w:p>
      <w:pPr>
        <w:spacing w:after="0" w:line="9" w:lineRule="exact"/>
        <w:rPr>
          <w:rFonts w:ascii="Arial" w:cs="Arial" w:eastAsia="Arial" w:hAnsi="Arial"/>
          <w:sz w:val="18"/>
          <w:szCs w:val="18"/>
          <w:color w:val="auto"/>
        </w:rPr>
      </w:pPr>
    </w:p>
    <w:p>
      <w:pPr>
        <w:ind w:left="1140" w:hanging="458"/>
        <w:spacing w:after="0" w:line="181" w:lineRule="auto"/>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American Society of Clinical Oncology 50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Annual Meeting in June 2014; and</w:t>
      </w:r>
    </w:p>
    <w:p>
      <w:pPr>
        <w:ind w:left="1140" w:hanging="458"/>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Asian Conference on Tumor Ablation in October 2015</w:t>
      </w:r>
    </w:p>
    <w:p>
      <w:pPr>
        <w:spacing w:after="0" w:line="209" w:lineRule="exact"/>
        <w:rPr>
          <w:sz w:val="20"/>
          <w:szCs w:val="20"/>
          <w:color w:val="auto"/>
        </w:rPr>
      </w:pPr>
    </w:p>
    <w:p>
      <w:pPr>
        <w:jc w:val="both"/>
        <w:spacing w:after="0" w:line="226" w:lineRule="auto"/>
        <w:rPr>
          <w:sz w:val="20"/>
          <w:szCs w:val="20"/>
          <w:color w:val="auto"/>
        </w:rPr>
      </w:pPr>
      <w:r>
        <w:rPr>
          <w:rFonts w:ascii="Arial" w:cs="Arial" w:eastAsia="Arial" w:hAnsi="Arial"/>
          <w:sz w:val="17"/>
          <w:szCs w:val="17"/>
          <w:b w:val="1"/>
          <w:bCs w:val="1"/>
          <w:i w:val="1"/>
          <w:iCs w:val="1"/>
          <w:color w:val="auto"/>
        </w:rPr>
        <w:t xml:space="preserve">The OPTIMA Study. </w:t>
      </w:r>
      <w:r>
        <w:rPr>
          <w:rFonts w:ascii="Arial" w:cs="Arial" w:eastAsia="Arial" w:hAnsi="Arial"/>
          <w:sz w:val="17"/>
          <w:szCs w:val="17"/>
          <w:color w:val="auto"/>
        </w:rPr>
        <w:t>On February 24, 2014, we announced that the U.S. Food and Drug Administration (FDA), after its customary 30 day review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accepted our IND without comment, subject to compliance with regulatory standards, for our pivotal, double-blind, placebo-controlled Phase III trial of ThermoDox</w:t>
      </w:r>
      <w:r>
        <w:rPr>
          <w:rFonts w:ascii="Arial" w:cs="Arial" w:eastAsia="Arial" w:hAnsi="Arial"/>
          <w:sz w:val="28"/>
          <w:szCs w:val="28"/>
          <w:color w:val="auto"/>
          <w:vertAlign w:val="superscript"/>
        </w:rPr>
        <w:t>®</w:t>
      </w:r>
      <w:r>
        <w:rPr>
          <w:rFonts w:ascii="Arial" w:cs="Arial" w:eastAsia="Arial" w:hAnsi="Arial"/>
          <w:sz w:val="17"/>
          <w:szCs w:val="17"/>
          <w:color w:val="auto"/>
        </w:rPr>
        <w:t>, our proprietary heat-activated liposomal encapsulation of doxorubicin in combination with RFA in primary liver cancer, also known as HCC (the OPTIMA Study). The OPTIMA Study trial design is based on the comprehensive analysis of data from the HEAT study, which, as described previously, demonstrated that treatment with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resulted in a 58% improvement in overall survival in a large number of HCC patients that received an optimized RFA treatment for longer than 45 minutes. Designed with extensive input from globally recognized HCC researchers and clinicians and, after formal written consultation with the FDA, the OPTIMA Study was launched in the first half of 2014. The OPTIMA Study is expected to enroll up to 550 patients globally at up to 75 sites in the United States, Canada, Europe, China and elsewhere in the Asia Pacific region, and will evaluate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combination with standardized RFA, which will require a minimum of 45 minutes across all investigators and clinical sites for treating lesions 3 to 7 centimeters, versus standardized RFA alone. The primary endpoint for the trial is Overall Survival, and the secondary endpoints for the trial are PFS and safety. The statistical plan calls for two interim efficacy analyses by an independent DMC.</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16, 2015, we announced that we had received the clinical trial application approval from the CFDA to conduct the OPTIMA Study in China. This clinical trial application approval will now allow Celsion to enroll patients at up to 20 additional clinical sites in China. With the addition of these Chinese clinical sites, the Company expects to complete enrollment in the OPTIMA Study during the first quarter of 2018. Results from the OPTIMA Study, if successful, will provide the basis for a global registration filing and marketing approval.</w:t>
      </w:r>
    </w:p>
    <w:p>
      <w:pPr>
        <w:spacing w:after="0" w:line="16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b w:val="1"/>
          <w:bCs w:val="1"/>
          <w:i w:val="1"/>
          <w:iCs w:val="1"/>
          <w:color w:val="auto"/>
        </w:rPr>
        <w:t xml:space="preserve">The DIGNITY Study. </w:t>
      </w:r>
      <w:r>
        <w:rPr>
          <w:rFonts w:ascii="Arial" w:cs="Arial" w:eastAsia="Arial" w:hAnsi="Arial"/>
          <w:sz w:val="18"/>
          <w:szCs w:val="18"/>
          <w:color w:val="auto"/>
        </w:rPr>
        <w:t>On December 14, 2015, we announced final data from the Phase I/II study of ThermoDox</w:t>
      </w:r>
      <w:r>
        <w:rPr>
          <w:rFonts w:ascii="Arial" w:cs="Arial" w:eastAsia="Arial" w:hAnsi="Arial"/>
          <w:sz w:val="30"/>
          <w:szCs w:val="30"/>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recurrent chest wall (RCW) breast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cancer (the DIGNITY Study) at the San Antonio Breast Cancer Symposium. The DIGNITY Study is designed to establish a safe therapeutic dose in Phase I, and in Phase II to demonstrate local control, including complete and partial responses, and stable disease as its primary endpoint. The DIGNITY Study is also planned to evaluate kinetics in ThermoDox® produced from more than one manufacturing site. Of the 28 patients enrolled and treated, 21 patients were eligible for evaluation of efficacy. Approximately 62% of evaluable patients experienced a local response, including six complete responses and seven partial responses.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data are consistent with the combined clinical data from two Phase I trials, our Phase I DIGNITY Study and the Duke University sponsored Phase I trial of ThermoDox® plus hyperthermia in RCW breast cancer in December 2013. The two similarly designed Phase I studies enrolled patients with highly resistant tumors found on the chest wall and who had progressed on previous therapy including chemotherapy, radiation therapy and hormone therapy. There were 29 patients treated in the two trials, including 11 patients in the DIGNITY Study and 18 patients in the Duke study. Of the 29 patients treated, 23 were eligible for evaluation of efficacy. A local response rate of over 60 percent was reported in 14 of the 23 evaluable patients with five complete responses and nine partial responses.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4" w:name="page45"/>
    <w:bookmarkEnd w:id="44"/>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The Euro-DIGNITY Study. </w:t>
      </w:r>
      <w:r>
        <w:rPr>
          <w:rFonts w:ascii="Arial" w:cs="Arial" w:eastAsia="Arial" w:hAnsi="Arial"/>
          <w:sz w:val="18"/>
          <w:szCs w:val="18"/>
          <w:color w:val="auto"/>
        </w:rPr>
        <w:t>The Company anticipates a that Phase II study of RadioTherapy, HyperThermia and ThermoDox</w:t>
      </w:r>
      <w:r>
        <w:rPr>
          <w:rFonts w:ascii="Arial" w:cs="Arial" w:eastAsia="Arial" w:hAnsi="Arial"/>
          <w:sz w:val="30"/>
          <w:szCs w:val="30"/>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treat patients with local-regional recurrent chest wall breast cancer will be initiated by six to eight clinical sites located in Italy, Israel, the Netherlands, Poland and the Czech Republic (the Euro-DIGNITY Study). The Euro-DIGNITY Study will be Phase II study enrolling up to 70 patients affected by recurrent breast adenocarcinoma on the chest wall with/without nodes over a period of two years.</w:t>
      </w:r>
    </w:p>
    <w:p>
      <w:pPr>
        <w:spacing w:after="0" w:line="179" w:lineRule="exact"/>
        <w:rPr>
          <w:sz w:val="20"/>
          <w:szCs w:val="20"/>
          <w:color w:val="auto"/>
        </w:rPr>
      </w:pPr>
    </w:p>
    <w:p>
      <w:pPr>
        <w:jc w:val="both"/>
        <w:spacing w:after="0" w:line="196" w:lineRule="auto"/>
        <w:rPr>
          <w:sz w:val="20"/>
          <w:szCs w:val="20"/>
          <w:color w:val="auto"/>
        </w:rPr>
      </w:pPr>
      <w:r>
        <w:rPr>
          <w:rFonts w:ascii="Arial" w:cs="Arial" w:eastAsia="Arial" w:hAnsi="Arial"/>
          <w:sz w:val="18"/>
          <w:szCs w:val="18"/>
          <w:color w:val="auto"/>
        </w:rPr>
        <w:t>The primary objectives of the Euro-DIGNITY Study will be (i) to evaluate efficacy in patients after 3 cycles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plus Hyperthermia measuring tumor diameter as a response to therapy and (ii) to evaluate loco-regional breast tumor control in patients who undergo ThermoDox</w:t>
      </w:r>
      <w:r>
        <w:rPr>
          <w:rFonts w:ascii="Arial" w:cs="Arial" w:eastAsia="Arial" w:hAnsi="Arial"/>
          <w:sz w:val="30"/>
          <w:szCs w:val="30"/>
          <w:color w:val="auto"/>
          <w:vertAlign w:val="superscript"/>
        </w:rPr>
        <w:t>®</w:t>
      </w:r>
      <w:r>
        <w:rPr>
          <w:rFonts w:ascii="Arial" w:cs="Arial" w:eastAsia="Arial" w:hAnsi="Arial"/>
          <w:sz w:val="18"/>
          <w:szCs w:val="18"/>
          <w:color w:val="auto"/>
        </w:rPr>
        <w:t>/hyperthermia/radiotherapy as measured by target lesion clinical response rate combining a RECIST criteria with digital photography to gauge response.</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Secondary objectives of the Euro-DIGNITY Study will be (i) to evaluate the safety of the combination of ThermoDox/Hyperthermia/Radiotherapy among patients with local-regional recurrence (LRR) breast cancer, (ii) to evaluate the duration of local control complete response, partial response and stable disease following treatment with ThermoDox/Hyperthermia/Radiotherapy up to 24 months among patients with LRR breast cancer and (iii) to assess Patient Reported Quality of Life using the FACT-B and Brief Pain Inventory following treatment with ThermoDox/Hyperthermia/Radiotherapy among patients with LRR breast cancer.</w:t>
      </w:r>
    </w:p>
    <w:p>
      <w:pPr>
        <w:spacing w:after="0" w:line="184" w:lineRule="exact"/>
        <w:rPr>
          <w:sz w:val="20"/>
          <w:szCs w:val="20"/>
          <w:color w:val="auto"/>
        </w:rPr>
      </w:pPr>
    </w:p>
    <w:p>
      <w:pPr>
        <w:jc w:val="both"/>
        <w:spacing w:after="0" w:line="222" w:lineRule="auto"/>
        <w:rPr>
          <w:sz w:val="20"/>
          <w:szCs w:val="20"/>
          <w:color w:val="auto"/>
        </w:rPr>
      </w:pPr>
      <w:r>
        <w:rPr>
          <w:rFonts w:ascii="Arial" w:cs="Arial" w:eastAsia="Arial" w:hAnsi="Arial"/>
          <w:sz w:val="16"/>
          <w:szCs w:val="16"/>
          <w:b w:val="1"/>
          <w:bCs w:val="1"/>
          <w:color w:val="auto"/>
        </w:rPr>
        <w:t xml:space="preserve">Early Access Program for ThermoDox for the Treatment of Patients with RCW Breast Cancer. </w:t>
      </w:r>
      <w:r>
        <w:rPr>
          <w:rFonts w:ascii="Arial" w:cs="Arial" w:eastAsia="Arial" w:hAnsi="Arial"/>
          <w:sz w:val="16"/>
          <w:szCs w:val="16"/>
          <w:color w:val="auto"/>
        </w:rPr>
        <w:t>On January 13, 2015, we entered into an Early Access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with Impatients N.V., a Netherlands company (Impatients), pursuant to which Impatients will develop and execute through its brand myTomorrows an early access program for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all countries of the European Union territory, Iceland, Liechtenstein, Norway and Switzerland for the treatment of patients with RCW breast cancer. Under the early access program, Impatients will engage in activities to secure authorization, exemption or waiver from regulatory authorities for patient use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that may otherwise be subject to approvals from such regulatory authorities before the sale and distribution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relevant territories. We will be responsible for the manufacture and supply of quantities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to Impatients for use in the Early Access Program and Impatients will distribute and sell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pursuant to such authorization, exemptions or waivers. On August 10, 2015, we expanded the Early Access Program with myTomorrows to include patients with primary liver cancer, also known as hepatocellular carcinoma, and liver cancer metastases, in all of the European Union territory, Switzerland, Turkey and Israel.</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consideration for Impatients’ services to implement the early access program and in the event we receive regulatory authorization to sell, distribute or market ThermoDox® in the Territory, we will be obligated to pay Impatients, subject to a maximum cap, a low single-digit royalty of net sales of ThermoDox® in the countries where such regulatory authorization has been obtained. The Early Access Agreement has a term of five years, with automatic renewals for consecutive two-year periods, unless earlier terminated by either party with notice or in the event of material breach, bankruptcy, or insolvency without notice.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EGEN</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20, 2014, we completed the acquisition of substantially all of the assets of EGEN, Inc., an Alabama corporation (EGEN), pursuant to an Asset Purchase Agreement. CLSN Laboratories, Inc., a Delaware corporation and a wholly-owned subsidiary of ours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 The consideration of the acquisition includes an initial payment of approximately $3.0 million in cash plus 2.7 million shares of Celsion’s common stock. Additional consideration included contingent value rights totaling $30.4 million, payable in cash, shares of Celsion common stock or a combination thereof, at Celsion’s option, upon achievement of three major milestone events as follows:</w:t>
      </w:r>
    </w:p>
    <w:p>
      <w:pPr>
        <w:spacing w:after="0" w:line="170" w:lineRule="exact"/>
        <w:rPr>
          <w:sz w:val="20"/>
          <w:szCs w:val="20"/>
          <w:color w:val="auto"/>
        </w:rPr>
      </w:pPr>
    </w:p>
    <w:p>
      <w:pPr>
        <w:ind w:left="1420" w:right="140" w:hanging="413"/>
        <w:spacing w:after="0" w:line="277"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to be conducted by the Company or its subsidiary;</w:t>
      </w:r>
    </w:p>
    <w:p>
      <w:pPr>
        <w:spacing w:after="0" w:line="170" w:lineRule="exact"/>
        <w:rPr>
          <w:rFonts w:ascii="Arial" w:cs="Arial" w:eastAsia="Arial" w:hAnsi="Arial"/>
          <w:sz w:val="18"/>
          <w:szCs w:val="18"/>
          <w:color w:val="auto"/>
        </w:rPr>
      </w:pPr>
    </w:p>
    <w:p>
      <w:pPr>
        <w:ind w:left="1420" w:right="140" w:hanging="413"/>
        <w:spacing w:after="0" w:line="277"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glioblastoma multiforme brain cancer study of GEN-1 to be conducted by the Company or its subsidiary; and</w:t>
      </w:r>
    </w:p>
    <w:p>
      <w:pPr>
        <w:spacing w:after="0" w:line="170" w:lineRule="exact"/>
        <w:rPr>
          <w:rFonts w:ascii="Arial" w:cs="Arial" w:eastAsia="Arial" w:hAnsi="Arial"/>
          <w:sz w:val="18"/>
          <w:szCs w:val="18"/>
          <w:color w:val="auto"/>
        </w:rPr>
      </w:pPr>
    </w:p>
    <w:p>
      <w:pPr>
        <w:ind w:left="1420" w:hanging="413"/>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 to $6.0 million will become payable upon achieving certain specified milestones relating to the TheraSilence™ technology.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Our obligations to make the Earn-Out Payments will terminate on the seventh anniversary of the closing date.</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June 9, 2014, we borrowed an additional $5.0 million pursuant to a certain Loan and Security Agreement dated as of November 25, 2013, by and between Hercules Technology Growth Capital, Inc. and us. We used the loan proceeds to pay the upfront cash payment to EGEN at closing and certain transaction costs incurred in connection with the acquisition.</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acquisition of EGEN was accounted for under the acquisition method of accounting which required the Company to perform an allocation of the purchase price to the assets acquired and liabilities assumed. The fair value of the consideration transferred for the acquisition is approximately $27.6 million.</w:t>
      </w:r>
    </w:p>
    <w:p>
      <w:pPr>
        <w:spacing w:after="0" w:line="3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acquisition method of accounting, the total purchase price is allocated to EGEN’s net tangible and intangible assets and liabilities based on their estimated fair values as of the acquisition date. The table below summarizes the preliminary estimated fair values of EGEN’s net tangible and intangible assets and liabilities on the acquisition date. The purchase price allocations are preliminary and subject to change as more detailed analyses are completed and additional information with respect to the fair values of the assets and liabilities acquired becomes available.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25,802,000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27,813,000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(235,000)</w:t>
            </w:r>
          </w:p>
        </w:tc>
      </w:tr>
      <w:tr>
        <w:trPr>
          <w:trHeight w:val="210"/>
        </w:trPr>
        <w:tc>
          <w:tcPr>
            <w:tcW w:w="20" w:type="dxa"/>
            <w:vAlign w:val="bottom"/>
          </w:tcPr>
          <w:p>
            <w:pPr>
              <w:spacing w:after="0"/>
              <w:rPr>
                <w:sz w:val="18"/>
                <w:szCs w:val="18"/>
                <w:color w:val="auto"/>
              </w:rPr>
            </w:pPr>
          </w:p>
        </w:tc>
        <w:tc>
          <w:tcPr>
            <w:tcW w:w="9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assets acquired</w:t>
            </w: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27,578,000</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purchase price exceeds the estimated fair value of the net assets acquired by approximately $2.0 million which was recorded as goodwill. Transaction costs associated with the asset acquisition are included in Acquisition Costs in the Consolidated Statement of Operations and totaled $1,385,263 from the date of acquisition on June 20, 2014 through December 31,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 (IPR&amp;D)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the acquisition, we obtained GEN-1, a DNA-based immunotherapy for the localized treatment of ovarian and brain cancers, and three platform technologies for the development of treatments for those suffering with difficult-to-treat forms of cancer, novel nucleic acid-based immunotherapies and other anti-cancer DNA or RNA therapies, including TheraPlas™ and TheraSilence™.</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Acquired IPR&amp;D consists of EGEN's drug technology platforms: GEN-1, TheraPlas™ and TheraSilence™. The fair value of the IPR&amp;D drug technology platforms was estimated to be $25.8 million as of the acquisition date using the Multi-Period Excess Earnings Method (MPEEM) which is a form of the income approach. Under the MPEEM, the fair value of an intangible asset is equal to the present value of the asset’s incremental after-tax cash flows (excess earnings) remaining after deducting the market rates of return on the estimated value of contributory assets (contributory charge) over its remaining useful life.</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To calculate fair value of </w:t>
      </w:r>
      <w:r>
        <w:rPr>
          <w:rFonts w:ascii="Arial" w:cs="Arial" w:eastAsia="Arial" w:hAnsi="Arial"/>
          <w:sz w:val="16"/>
          <w:szCs w:val="16"/>
          <w:i w:val="1"/>
          <w:iCs w:val="1"/>
          <w:color w:val="auto"/>
        </w:rPr>
        <w:t>the IPR&amp;D</w:t>
      </w:r>
      <w:r>
        <w:rPr>
          <w:rFonts w:ascii="Arial" w:cs="Arial" w:eastAsia="Arial" w:hAnsi="Arial"/>
          <w:sz w:val="16"/>
          <w:szCs w:val="16"/>
          <w:color w:val="auto"/>
        </w:rPr>
        <w:t xml:space="preserve"> programs under the MPEEM, we used projected cash flows discounted at a rate considered appropriate given the significant inherent risks associated with drug development by development-stage companies. Cash flows were calculated based on estimated projections of revenues and expenses related to the IPR&amp;D programs and then reduced by a contributory charge on requisite assets employed. Contributory assets included debt-free working capital, net fixed assets and assembled workforce. Rates of return on the contributory assets were based on rates used for comparable market participants. Cash flows were assumed to extend through a seven-year market exclusivity period. The resultant cash flows were then discounted to present value using a weighted-average cost of equity capital for companies with profiles substantially similar to that of Celsion, which we believe represents the rate that market participants would use to value the assets. The projected cash flows were based on significant assumptions, including the indication in which we will pursue development of IPR&amp;D programs, the time and resources needed to complete the development and regulatory approval of IPR&amp;D programs, estimates of revenue and operating profit related to the program considering its stage of development, the life of the potential commercialized product, market penetration and competition, and risks associated with achieving commercialization, including delay or failure to obtain regulatory approvals to conduct clinical studies, failure of clinical studies, delay or failure to obtain required market clearances, and intellectual property litigation.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As of the closing of the acquisition, the IPR&amp;D is considered indefinite lived intangible assets and will not be amortized. IPR&amp;D will be reviewed for possible impairment on an annual basis or more frequently if there appears to be an indication of impairment.</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GEN-1 OVATION Study. </w:t>
      </w:r>
      <w:r>
        <w:rPr>
          <w:rFonts w:ascii="Arial" w:cs="Arial" w:eastAsia="Arial" w:hAnsi="Arial"/>
          <w:sz w:val="18"/>
          <w:szCs w:val="18"/>
          <w:color w:val="auto"/>
        </w:rPr>
        <w:t>In February 2015, we announced that the FDA accepted, without objection, the Phase I dose-escalation clinical trial of GEN-1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with the standard of care in neo-adjuvant ovarian cancer (the OVATION Study). On September 30, 2015, we announced enrollment of the first patient in the OVATION Study. The OVATION Study will seek to identify a safe, tolerable and potentially therapeutically active dose of GEN-1 by recruiting and maximizing an immune response and is designed to enroll three to six patients per dose level and will evaluate safety and efficacy and attempt to define an optimal dose for a follow-on Phase I/II study combining GEN-1 with Avastin® and Doxil®. In addition, the OVATION Study establishes a unique opportunity to assess how cytokine-based compounds such as GEN-1, directly affect ovarian cancer cells and the tumor microenvironment in newly diagnosed patients. The study is designed to characterize the nature of the immune response triggered by GEN-1 at various levels of the patients' immune system, including:</w:t>
      </w:r>
    </w:p>
    <w:p>
      <w:pPr>
        <w:spacing w:after="0" w:line="192" w:lineRule="exact"/>
        <w:rPr>
          <w:sz w:val="20"/>
          <w:szCs w:val="20"/>
          <w:color w:val="auto"/>
        </w:rPr>
      </w:pPr>
    </w:p>
    <w:p>
      <w:pPr>
        <w:ind w:left="1160" w:right="1680" w:hanging="38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1160" w:right="1800" w:hanging="38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70" w:lineRule="exact"/>
        <w:rPr>
          <w:rFonts w:ascii="Arial" w:cs="Arial" w:eastAsia="Arial" w:hAnsi="Arial"/>
          <w:sz w:val="18"/>
          <w:szCs w:val="18"/>
          <w:color w:val="auto"/>
        </w:rPr>
      </w:pPr>
    </w:p>
    <w:p>
      <w:pPr>
        <w:ind w:left="1160" w:hanging="38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initiated the study at four clinical sites at the University of Alabama at Birmingham, Oklahoma University Medical Center, Washington University in St. Louis and the Medical College of Wisconsin. In February 2016, we announced the completion of enrollment of the first cohort of patients in the OVATION Study. The OVATION Study will continue into 2016 at higher doses of GEN-1 with the goal to identify a safe, tolerable and therapeutically active dose of GEN-1 by recruiting and maximizing an immune response.</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i w:val="1"/>
          <w:iCs w:val="1"/>
          <w:color w:val="auto"/>
        </w:rPr>
        <w:t>GEN-1 Plus Doxil</w:t>
      </w:r>
      <w:r>
        <w:rPr>
          <w:rFonts w:ascii="Arial" w:cs="Arial" w:eastAsia="Arial" w:hAnsi="Arial"/>
          <w:sz w:val="28"/>
          <w:szCs w:val="28"/>
          <w:b w:val="1"/>
          <w:bCs w:val="1"/>
          <w:i w:val="1"/>
          <w:iCs w:val="1"/>
          <w:color w:val="auto"/>
          <w:vertAlign w:val="superscript"/>
        </w:rPr>
        <w:t>®</w:t>
      </w:r>
      <w:r>
        <w:rPr>
          <w:rFonts w:ascii="Arial" w:cs="Arial" w:eastAsia="Arial" w:hAnsi="Arial"/>
          <w:sz w:val="17"/>
          <w:szCs w:val="17"/>
          <w:b w:val="1"/>
          <w:bCs w:val="1"/>
          <w:i w:val="1"/>
          <w:iCs w:val="1"/>
          <w:color w:val="auto"/>
        </w:rPr>
        <w:t xml:space="preserve"> and Avastin</w:t>
      </w:r>
      <w:r>
        <w:rPr>
          <w:rFonts w:ascii="Arial" w:cs="Arial" w:eastAsia="Arial" w:hAnsi="Arial"/>
          <w:sz w:val="28"/>
          <w:szCs w:val="28"/>
          <w:b w:val="1"/>
          <w:bCs w:val="1"/>
          <w:i w:val="1"/>
          <w:iCs w:val="1"/>
          <w:color w:val="auto"/>
          <w:vertAlign w:val="superscript"/>
        </w:rPr>
        <w:t>®</w:t>
      </w:r>
      <w:r>
        <w:rPr>
          <w:rFonts w:ascii="Arial" w:cs="Arial" w:eastAsia="Arial" w:hAnsi="Arial"/>
          <w:sz w:val="17"/>
          <w:szCs w:val="17"/>
          <w:b w:val="1"/>
          <w:bCs w:val="1"/>
          <w:i w:val="1"/>
          <w:iCs w:val="1"/>
          <w:color w:val="auto"/>
        </w:rPr>
        <w:t xml:space="preserve"> Trial. </w:t>
      </w:r>
      <w:r>
        <w:rPr>
          <w:rFonts w:ascii="Arial" w:cs="Arial" w:eastAsia="Arial" w:hAnsi="Arial"/>
          <w:sz w:val="17"/>
          <w:szCs w:val="17"/>
          <w:color w:val="auto"/>
        </w:rPr>
        <w:t>On April 29, 2015, we announced the expansion of our ovarian cancer development program to include a Phase 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dose escalating trial to evaluate GEN-1 in combination with Avastin® and Doxil® in platinum-resistant ovarian cancer patients. We expect to enroll patients beginning in the second half of 2016. This new combination study in platinum-resistant ovarian cancer is supported by three preclinical studies indicating that the combination of GEN-1 with Avastin® may result in significant clinical benefit with a favorable safety profile. Specifically:</w:t>
      </w:r>
    </w:p>
    <w:p>
      <w:pPr>
        <w:spacing w:after="0" w:line="203" w:lineRule="exact"/>
        <w:rPr>
          <w:sz w:val="20"/>
          <w:szCs w:val="20"/>
          <w:color w:val="auto"/>
        </w:rPr>
      </w:pPr>
    </w:p>
    <w:p>
      <w:pPr>
        <w:ind w:left="600" w:right="20" w:hanging="322"/>
        <w:spacing w:after="0" w:line="259"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two preclinical studies using an animal model of disseminated ovarian cancer, GEN-1 in combination with Avastin® led to a significant reduction in tumor burden and disease progression. The effectiveness of the combined treatment was seen when GEN-1 was combined with various dose levels of Avastin® (low-medium-high). Additionally, it was shown that GEN-1 treatment alone resulted in anti-tumor activity that was as good as or better than Avastin® treatment alone.</w:t>
      </w:r>
    </w:p>
    <w:p>
      <w:pPr>
        <w:spacing w:after="0" w:line="186" w:lineRule="exact"/>
        <w:rPr>
          <w:rFonts w:ascii="Arial" w:cs="Arial" w:eastAsia="Arial" w:hAnsi="Arial"/>
          <w:sz w:val="18"/>
          <w:szCs w:val="18"/>
          <w:color w:val="auto"/>
        </w:rPr>
      </w:pPr>
    </w:p>
    <w:p>
      <w:pPr>
        <w:jc w:val="both"/>
        <w:ind w:left="600" w:right="140" w:hanging="322"/>
        <w:spacing w:after="0" w:line="286" w:lineRule="auto"/>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preclinical studies indicated that no obvious overt toxicities were associated with the combined treatments. The preclinical data are also consistent with the mechanism of action for GEN-1, which exhibits certain anti-angiogenic properties and suggests that combining GEN-1 with lower doses of Avastin® may enhance efficacy and help reduce the known toxicities associated with this anti-VEGF drug.</w:t>
      </w:r>
    </w:p>
    <w:p>
      <w:pPr>
        <w:spacing w:after="0" w:line="165" w:lineRule="exact"/>
        <w:rPr>
          <w:rFonts w:ascii="Arial" w:cs="Arial" w:eastAsia="Arial" w:hAnsi="Arial"/>
          <w:sz w:val="17"/>
          <w:szCs w:val="17"/>
          <w:color w:val="auto"/>
        </w:rPr>
      </w:pPr>
    </w:p>
    <w:p>
      <w:pPr>
        <w:jc w:val="both"/>
        <w:ind w:left="660" w:right="260" w:hanging="382"/>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distinct biological activities of GEN-1 (immune stimulation) and Avastin® (inhibition of tumor blood vessel formation) makes a sound scientific rationale for this combination approach. Additionally, the anti-angiogenic activity of GEN-1 mediated through up regulation of the interferon gamma (IFN-g) pathway may help to explain the remarkable synergy between GEN-1 and Avastin® and potentially addresses the VEGF escape mechanisms associated with resistance to Avastin® therapy.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Business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"Part I, Item 1A. Risk Factors" in this Annual Report on Form 10-K.</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result of the risks and uncertainties discussed in this Annual Report on Form 10-K,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product candidates through development and clinical trials, obtain regulatory approvals and manufacture and commercialized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the extent that we are dependent on the success of one or a few product candidates, results such as those announced in relation to the HEAT Study on January 31, 2013 will have a more significant impact on our financial prospects, financial condition and market value. As demonstrated by the HEAT Study results in January 2013, drug research and development is an inherently uncertain process and there is a high risk of failure at every stage prior to approval. The timing and the outcome of clinical results is extremely difficult to predict. Clinical development successes and failures can have a disproportionate positive or negative impact on our scientific and medical prospects, financial prospects, and results of operations, financial condition and market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and Debt Financings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During 2015 and 2014, we issued a total of 6.9 million shares of common stock; in the following equity transactions for an aggregate $23.6 million in gross proceeds. On October 28, 2013, we effected a 4.5-to-1 reverse stock split of our common stock. Unless otherwise expressly stated, the share and per share data in this section and elsewhere in this Annual Report on Form 10-K have been adjusted to reflect the reverse stock split.</w:t>
      </w:r>
    </w:p>
    <w:p>
      <w:pPr>
        <w:spacing w:after="0" w:line="173" w:lineRule="exact"/>
        <w:rPr>
          <w:sz w:val="20"/>
          <w:szCs w:val="20"/>
          <w:color w:val="auto"/>
        </w:rPr>
      </w:pPr>
    </w:p>
    <w:p>
      <w:pPr>
        <w:jc w:val="both"/>
        <w:ind w:left="660" w:right="620" w:hanging="314"/>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January 15, 2014, we entered into a Securities Purchase Agreement with certain institutional investors, pursuant to which the Company sold, in a registered offering, an aggregate of 3,603,604 shares of its common stock and warrants to purchase up to 1,801,802 shares of common stock, for an aggregate purchase price of approximately $15 million.</w:t>
      </w:r>
    </w:p>
    <w:p>
      <w:pPr>
        <w:spacing w:after="0" w:line="181" w:lineRule="exact"/>
        <w:rPr>
          <w:rFonts w:ascii="Arial" w:cs="Arial" w:eastAsia="Arial" w:hAnsi="Arial"/>
          <w:sz w:val="18"/>
          <w:szCs w:val="18"/>
          <w:color w:val="auto"/>
        </w:rPr>
      </w:pPr>
    </w:p>
    <w:p>
      <w:pPr>
        <w:jc w:val="both"/>
        <w:ind w:left="660" w:right="620" w:hanging="314"/>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May 27, 2015, the Company entered into a Securities Purchase Agreement with certain institutional investors, pursuant to which the Company sold, in a registered direct offering, an aggregate of 3,000,000 shares of common stock, for an aggregate purchase price of approximately $8.0 million. In a concurrent private placement, the Company issued to the same investors warrants to purchase up to 1,950,000 shares of common stock.</w:t>
      </w:r>
    </w:p>
    <w:p>
      <w:pPr>
        <w:spacing w:after="0" w:line="163" w:lineRule="exact"/>
        <w:rPr>
          <w:rFonts w:ascii="Arial" w:cs="Arial" w:eastAsia="Arial" w:hAnsi="Arial"/>
          <w:sz w:val="18"/>
          <w:szCs w:val="18"/>
          <w:color w:val="auto"/>
        </w:rPr>
      </w:pPr>
    </w:p>
    <w:p>
      <w:pPr>
        <w:jc w:val="both"/>
        <w:ind w:left="660" w:right="580" w:hanging="314"/>
        <w:spacing w:after="0" w:line="250"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are a party 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(ATM) dated as of February 1, 2013 with Cantor Fitzgerald &amp; Co., pursuant to which we may sell additional shares of our common stock having an aggregate offering price of up to $25 million through “at-the-market” equity offerings from time to time. From February 1, 2013 through February 25, 2013, the Company sold and issued an aggregate of 1,195,927 shares of common stock under the ATM, receiving approximately $6.8 million in net proceeds. The Company did not have any sales under the ATM from February 25, 2013 through September 30, 2015. On October 2, 2015, the Company filed a prospectus supplement whereby it registered $7.5 million of the remaining availability under the ATM. During the fourth quarter of 2015, the Company sold an aggregate of 283,608 shares for gross proceeds of $0.6 million.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8" w:name="page49"/>
    <w:bookmarkEnd w:id="48"/>
    <w:p>
      <w:pPr>
        <w:jc w:val="both"/>
        <w:ind w:right="20"/>
        <w:spacing w:after="0" w:line="312" w:lineRule="auto"/>
        <w:rPr>
          <w:sz w:val="20"/>
          <w:szCs w:val="20"/>
          <w:color w:val="auto"/>
        </w:rPr>
      </w:pPr>
      <w:r>
        <w:rPr>
          <w:rFonts w:ascii="Arial" w:cs="Arial" w:eastAsia="Arial" w:hAnsi="Arial"/>
          <w:sz w:val="16"/>
          <w:szCs w:val="16"/>
          <w:color w:val="auto"/>
        </w:rPr>
        <w:t>On June 20, 2014, we completed the acquisition of substantially all of the assets of EGEN, Inc. At the closing, we paid approximately $3.0 million in cash and issued 2,712,188 shares of its common stock to EGEN. In addition, 670,070 shares of common stock are issuable to EGEN on or after August 2, 2016 pending satisfactory resolution of any post-closing adjustments of expenses and EGEN’s indemnification obligations under the EGEN Purchase Agreement</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we entered into a loan agreement on November 25, 2013 with Hercules Technology Growth Capital, Inc. (Hercules), pursuant to which we may borrow a secured term loan of up to $20 million in multiple tranches (the Hercules Credit Agreement). The loan bears interest at a floating per annum rate equal to the greater of (i) 11.25 percent and (ii) the sum of 11.25 percent plus the prime rate minus 3.25 percent. Payments under the loan agreement are interest only for the first twelve months after loan closing, followed by a 30-month amortization period of principal and interest through the scheduled maturity date. We drew the first tranche of $5 million on November 25, 2013 and may request, subject to Hercules’ consent in its sole discretion, an additional $15 million in up to three advances with each advance in a minimum amount of $5 million before June 30, 2014 unless extended upon Hercules’ consent. We used approximately $4 million of the first tranche to repay the outstanding obligations under a loan agreement with Oxford Finance LLC and Horizon Technology Finance Corporation. On June 9, 2014, we borrowed an additional $5 million and used the loan proceeds to pay the upfront cash payment to EGEN at closing and certain transaction costs incurred in connection with the acquisition.</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that our cash and investment resources of $20.1 million on hand at December 31, 2015, coupled with our access to the ATM, are sufficient to fund operations into the second quarter of 2017.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To complete the development and commercialization of our products, we will need to raise substantial amounts of additional capital to fund our operations. We do not have any committed sources of financing and cannot give assurance that alternate funding will be available in a timely manner, on acceptable terms or at all. We may need to pursue dilutive equity financings, such as the issuance of shares of common stock, preferred stock, convertible debt or other convertible or exercisable securities, which financings could dilute the percentage ownership of our current common stockholders and could significantly lower the market value of our common stock.</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Please refer to Item IA, Risk Factors, including, but not limited to, “</w:t>
      </w:r>
      <w:r>
        <w:rPr>
          <w:rFonts w:ascii="Arial" w:cs="Arial" w:eastAsia="Arial" w:hAnsi="Arial"/>
          <w:sz w:val="18"/>
          <w:szCs w:val="18"/>
          <w:b w:val="1"/>
          <w:bCs w:val="1"/>
          <w:i w:val="1"/>
          <w:iCs w:val="1"/>
          <w:color w:val="auto"/>
        </w:rPr>
        <w:t>We will need to raise substantial additional capital to fund our planned future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operations, and we may be unable to secure such capital without dilutive financing transactions. If we are not able to raise additional capital, we may not be able to complete the development, testing and commercialization of our product candidates</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financial statements, which appear at Item 8 to this Annual Report on Form 10-K, have been prepared in accordance with accounting principles generally accepted in the United States, which require that we make certain assumptions and estimates and, in connection therewith, adopt certain accounting policies. Our significant accounting policies are set forth in Note 1 to our financial statements. Of those policies, we believe that the policies discussed below may involve a higher degree of judgment and may be more critical to an accurate reflection of our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follow the provisions of ASC topic 718 “Compensation” which requires the expense recognition over a service period for the fair value of share based compensation awards, such as stock options, restricted stock and performance based shares. This standard allows us to establish modeling assumptions as to expected stock price volatility, option terms, forfeiture and dividend rates, which directly impact estimated fair value as determined. Our practice is to utilize reasonable and supportable assumptions which are reviewed with our board of directors and its appropriate committee.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Goodwill and In-Process Research and Development</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2014, the Company acquired certain assets of EGEN, Inc. As more fully described in Note 5 to our Consolidated Financial Statements, the acquisition was accounted for under the acquisition method of accounting which required the Company to perform an allocation of the purchase price to the assets acquired and liabilities assumed. Under the acquisition method of accounting, the total purchase price is allocated to net tangible and intangible assets and liabilities based on their estimated fair values as of the acquisition date.</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review our financial reporting and disclosure practices and accounting policies on an ongoing basis to ensure that our financial reporting and disclosure system provides accurate and transparent information relative to the current economic and business environment. As part of the process, the Company reviews the selection, application and communication of critical accounting policies and financial disclosures. The preparation of our financial statements in conformity with accounting principles generally accepted in the United States requires that our management make estimates and assumptions that affect the reported amounts of assets and liabilities and disclosure of contingent assets and liabilities at the date of the financial statements and the reported amounts of revenues and expenses during the reporting period. We review our estimates and the methods by which they are determined on an ongoing basis. However, actual results could differ from our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 Ended December 31, 2015 and Fiscal Year Ended December 31,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 year term of the agreement; therefore we recognized revenue of $500,000 in each of the years 2015 and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expenses decreased by $0.3 million from $15.0 million in 2014 to $14.7 million in 2015. Costs associated with the Phase III OPTIMA Study were $3.6 million in 2015 compared to $4.8 million in 2014 when we initiated the study. Costs associated with the HEAT Study remained relatively unchanged at $0.6 million in 2015 and 2014 as we continue to follow the patients in the HEAT Study for Overall Survival. Costs associated with our RCW breast cancer clinical trial were $0.5 million in 2015 compared to $0.4 million in 2014. Other clinical costs were $2.0 million in 2015 compared to $1.8 million in 2014. This increase is primarily attributable to an increase in personnel costs and professional fees to support our ThermoDox® studies. Other research and development costs related to preclinical operations and regulatory affairs were $0.3 million in 2015 compared to $1.4 million in 2014. This decline was primarily the result of an $0.8 million downward adjustment to the research efforts under a Cooperative Research and Development Agreement with the National Institute of Health.</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associated with the production of ThermoDox® to support the OPTIMA Study decreased to $3.4 million in 2015 compared to $3.8 million incurred in 2014. During the second half of 2014, the Company completed the integration of the operations of the business acquired from EGEN, Inc. into our wholly owned subsidiary, CLSN Laboratories. Costs associated with CLSN Laboratories (which includes research and development activities and clinical studies for GEN-1, TheraPlas™ and TheraSilence™) were $4.2 million in 2015 compared to $2.3 million for the period from the date of acquisition on June 20, 2014 through December 31,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expenses decreased by $2.2 million to $6.7 million in 2015 compared to $8.9 million in 2014. This decrease is primarily the result of lower insurance premiums of $0.7 million, reductions in personnel costs of $0.8 million, lower marketing costs associated with the acquisition of EGEN, Inc. of $0.5 million and general reductions in other administrative costs of $0.2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u w:val="single" w:color="auto"/>
          <w:color w:val="auto"/>
        </w:rPr>
        <w:t>Acquisition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 costs were $1.4 million for 2014. The transaction-related expenses consisted of legal and professional fees related to the June 20, 2014 acquisition of substantially all of the assets of EGEN.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will be fair valued at the end of each quarter and any change in their value will be recognized in the financial statement. As of December 31, 2015, the Company fair valued these milestones at $13.9 million and recognized non-cash charge of $257,702 as a result of the change in the fair value of these milestones from $13.7 million at December 31,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Common Stock Warrant Liability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warrant liability was incurred as a result of warrants we issued in a public offering in September 2009. On March 30, 2015, all remaining warrants associated with this equity offering expired. The liability associated with these warrants was calculated at its fair market value using the Black-Scholes option-pricing model and was adjusted at the end of each quarter with changes in fair value recorded in earnings during the term of the warrants. The warrants expired in March 2015. These warrants had a fair value at zero at December 31, 2014 and when they expired at March 31, 2015. Therefore, no change in warrant liability was required to be recorded or reclassified during 2015. The Company recorded a non-cash benefit of $3,026 for these warrants during 2014.</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we issued warrants for 194,986 shares of the Company’s common stock in connection with the Hercules Credit Agreement in November 2013 and June 2014. The liability associated with these warrants was calculated at its fair market value using the Black-Scholes option-pricing model and was adjusted at the end of each quarter with changes in fair value recorded in earnings during the term of the warrants. As discussed in Note 8 of the financial statements, the Company concluded in the second quarter of 2015 that the warrant provision, which required the exercise price of the warrant to be adjusted downward to a lower price at which the Company would sell and issue shares in a financing for cash during the one-year anniversary of the warrant, had expired. Therefore, the Company valued the warrant at $336,254 immediately prior to this event and reduced the liability to zero and increased equity by $336,254 in the second quarter of 2015. The Company also recorded a non-cash charge to net income of $61,246 in 2015. At December 31, 2014, the fair value of these liabilities was $0.4 million and the Company recorded a non-cash benefit to net income of $201,253 in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its debt facilities the Company incurred $1.4 million and $1.3 million in interest expense in 2015 and 2014,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(expense)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for 2014 and 2013 was not significant.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 Ended December 31, 2014 and Fiscal Year Ended December 31,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 year term of the agreement; therefore we recognized revenue of $500,000 in each of the years 2014 and 2013.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expenses increased by $5.6 million from $9.4 million in 2013 to $15.0 million in 2014. Costs associated with the HEAT Study decreased to $0.6 million in 2014 compared to $3.7 million in 2013 primarily due to the reduced costs associated with the HEAT Study as we follow patients for Overall Survival. We incurred costs of $4.8 million related to the initiation of the OPTIMA Study in 2014. Costs associated with our RCW breast cancer clinical trial remained relatively unchanged at $0.4 million in 2014 and 2013. Other clinical costs were $1.8 million in 2014 compared to $1.2 million in 2013. The increase is mostly attributable to an increase in personnel costs and professional fees. Other research and development costs related to preclinical operations and regulatory operations remained relatively unchanged at $1.4 million in 2014 compared to $1.3 million in 2013. Costs associated with the production of ThermoDox® to support the OPTIMA Study increased to $3.8 million in 2014 compared to $2.8 million incurred in 2013. During the second half of 2014, the Company completed the integration of the business operations acquired from EGEN, Inc. into our wholly owned subsidiary, CLSN Laboratories. Costs associated with CLSN Laboratories were $2.3 million for the period from the date of acquisition on June 20, 2014 through December 31, 2014.</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expenses increased by $2.4 million to $8.9 million in 2014 compared to $6.5 million in 2013. This increase is primarily the result of increases in Directors’ and Officers’ insurance premiums of $0.7 million, increases in personnel costs of $1.0 million and increases in legal and professional fees. The increased personnel costs reflect a $0.7 million increase in non-cash stock compensation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 costs were $1.4 million for 2014. The transaction-related expenses consisted of legal and professional fees related to the June 20, 2014 acquisition of substantially all of the assets of EGEN.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Common Stock Warrant Liability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 warrant liability was incurred as a result of warrants we issued in a public offering in September 2009. The liability associated with these warrants is calculated at its fair market value using the Black-Scholes option-pricing model and is adjusted at the end of each quarter. In addition, in connection with a common stock offering in the second quarter of 2013, the investors in the offering agreed to waive their rights to exercise the warrants to purchase 1,398,816 shares of common stock of the Company until the Company affected a reverse stock split and increased the number of its authorized shares of common stock. During the second quarter of 2013, the Company reclassified the fair value of these warrants totaling $9.1 million from equity to a liability on the date of the closing of the offering on June 3, 2013. Prior to the offering the warrants described above were originally recorded as equity at the fair value on the date of their issuance. In accordance with ASC 815-40, Derivative Instruments and Hedging – </w:t>
      </w:r>
      <w:r>
        <w:rPr>
          <w:rFonts w:ascii="Arial" w:cs="Arial" w:eastAsia="Arial" w:hAnsi="Arial"/>
          <w:sz w:val="16"/>
          <w:szCs w:val="16"/>
          <w:i w:val="1"/>
          <w:iCs w:val="1"/>
          <w:color w:val="auto"/>
        </w:rPr>
        <w:t>Contracts in Entity’s Own Equity</w:t>
      </w:r>
      <w:r>
        <w:rPr>
          <w:rFonts w:ascii="Arial" w:cs="Arial" w:eastAsia="Arial" w:hAnsi="Arial"/>
          <w:sz w:val="16"/>
          <w:szCs w:val="16"/>
          <w:color w:val="auto"/>
        </w:rPr>
        <w:t>, these warrants were required to be classified as liabilities immediately after the closing of the common stock offering on June 3, 2013 because there was an insufficient number of common shares authorized to permit the full exercise of the warrants if they were exercised. Therefore, these warrants are required to be recorded at fair value at each balance sheet date with changes in fair value recorded in earnings. In connection with the reverse stock split the Company affected on October 28, 2013, these warrants were valued as of October 28, 2013, and the Company reclassified the fair value of these warrants totaling approximately $5.3 million from a liability to equity. Furthermore, in connection with the warrants we issued for 97,493 shares of the Company’s common stock in connection with the Hercules Credit Agreement in November 2013 and then with the warrant for the additional 97,493 shares of the Company’s common stock which became available and exercisable at the time of the second $5.0 million tranche in June 2014, we recorded an additional warrant liability of $0.5 million in 2014.</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Collectively these warrant liabilities were required to be recorded at fair value at each balance sheet date with changes in fair value recorded in earnings. At December 30, 2014, the fair value of all of these liabilities was $0.3 million and we recorded a non-cash benefit of $0.2 million based on the change in the fair value of the warrants at December 31, 2014. During 2013, the decrease in the fair value of this liability resulted in the Company recording a non-cash benefit of $8.1 million based on the change in the fair value of the warrants at December 31, 2013.</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total aggregate purchase price for the acquisition of assets from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will be fair valued at the end of each quarter and any change in their value will be recognized in the financial statement. As of December 31, 2014, the Company fair valued these milestones at $13.7 million and recognized a gain of $213,949 as a result of the change in the fair value of these milestones from June 30,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its debt facilities the Company incurred $1.3 million and $0.9 million in interest expense in 2014 and 2013,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(expense)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for 2014 and 2013 was not significant.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 development agreement with Hisun. The process of developing and commercializing ThermoDox®,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$218 million at December 31, 2015.</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2015, we had total current assets of $20.3 million (including cash, cash equivalents and short term investments and related interest receivable on short term investments of $20.1 million) and current liabilities of $9.3 million, resulting in net working capital of $11.0 million. At December 31, 2014 we had total current assets of $37.5 million (including cash, cash equivalents and short term investments and related interest receivable on short term investments of $37.1 million) and current liabilities of $10.1 million, resulting in net working capital of $27.4 million.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operating activities for 2015 was $20.8 million. Our 2015 net loss included $1.8 million in non-cash stock-based compensation expense, $0.1 million in a non-cash benefit based on the change in the common stock warrant liability and $0.3 million in a non-cash benefit based on the change in the earn-out milestone liability.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$20.8 million net cash used in operating activities was mostly funded from cash and short term investments. At December 31, 2015, we had cash, cash equivalents and short term investments and related interest receivable on short term investments of $20.1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was $4.1 million during 2015, $7.7 million of which resulted from net proceeds from sales of our common stock in May 2015, and sales of our common stock from our ATM which was partially offset by $3.7 million in debt service payments under the Hercules Credit Agreement.</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February 2013, we entered into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(ATM) with Cantor Fitzgerald &amp; Co., as sales agent (Cantor), pursuant to which we may offer and sell, from time to time, through Cantor, shares of our common stock having an aggregate offering price of up to $25.0 million (the ATM Shares) pursuant to our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We will pay Cantor a commission of three percent of the aggregate gross proceeds from each sale of ATM Shares. We have sold and issued an aggregate of 1,479,535 shares under the ATM Agreement so far, receiving approximately $7.4 million in net proceeds.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3" w:name="page54"/>
    <w:bookmarkEnd w:id="53"/>
    <w:p>
      <w:pPr>
        <w:jc w:val="both"/>
        <w:ind w:right="40"/>
        <w:spacing w:after="0" w:line="257" w:lineRule="auto"/>
        <w:rPr>
          <w:sz w:val="20"/>
          <w:szCs w:val="20"/>
          <w:color w:val="auto"/>
        </w:rPr>
      </w:pPr>
      <w:r>
        <w:rPr>
          <w:rFonts w:ascii="Arial" w:cs="Arial" w:eastAsia="Arial" w:hAnsi="Arial"/>
          <w:sz w:val="18"/>
          <w:szCs w:val="18"/>
          <w:color w:val="auto"/>
        </w:rPr>
        <w:t>We believe that our cash and investment resources of $20.1 million on hand at December 31, 2015, coupled with the remaining availability of $17.4 million under the ATM, are sufficient to fund operations into the second quarter of 2017.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w:t>
      </w:r>
    </w:p>
    <w:p>
      <w:pPr>
        <w:spacing w:after="0" w:line="188"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We may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6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In 2011, we entered into a lease with Brandywine Operating Partnership, L.P. (Brandywine), a Delaware limited partnership for a 10,870 square foot premises located in Lawrenceville, New Jersey. In October 2011, we relocated our offices to Lawrenceville, New Jersey from Columbia, Maryland. The lease has a remaining term of 16 months. As required by the lease, we provided Brandywine with an irrevocable and unconditional standby letter of credit for $250,000, which we secured with an escrow deposit at our banking institution of this same amount. The lease stipulated standby letter of credit will be reduced by $50,000 on each of the 19th, 31st and 43rd months from the initial term, with the remaining $100,000 amount remaining until the term of the lease has expired. In connection with three $50,000 reductions of the standby letter of credit in April 2013, 2014 and 2015, we reduced the escrow deposit by $50,000 each time.</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acquisition of substantially all of the assets of EGEN, Inc., an Alabama corporation, in June 2014, we assumed the existing lease with another landlord for an 11,500 square foot premises located in Huntsville Alabama. This lease has a remaining term of 25 months with monthly rent payments of approximately $23,200.</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the future minimum payments required under leases that have initial or remaining lease terms of one year or more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Operating</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4040" w:type="dxa"/>
            <w:vAlign w:val="bottom"/>
          </w:tcPr>
          <w:p>
            <w:pPr>
              <w:spacing w:after="0"/>
              <w:rPr>
                <w:sz w:val="20"/>
                <w:szCs w:val="20"/>
                <w:color w:val="auto"/>
              </w:rPr>
            </w:pPr>
            <w:r>
              <w:rPr>
                <w:rFonts w:ascii="Arial" w:cs="Arial" w:eastAsia="Arial" w:hAnsi="Arial"/>
                <w:sz w:val="18"/>
                <w:szCs w:val="18"/>
                <w:color w:val="auto"/>
              </w:rPr>
              <w:t>For the year ending December 31:</w:t>
            </w:r>
          </w:p>
        </w:tc>
        <w:tc>
          <w:tcPr>
            <w:tcW w:w="5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Leases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10"/>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2016</w:t>
            </w:r>
          </w:p>
        </w:tc>
        <w:tc>
          <w:tcPr>
            <w:tcW w:w="5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575,513</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2017</w:t>
            </w: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378,042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5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2019 and beyond</w:t>
            </w:r>
          </w:p>
        </w:tc>
        <w:tc>
          <w:tcPr>
            <w:tcW w:w="5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5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5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976,755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Pr>
          <w:p>
            <w:pPr>
              <w:spacing w:after="0"/>
              <w:rPr>
                <w:sz w:val="21"/>
                <w:szCs w:val="21"/>
                <w:color w:val="auto"/>
              </w:rPr>
            </w:pPr>
          </w:p>
        </w:tc>
      </w:tr>
      <w:tr>
        <w:trPr>
          <w:trHeight w:val="656"/>
        </w:trPr>
        <w:tc>
          <w:tcPr>
            <w:tcW w:w="4040" w:type="dxa"/>
            <w:vAlign w:val="bottom"/>
          </w:tcPr>
          <w:p>
            <w:pPr>
              <w:spacing w:after="0"/>
              <w:rPr>
                <w:sz w:val="24"/>
                <w:szCs w:val="24"/>
                <w:color w:val="auto"/>
              </w:rPr>
            </w:pPr>
          </w:p>
        </w:tc>
        <w:tc>
          <w:tcPr>
            <w:tcW w:w="5180" w:type="dxa"/>
            <w:vAlign w:val="bottom"/>
          </w:tcPr>
          <w:p>
            <w:pPr>
              <w:jc w:val="right"/>
              <w:ind w:right="333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404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4040" w:type="dxa"/>
            <w:vAlign w:val="bottom"/>
            <w:shd w:val="clear" w:color="auto" w:fill="808080"/>
          </w:tcPr>
          <w:p>
            <w:pPr>
              <w:spacing w:after="0"/>
              <w:rPr>
                <w:sz w:val="5"/>
                <w:szCs w:val="5"/>
                <w:color w:val="auto"/>
              </w:rPr>
            </w:pPr>
          </w:p>
        </w:tc>
        <w:tc>
          <w:tcPr>
            <w:tcW w:w="51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Following is a schedule of future principle payments before debt discount due on the Hercules Credit Agreement:</w:t>
            </w: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20" w:type="dxa"/>
            <w:vAlign w:val="bottom"/>
            <w:gridSpan w:val="2"/>
          </w:tcPr>
          <w:p>
            <w:pPr>
              <w:spacing w:after="0"/>
              <w:rPr>
                <w:sz w:val="20"/>
                <w:szCs w:val="20"/>
                <w:color w:val="auto"/>
              </w:rPr>
            </w:pPr>
            <w:r>
              <w:rPr>
                <w:rFonts w:ascii="Arial" w:cs="Arial" w:eastAsia="Arial" w:hAnsi="Arial"/>
                <w:sz w:val="18"/>
                <w:szCs w:val="18"/>
                <w:color w:val="auto"/>
              </w:rPr>
              <w:t>For the year ending December 31:</w:t>
            </w: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Principle Payments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2,245,923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 and thereafter</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tcPr>
          <w:p>
            <w:pPr>
              <w:ind w:left="16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utilize off-balance sheet financing arrangements as a source of liquidity or financing.</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primary objective of our cash investment activities is to preserve principal while at the same time maximizing the income we receive from our investments without significantly increasing risk. Some of the securities that we invest in may be subject to market risk. This means that a change in prevailing interest rates may cause the principal amount of the investment to fluctuate. For example, if we hold a security that was issued with a fixed interest rate at the then-prevailing rate and the interest rate later rises, the principal amount of our investment will probably decline. A hypothetical 50 basis point increase in interest rates reduces the fair value of our available-for-sale securities at December 31, 2015 by an immaterial amount. To minimize this risk in the future, we intend to maintain our portfolio of cash equivalents and marketable securities in a variety of securities, including commercial paper, government and non-government debt securities and/or money market funds that invest in such securities. We have no holdings of derivative financial or commodity instruments. As of December 31, 2015, our investments consisted of investments in corporate notes and obligations or in money market accounts and checking funds with variable market rates of interest. We believe our credit risk is immaterial.</w:t>
      </w:r>
    </w:p>
    <w:p>
      <w:pPr>
        <w:spacing w:after="0" w:line="17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statements, supplementary data and report of independent registered public accounting firm are filed as part of this report on pages F-1 through F-34 and incorporated herein by reference.</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700" w:hanging="692"/>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conducted an evaluation of the effectiveness of the design and operation of our disclosure controls and procedures (as such term is defined in Rules 13a-15(e) and 15d-15(e) under the Securities Exchange Act of 1934, as amended (the Exchange Act)) under the supervision, and with the participation, of our management, including our principal executive officer and principal financial officer. Based on that evaluation, our principal executive officer and principal financial officer concluded that as of December 31, 2015, which is the end of the period covered by this Annual Report on Form 10-K, our disclosure controls and procedures are effective.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5" w:name="page56"/>
    <w:bookmarkEnd w:id="55"/>
    <w:p>
      <w:pPr>
        <w:ind w:left="720" w:hanging="712"/>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Management’s Report on Internal Control over Financial Reporting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Securities Exchange Act of 1934. Our internal control over financial reporting is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(GAAP). Our internal control over financial reporting includes those policies and procedures that: (i) pertain to the maintenance of records that, in reasonable detail, accurately and fairly reflect the transactions and disposition of the assets of the Company; (ii) provide reasonable assurance that transactions are recorded as necessary to permit preparation of financial statements in accordance with GAAP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2015. In making this assessment, management used the criteria set forth by the Committee of Sponsoring Organizations of the Treadway Commission in the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its evaluation, management has concluded that the Company’s internal control over financial reporting is effective as of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2015.</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Regulation S-K Item 308(b), this Annual Report on Form 10-K does not include an attestation report of our company’s registered public accounting firm regarding internal control over financial reporting.</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 control system, no matter how well designed and operated can provide only reasonable, but not absolute, assurance that the control system’s objectives will be met. The design of a control system must reflect the fact that there are resource constraints, and the benefits of controls must be considered relative to their cost.</w:t>
      </w:r>
    </w:p>
    <w:p>
      <w:pPr>
        <w:spacing w:after="0" w:line="188" w:lineRule="exact"/>
        <w:rPr>
          <w:sz w:val="20"/>
          <w:szCs w:val="20"/>
          <w:color w:val="auto"/>
        </w:rPr>
      </w:pPr>
    </w:p>
    <w:p>
      <w:pPr>
        <w:ind w:left="700" w:hanging="692"/>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in the fiscal quarter ended December 31, 2015, which were identified in connection with our management’s evaluation required by paragraph (d) of rules 13a-15 and 15d-15 under the Exchange Act, that have materially affected, or are reasonably likely to materially affect, our internal control over financial reporting.</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information required by this Item 10 is herein incorporated by reference to the definitive Proxy Statement to be filed with the Securities and Exchange Commission (SEC) pursuant to Regulation 14A within 120 days after the end of the fiscal year covered by this Annual Report on Form 10-K.</w:t>
      </w:r>
    </w:p>
    <w:p>
      <w:pPr>
        <w:spacing w:after="0" w:line="1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11 is herein incorporated by reference to the definitive Proxy Statement to be filed with the SEC pursuant to Regulation 14A within 120 days after the end of the fiscal year covered by this Annual Report on Form 10-K.</w:t>
      </w:r>
    </w:p>
    <w:p>
      <w:pPr>
        <w:spacing w:after="0" w:line="166" w:lineRule="exact"/>
        <w:rPr>
          <w:sz w:val="20"/>
          <w:szCs w:val="20"/>
          <w:color w:val="auto"/>
        </w:rPr>
      </w:pPr>
    </w:p>
    <w:p>
      <w:pPr>
        <w:ind w:left="1000" w:right="520" w:hanging="998"/>
        <w:spacing w:after="0" w:line="282" w:lineRule="auto"/>
        <w:tabs>
          <w:tab w:leader="none" w:pos="98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12 is herein incorporated by reference to the definitive Proxy Statement to be filed with the SEC pursuant to Regulation 14A within 120 days after the end of the fiscal year covered by this Annual Report on Form 10-K.</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13 is herein incorporated by reference to the definitive Proxy Statement to be filed with the SEC pursuant to Regulation 14A within 120 days after the end of the fiscal year covered by this Annual Report on Form 10-K.</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14 is herein incorporated by reference to the definitive Proxy Statement to be filed with the SEC pursuant to Regulation 14A within 120 days after the end of the fiscal year covered by this Annual Report on Form 10-K.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7" w:name="page58"/>
    <w:bookmarkEnd w:id="57"/>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is a list of the financial statements of Celsion Corporation filed with this Annual Report on Form 10-K, together with the reports of our independent registered public accountants and Management’s Report on Internal Control over Financial Reporting.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380" w:type="dxa"/>
            <w:vAlign w:val="bottom"/>
          </w:tcPr>
          <w:p>
            <w:pPr>
              <w:spacing w:after="0"/>
              <w:rPr>
                <w:sz w:val="20"/>
                <w:szCs w:val="20"/>
                <w:color w:val="auto"/>
              </w:rPr>
            </w:pPr>
          </w:p>
        </w:tc>
        <w:tc>
          <w:tcPr>
            <w:tcW w:w="6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REPORTS</w:t>
            </w:r>
          </w:p>
        </w:tc>
        <w:tc>
          <w:tcPr>
            <w:tcW w:w="93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76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Balance Sheets</w:t>
            </w:r>
          </w:p>
        </w:tc>
        <w:tc>
          <w:tcPr>
            <w:tcW w:w="9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Arial" w:cs="Arial" w:eastAsia="Arial" w:hAnsi="Arial"/>
                <w:sz w:val="18"/>
                <w:szCs w:val="18"/>
                <w:color w:val="auto"/>
              </w:rPr>
              <w:t>Statements of Operations</w:t>
            </w: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Statements of Comprehensive Loss</w:t>
            </w:r>
          </w:p>
        </w:tc>
        <w:tc>
          <w:tcPr>
            <w:tcW w:w="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Arial" w:cs="Arial" w:eastAsia="Arial" w:hAnsi="Arial"/>
                <w:sz w:val="18"/>
                <w:szCs w:val="18"/>
                <w:color w:val="auto"/>
              </w:rPr>
              <w:t>Statements of Cash Flows</w:t>
            </w: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Statements of Changes in Stockholders’ Equity</w:t>
            </w:r>
          </w:p>
        </w:tc>
        <w:tc>
          <w:tcPr>
            <w:tcW w:w="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76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TO FINANCIAL STATEMENTS</w:t>
            </w:r>
          </w:p>
        </w:tc>
        <w:tc>
          <w:tcPr>
            <w:tcW w:w="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F-10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780" w:type="dxa"/>
            <w:vAlign w:val="bottom"/>
            <w:gridSpan w:val="3"/>
          </w:tcPr>
          <w:p>
            <w:pPr>
              <w:spacing w:after="0"/>
              <w:rPr>
                <w:sz w:val="20"/>
                <w:szCs w:val="20"/>
                <w:color w:val="auto"/>
              </w:rPr>
            </w:pPr>
            <w:r>
              <w:rPr>
                <w:rFonts w:ascii="Arial" w:cs="Arial" w:eastAsia="Arial" w:hAnsi="Arial"/>
                <w:sz w:val="18"/>
                <w:szCs w:val="18"/>
                <w:b w:val="1"/>
                <w:bCs w:val="1"/>
                <w:color w:val="auto"/>
              </w:rPr>
              <w:t>2. FINANCIAL STATEMENT SCHEDULES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780" w:type="dxa"/>
            <w:vAlign w:val="bottom"/>
            <w:gridSpan w:val="3"/>
          </w:tcPr>
          <w:p>
            <w:pPr>
              <w:spacing w:after="0"/>
              <w:rPr>
                <w:sz w:val="20"/>
                <w:szCs w:val="20"/>
                <w:color w:val="auto"/>
              </w:rPr>
            </w:pPr>
            <w:r>
              <w:rPr>
                <w:rFonts w:ascii="Arial" w:cs="Arial" w:eastAsia="Arial" w:hAnsi="Arial"/>
                <w:sz w:val="18"/>
                <w:szCs w:val="18"/>
                <w:color w:val="auto"/>
                <w:w w:val="98"/>
              </w:rPr>
              <w:t>All financial statement schedules are omitted because the information is inapplicable or presented in the notes to the financial statements.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3. EXHIBITS</w:t>
            </w:r>
          </w:p>
        </w:tc>
        <w:tc>
          <w:tcPr>
            <w:tcW w:w="9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780" w:type="dxa"/>
            <w:vAlign w:val="bottom"/>
            <w:gridSpan w:val="3"/>
          </w:tcPr>
          <w:p>
            <w:pPr>
              <w:spacing w:after="0"/>
              <w:rPr>
                <w:sz w:val="20"/>
                <w:szCs w:val="20"/>
                <w:color w:val="auto"/>
              </w:rPr>
            </w:pPr>
            <w:r>
              <w:rPr>
                <w:rFonts w:ascii="Arial" w:cs="Arial" w:eastAsia="Arial" w:hAnsi="Arial"/>
                <w:sz w:val="18"/>
                <w:szCs w:val="18"/>
                <w:color w:val="auto"/>
              </w:rPr>
              <w:t>The following documents are included as exhibits to this report:</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EXHIBIT NO.</w:t>
            </w:r>
          </w:p>
        </w:tc>
        <w:tc>
          <w:tcPr>
            <w:tcW w:w="9380" w:type="dxa"/>
            <w:vAlign w:val="bottom"/>
          </w:tcPr>
          <w:p>
            <w:pPr>
              <w:ind w:left="4420"/>
              <w:spacing w:after="0"/>
              <w:rPr>
                <w:sz w:val="20"/>
                <w:szCs w:val="20"/>
                <w:color w:val="auto"/>
              </w:rPr>
            </w:pPr>
            <w:r>
              <w:rPr>
                <w:rFonts w:ascii="Arial" w:cs="Arial" w:eastAsia="Arial" w:hAnsi="Arial"/>
                <w:sz w:val="18"/>
                <w:szCs w:val="18"/>
                <w:b w:val="1"/>
                <w:bCs w:val="1"/>
                <w:color w:val="auto"/>
              </w:rPr>
              <w:t>DESCRIPTION</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9"/>
              </w:rPr>
              <w:t>2.1*</w:t>
            </w:r>
          </w:p>
        </w:tc>
        <w:tc>
          <w:tcPr>
            <w:tcW w:w="10060" w:type="dxa"/>
            <w:vAlign w:val="bottom"/>
            <w:gridSpan w:val="4"/>
          </w:tcPr>
          <w:p>
            <w:pPr>
              <w:ind w:left="80"/>
              <w:spacing w:after="0"/>
              <w:rPr>
                <w:sz w:val="20"/>
                <w:szCs w:val="20"/>
                <w:color w:val="auto"/>
              </w:rPr>
            </w:pPr>
            <w:r>
              <w:rPr>
                <w:rFonts w:ascii="Arial" w:cs="Arial" w:eastAsia="Arial" w:hAnsi="Arial"/>
                <w:sz w:val="18"/>
                <w:szCs w:val="18"/>
                <w:color w:val="auto"/>
                <w:w w:val="95"/>
              </w:rPr>
              <w:t>Asset Purchase Agreement dated as of June 6, 2014, by and between Celsion Corporation and EGEN, Inc., incorporated herein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380" w:type="dxa"/>
            <w:vAlign w:val="bottom"/>
          </w:tcPr>
          <w:p>
            <w:pPr>
              <w:ind w:left="80"/>
              <w:spacing w:after="0"/>
              <w:rPr>
                <w:sz w:val="20"/>
                <w:szCs w:val="20"/>
                <w:color w:val="auto"/>
              </w:rPr>
            </w:pPr>
            <w:r>
              <w:rPr>
                <w:rFonts w:ascii="Arial" w:cs="Arial" w:eastAsia="Arial" w:hAnsi="Arial"/>
                <w:sz w:val="18"/>
                <w:szCs w:val="18"/>
                <w:color w:val="auto"/>
              </w:rPr>
              <w:t>reference to Exhibit 2.1 to the Quarterly Report on Form 10-Q of the Company for the quarter ended June 30, 2014.</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3.1</w:t>
            </w:r>
          </w:p>
        </w:tc>
        <w:tc>
          <w:tcPr>
            <w:tcW w:w="10060" w:type="dxa"/>
            <w:vAlign w:val="bottom"/>
            <w:gridSpan w:val="4"/>
          </w:tcPr>
          <w:p>
            <w:pPr>
              <w:ind w:left="80"/>
              <w:spacing w:after="0"/>
              <w:rPr>
                <w:sz w:val="20"/>
                <w:szCs w:val="20"/>
                <w:color w:val="auto"/>
              </w:rPr>
            </w:pPr>
            <w:r>
              <w:rPr>
                <w:rFonts w:ascii="Arial" w:cs="Arial" w:eastAsia="Arial" w:hAnsi="Arial"/>
                <w:sz w:val="18"/>
                <w:szCs w:val="18"/>
                <w:color w:val="auto"/>
                <w:w w:val="92"/>
              </w:rPr>
              <w:t>Certificate of Incorporation of Celsion, as amended, incorporated herein by reference to Exhibit 3.1 to the Quarterly Report on Form 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380" w:type="dxa"/>
            <w:vAlign w:val="bottom"/>
          </w:tcPr>
          <w:p>
            <w:pPr>
              <w:ind w:left="80"/>
              <w:spacing w:after="0"/>
              <w:rPr>
                <w:sz w:val="20"/>
                <w:szCs w:val="20"/>
                <w:color w:val="auto"/>
              </w:rPr>
            </w:pPr>
            <w:r>
              <w:rPr>
                <w:rFonts w:ascii="Arial" w:cs="Arial" w:eastAsia="Arial" w:hAnsi="Arial"/>
                <w:sz w:val="18"/>
                <w:szCs w:val="18"/>
                <w:color w:val="auto"/>
              </w:rPr>
              <w:t>Q of the Company for the quarter ended June 30, 2004.</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3.2</w:t>
            </w:r>
          </w:p>
        </w:tc>
        <w:tc>
          <w:tcPr>
            <w:tcW w:w="10060" w:type="dxa"/>
            <w:vAlign w:val="bottom"/>
            <w:gridSpan w:val="4"/>
          </w:tcPr>
          <w:p>
            <w:pPr>
              <w:ind w:left="80"/>
              <w:spacing w:after="0"/>
              <w:rPr>
                <w:sz w:val="20"/>
                <w:szCs w:val="20"/>
                <w:color w:val="auto"/>
              </w:rPr>
            </w:pPr>
            <w:r>
              <w:rPr>
                <w:rFonts w:ascii="Arial" w:cs="Arial" w:eastAsia="Arial" w:hAnsi="Arial"/>
                <w:sz w:val="18"/>
                <w:szCs w:val="18"/>
                <w:color w:val="auto"/>
                <w:w w:val="94"/>
              </w:rPr>
              <w:t>Certificate of Ownership and Merger of Celsion Corporation (a Maryland Corporation) into Celsion (Delaware) Corporation (inter alia,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60" w:type="dxa"/>
            <w:vAlign w:val="bottom"/>
            <w:gridSpan w:val="4"/>
          </w:tcPr>
          <w:p>
            <w:pPr>
              <w:ind w:left="80"/>
              <w:spacing w:after="0"/>
              <w:rPr>
                <w:sz w:val="20"/>
                <w:szCs w:val="20"/>
                <w:color w:val="auto"/>
              </w:rPr>
            </w:pPr>
            <w:r>
              <w:rPr>
                <w:rFonts w:ascii="Arial" w:cs="Arial" w:eastAsia="Arial" w:hAnsi="Arial"/>
                <w:sz w:val="18"/>
                <w:szCs w:val="18"/>
                <w:color w:val="auto"/>
                <w:w w:val="95"/>
              </w:rPr>
              <w:t>changing the Company’s name to “Celsion Corporation” from “Celsion (Delaware) Corporation), incorporated herein by reference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380" w:type="dxa"/>
            <w:vAlign w:val="bottom"/>
          </w:tcPr>
          <w:p>
            <w:pPr>
              <w:ind w:left="80"/>
              <w:spacing w:after="0"/>
              <w:rPr>
                <w:sz w:val="20"/>
                <w:szCs w:val="20"/>
                <w:color w:val="auto"/>
              </w:rPr>
            </w:pPr>
            <w:r>
              <w:rPr>
                <w:rFonts w:ascii="Arial" w:cs="Arial" w:eastAsia="Arial" w:hAnsi="Arial"/>
                <w:sz w:val="18"/>
                <w:szCs w:val="18"/>
                <w:color w:val="auto"/>
              </w:rPr>
              <w:t>Exhibit 3.1.3 to the Annual Report on Form 10-K of the Company for the year ended September 30, 2000.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3.3</w:t>
            </w:r>
          </w:p>
        </w:tc>
        <w:tc>
          <w:tcPr>
            <w:tcW w:w="10060" w:type="dxa"/>
            <w:vAlign w:val="bottom"/>
            <w:gridSpan w:val="4"/>
          </w:tcPr>
          <w:p>
            <w:pPr>
              <w:ind w:left="80"/>
              <w:spacing w:after="0"/>
              <w:rPr>
                <w:sz w:val="20"/>
                <w:szCs w:val="20"/>
                <w:color w:val="auto"/>
              </w:rPr>
            </w:pPr>
            <w:r>
              <w:rPr>
                <w:rFonts w:ascii="Arial" w:cs="Arial" w:eastAsia="Arial" w:hAnsi="Arial"/>
                <w:sz w:val="18"/>
                <w:szCs w:val="18"/>
                <w:color w:val="auto"/>
                <w:w w:val="93"/>
              </w:rPr>
              <w:t>Certificate of Amendment of the Certificate of Incorporation effective and filed on February 27, 2006, incorporated therein by reference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380" w:type="dxa"/>
            <w:vAlign w:val="bottom"/>
          </w:tcPr>
          <w:p>
            <w:pPr>
              <w:ind w:left="80"/>
              <w:spacing w:after="0"/>
              <w:rPr>
                <w:sz w:val="20"/>
                <w:szCs w:val="20"/>
                <w:color w:val="auto"/>
              </w:rPr>
            </w:pPr>
            <w:r>
              <w:rPr>
                <w:rFonts w:ascii="Arial" w:cs="Arial" w:eastAsia="Arial" w:hAnsi="Arial"/>
                <w:sz w:val="18"/>
                <w:szCs w:val="18"/>
                <w:color w:val="auto"/>
              </w:rPr>
              <w:t>to Exhibit 3.1 to the Current Report on Form 8-K of the Company filed on March 1, 2006.</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3.4</w:t>
            </w:r>
          </w:p>
        </w:tc>
        <w:tc>
          <w:tcPr>
            <w:tcW w:w="10060" w:type="dxa"/>
            <w:vAlign w:val="bottom"/>
            <w:gridSpan w:val="4"/>
          </w:tcPr>
          <w:p>
            <w:pPr>
              <w:ind w:left="80"/>
              <w:spacing w:after="0"/>
              <w:rPr>
                <w:sz w:val="20"/>
                <w:szCs w:val="20"/>
                <w:color w:val="auto"/>
              </w:rPr>
            </w:pPr>
            <w:r>
              <w:rPr>
                <w:rFonts w:ascii="Arial" w:cs="Arial" w:eastAsia="Arial" w:hAnsi="Arial"/>
                <w:sz w:val="18"/>
                <w:szCs w:val="18"/>
                <w:color w:val="auto"/>
                <w:w w:val="94"/>
              </w:rPr>
              <w:t>Certificate of Amendment to Certificate of Incorporation of Celsion Corporation, incorporated herein by reference to Exhibit 3.1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380" w:type="dxa"/>
            <w:vAlign w:val="bottom"/>
          </w:tcPr>
          <w:p>
            <w:pPr>
              <w:ind w:left="80"/>
              <w:spacing w:after="0"/>
              <w:rPr>
                <w:sz w:val="20"/>
                <w:szCs w:val="20"/>
                <w:color w:val="auto"/>
              </w:rPr>
            </w:pPr>
            <w:r>
              <w:rPr>
                <w:rFonts w:ascii="Arial" w:cs="Arial" w:eastAsia="Arial" w:hAnsi="Arial"/>
                <w:sz w:val="18"/>
                <w:szCs w:val="18"/>
                <w:color w:val="auto"/>
              </w:rPr>
              <w:t>Current Report on Form 8-K of the Company, filed on October 29, 2013.</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3.5</w:t>
            </w:r>
          </w:p>
        </w:tc>
        <w:tc>
          <w:tcPr>
            <w:tcW w:w="10060" w:type="dxa"/>
            <w:vAlign w:val="bottom"/>
            <w:gridSpan w:val="4"/>
          </w:tcPr>
          <w:p>
            <w:pPr>
              <w:ind w:left="80"/>
              <w:spacing w:after="0"/>
              <w:rPr>
                <w:sz w:val="20"/>
                <w:szCs w:val="20"/>
                <w:color w:val="auto"/>
              </w:rPr>
            </w:pPr>
            <w:r>
              <w:rPr>
                <w:rFonts w:ascii="Arial" w:cs="Arial" w:eastAsia="Arial" w:hAnsi="Arial"/>
                <w:sz w:val="18"/>
                <w:szCs w:val="18"/>
                <w:color w:val="auto"/>
                <w:w w:val="91"/>
              </w:rPr>
              <w:t>By-laws of the Company, as amended and restated, incorporated herein by reference to Exhibit 3.1 to the Current Report on Form 8-K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380" w:type="dxa"/>
            <w:vAlign w:val="bottom"/>
          </w:tcPr>
          <w:p>
            <w:pPr>
              <w:ind w:left="80"/>
              <w:spacing w:after="0"/>
              <w:rPr>
                <w:sz w:val="20"/>
                <w:szCs w:val="20"/>
                <w:color w:val="auto"/>
              </w:rPr>
            </w:pPr>
            <w:r>
              <w:rPr>
                <w:rFonts w:ascii="Arial" w:cs="Arial" w:eastAsia="Arial" w:hAnsi="Arial"/>
                <w:sz w:val="18"/>
                <w:szCs w:val="18"/>
                <w:color w:val="auto"/>
              </w:rPr>
              <w:t>the Company, filed on December 1, 2011.</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4.1</w:t>
            </w:r>
          </w:p>
        </w:tc>
        <w:tc>
          <w:tcPr>
            <w:tcW w:w="10060" w:type="dxa"/>
            <w:vAlign w:val="bottom"/>
            <w:gridSpan w:val="4"/>
          </w:tcPr>
          <w:p>
            <w:pPr>
              <w:ind w:left="80"/>
              <w:spacing w:after="0"/>
              <w:rPr>
                <w:sz w:val="20"/>
                <w:szCs w:val="20"/>
                <w:color w:val="auto"/>
              </w:rPr>
            </w:pPr>
            <w:r>
              <w:rPr>
                <w:rFonts w:ascii="Arial" w:cs="Arial" w:eastAsia="Arial" w:hAnsi="Arial"/>
                <w:sz w:val="18"/>
                <w:szCs w:val="18"/>
                <w:color w:val="auto"/>
                <w:w w:val="92"/>
              </w:rPr>
              <w:t>Form of Common Stock Certificate, par value $0.01, incorporated herein by reference to Exhibit 4.1 to the Annual Report on Form 10-K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380" w:type="dxa"/>
            <w:vAlign w:val="bottom"/>
          </w:tcPr>
          <w:p>
            <w:pPr>
              <w:ind w:left="80"/>
              <w:spacing w:after="0"/>
              <w:rPr>
                <w:sz w:val="20"/>
                <w:szCs w:val="20"/>
                <w:color w:val="auto"/>
              </w:rPr>
            </w:pPr>
            <w:r>
              <w:rPr>
                <w:rFonts w:ascii="Arial" w:cs="Arial" w:eastAsia="Arial" w:hAnsi="Arial"/>
                <w:sz w:val="18"/>
                <w:szCs w:val="18"/>
                <w:color w:val="auto"/>
              </w:rPr>
              <w:t>of the Company for the year ended September 30, 2000.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380" w:type="dxa"/>
            <w:vAlign w:val="bottom"/>
          </w:tcPr>
          <w:p>
            <w:pPr>
              <w:ind w:left="4220"/>
              <w:spacing w:after="0"/>
              <w:rPr>
                <w:sz w:val="20"/>
                <w:szCs w:val="20"/>
                <w:color w:val="auto"/>
              </w:rPr>
            </w:pPr>
            <w:r>
              <w:rPr>
                <w:rFonts w:ascii="Arial" w:cs="Arial" w:eastAsia="Arial" w:hAnsi="Arial"/>
                <w:sz w:val="18"/>
                <w:szCs w:val="18"/>
                <w:color w:val="auto"/>
              </w:rPr>
              <w:t>54</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938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58" w:name="page59"/>
    <w:bookmarkEnd w:id="58"/>
    <w:p>
      <w:pPr>
        <w:ind w:left="740" w:hanging="685"/>
        <w:spacing w:after="0" w:line="277" w:lineRule="auto"/>
        <w:tabs>
          <w:tab w:leader="none" w:pos="7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Form of Common Stock Warrant, incorporated herein by reference to Exhibit 4.1 to the Current Report on Form 8-K of the Company filed on September 28, 2009.</w:t>
      </w:r>
    </w:p>
    <w:p>
      <w:pPr>
        <w:spacing w:after="0" w:line="170" w:lineRule="exact"/>
        <w:rPr>
          <w:sz w:val="20"/>
          <w:szCs w:val="20"/>
          <w:color w:val="auto"/>
        </w:rPr>
      </w:pPr>
    </w:p>
    <w:p>
      <w:pPr>
        <w:ind w:left="740" w:hanging="685"/>
        <w:spacing w:after="0" w:line="277" w:lineRule="auto"/>
        <w:tabs>
          <w:tab w:leader="none" w:pos="7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Registration Rights Agreement, dated June 17, 2010, by and between Celsion Corporation and Small Cap Biotech Value, Ltd., incorporated herein by reference to Exhibit 4.1 to the Current Report on Form 8-K of the Company filed on June 18, 2010.</w:t>
      </w:r>
    </w:p>
    <w:p>
      <w:pPr>
        <w:spacing w:after="0" w:line="170" w:lineRule="exact"/>
        <w:rPr>
          <w:sz w:val="20"/>
          <w:szCs w:val="20"/>
          <w:color w:val="auto"/>
        </w:rPr>
      </w:pPr>
    </w:p>
    <w:p>
      <w:pPr>
        <w:ind w:left="740" w:hanging="685"/>
        <w:spacing w:after="0" w:line="277" w:lineRule="auto"/>
        <w:tabs>
          <w:tab w:leader="none" w:pos="7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Form of Common Stock Warrant, incorporated herein by reference to Exhibit 4.2 to the Current Report on Form 8-K of the Company filed on January 18, 2011.</w:t>
      </w:r>
    </w:p>
    <w:p>
      <w:pPr>
        <w:spacing w:after="0" w:line="170" w:lineRule="exact"/>
        <w:rPr>
          <w:sz w:val="20"/>
          <w:szCs w:val="20"/>
          <w:color w:val="auto"/>
        </w:rPr>
      </w:pPr>
    </w:p>
    <w:p>
      <w:pPr>
        <w:ind w:left="740" w:hanging="685"/>
        <w:spacing w:after="0" w:line="277" w:lineRule="auto"/>
        <w:tabs>
          <w:tab w:leader="none" w:pos="7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Form of Common Stock Warrant incorporated herein by reference to Exhibit 4.1 to the Current Report on Form 8-K of the Company filed on June 2, 2011.</w:t>
      </w:r>
    </w:p>
    <w:p>
      <w:pPr>
        <w:spacing w:after="0" w:line="170" w:lineRule="exact"/>
        <w:rPr>
          <w:sz w:val="20"/>
          <w:szCs w:val="20"/>
          <w:color w:val="auto"/>
        </w:rPr>
      </w:pPr>
    </w:p>
    <w:p>
      <w:pPr>
        <w:ind w:left="740" w:hanging="685"/>
        <w:spacing w:after="0" w:line="277" w:lineRule="auto"/>
        <w:tabs>
          <w:tab w:leader="none" w:pos="7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Registration Rights Agreement, dated May 26, 2011, by and among Celsion Corporation and the purchasers named therein, incorporated herein by reference to Exhibit 10.2 to the Current Report on Form 8-K of the Company filed on June 2, 2011.</w:t>
      </w:r>
    </w:p>
    <w:p>
      <w:pPr>
        <w:spacing w:after="0" w:line="170" w:lineRule="exact"/>
        <w:rPr>
          <w:sz w:val="20"/>
          <w:szCs w:val="20"/>
          <w:color w:val="auto"/>
        </w:rPr>
      </w:pPr>
    </w:p>
    <w:p>
      <w:pPr>
        <w:ind w:left="740" w:hanging="685"/>
        <w:spacing w:after="0" w:line="277" w:lineRule="auto"/>
        <w:tabs>
          <w:tab w:leader="none" w:pos="7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Form of Common Stock Purchase Warrant, incorporated herein by reference to Exhibit 4.1 to the Current Report on Form 8-K of the Company filed on July 6, 2011.</w:t>
      </w:r>
    </w:p>
    <w:p>
      <w:pPr>
        <w:spacing w:after="0" w:line="170" w:lineRule="exact"/>
        <w:rPr>
          <w:sz w:val="20"/>
          <w:szCs w:val="20"/>
          <w:color w:val="auto"/>
        </w:rPr>
      </w:pPr>
    </w:p>
    <w:p>
      <w:pPr>
        <w:ind w:left="740" w:right="20" w:hanging="685"/>
        <w:spacing w:after="0" w:line="277" w:lineRule="auto"/>
        <w:tabs>
          <w:tab w:leader="none" w:pos="7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Registration Rights Agreement, dated July 25, 2011, by and between Celsion Corporation and the purchasers named therein, incorporated herein by reference to Exhibit 10.3 to the Current Report on Form 8-K of the Company filed on July 26, 2011.</w:t>
      </w:r>
    </w:p>
    <w:p>
      <w:pPr>
        <w:spacing w:after="0" w:line="170" w:lineRule="exact"/>
        <w:rPr>
          <w:sz w:val="20"/>
          <w:szCs w:val="20"/>
          <w:color w:val="auto"/>
        </w:rPr>
      </w:pPr>
    </w:p>
    <w:p>
      <w:pPr>
        <w:ind w:left="740" w:hanging="685"/>
        <w:spacing w:after="0" w:line="277" w:lineRule="auto"/>
        <w:tabs>
          <w:tab w:leader="none" w:pos="7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Form of Common Stock Purchase Warrant, incorporated herein by reference to Exhibit 4.1 to the Current Report on Form 8-K of the Company filed on July 26, 2011.</w:t>
      </w:r>
    </w:p>
    <w:p>
      <w:pPr>
        <w:spacing w:after="0" w:line="170" w:lineRule="exact"/>
        <w:rPr>
          <w:sz w:val="20"/>
          <w:szCs w:val="20"/>
          <w:color w:val="auto"/>
        </w:rPr>
      </w:pPr>
    </w:p>
    <w:p>
      <w:pPr>
        <w:jc w:val="both"/>
        <w:ind w:left="740" w:hanging="730"/>
        <w:spacing w:after="0" w:line="277" w:lineRule="auto"/>
        <w:tabs>
          <w:tab w:leader="none" w:pos="7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Form of Warrant to Purchase Common Stock, incorporated herein by reference to Exhibit 4.2 to the Current Report on Form 8-K of the Company filed on July 26, 2011.</w:t>
      </w:r>
    </w:p>
    <w:p>
      <w:pPr>
        <w:spacing w:after="0" w:line="170" w:lineRule="exact"/>
        <w:rPr>
          <w:sz w:val="20"/>
          <w:szCs w:val="20"/>
          <w:color w:val="auto"/>
        </w:rPr>
      </w:pPr>
    </w:p>
    <w:p>
      <w:pPr>
        <w:jc w:val="both"/>
        <w:ind w:left="740" w:right="20" w:hanging="727"/>
        <w:spacing w:after="0" w:line="277" w:lineRule="auto"/>
        <w:tabs>
          <w:tab w:leader="none" w:pos="7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Form Warrant to Purchase Common Stock Purchase, incorporated herein by reference to Exhibit 4.1 to the Current Report on Form 8-K filed on December 6, 2011.</w:t>
      </w:r>
    </w:p>
    <w:p>
      <w:pPr>
        <w:spacing w:after="0" w:line="170" w:lineRule="exact"/>
        <w:rPr>
          <w:sz w:val="20"/>
          <w:szCs w:val="20"/>
          <w:color w:val="auto"/>
        </w:rPr>
      </w:pPr>
    </w:p>
    <w:p>
      <w:pPr>
        <w:jc w:val="both"/>
        <w:ind w:left="740" w:hanging="730"/>
        <w:spacing w:after="0" w:line="308" w:lineRule="auto"/>
        <w:tabs>
          <w:tab w:leader="none" w:pos="7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7"/>
          <w:szCs w:val="17"/>
          <w:color w:val="auto"/>
        </w:rPr>
        <w:t>Registration Rights Agreement, dated December 1, 2011, by and between Celsion Corporation and the purchasers named therein, incorporated herein by reference to Exhibit 10.2 to the Current Report on Form 8-K of the Company filed on December 6, 2011.</w:t>
      </w:r>
    </w:p>
    <w:p>
      <w:pPr>
        <w:spacing w:after="0" w:line="147" w:lineRule="exact"/>
        <w:rPr>
          <w:sz w:val="20"/>
          <w:szCs w:val="20"/>
          <w:color w:val="auto"/>
        </w:rPr>
      </w:pPr>
    </w:p>
    <w:p>
      <w:pPr>
        <w:jc w:val="both"/>
        <w:ind w:left="740" w:hanging="730"/>
        <w:spacing w:after="0" w:line="277" w:lineRule="auto"/>
        <w:tabs>
          <w:tab w:leader="none" w:pos="72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Warrant to Purchase Stock, dated June 27, 2012, by and between Celsion Corporation and Oxford Financing LLC, incorporated herein by reference to Exhibit 4.1 to the Quarterly Report on Form 10-Q of the Company for the quarter ended June 30, 2012.</w:t>
      </w:r>
    </w:p>
    <w:p>
      <w:pPr>
        <w:spacing w:after="0" w:line="170" w:lineRule="exact"/>
        <w:rPr>
          <w:sz w:val="20"/>
          <w:szCs w:val="20"/>
          <w:color w:val="auto"/>
        </w:rPr>
      </w:pPr>
    </w:p>
    <w:p>
      <w:pPr>
        <w:jc w:val="both"/>
        <w:ind w:left="740" w:right="20" w:hanging="730"/>
        <w:spacing w:after="0" w:line="342" w:lineRule="auto"/>
        <w:tabs>
          <w:tab w:leader="none" w:pos="72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color w:val="auto"/>
        </w:rPr>
        <w:t>Warrant to Purchase Stock, dated June 27, 2012, by and between Celsion Corporation and Horizon Technology Finance Corporation, incorporated herein by reference to Exhibit 4.2 to the Quarterly Report on Form 10-Q of the Company for the quarter ended June 30, 2012.</w:t>
      </w:r>
    </w:p>
    <w:p>
      <w:pPr>
        <w:spacing w:after="0" w:line="124" w:lineRule="exact"/>
        <w:rPr>
          <w:sz w:val="20"/>
          <w:szCs w:val="20"/>
          <w:color w:val="auto"/>
        </w:rPr>
      </w:pPr>
    </w:p>
    <w:p>
      <w:pPr>
        <w:jc w:val="both"/>
        <w:ind w:left="740" w:hanging="730"/>
        <w:spacing w:after="0" w:line="277" w:lineRule="auto"/>
        <w:tabs>
          <w:tab w:leader="none" w:pos="72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Form of Common Stock Purchase Warrant, incorporated herein by reference to Exhibit 4.1 to the Current Report on Form 8-K of the Company filed on February 26, 2013.</w:t>
      </w:r>
    </w:p>
    <w:p>
      <w:pPr>
        <w:spacing w:after="0" w:line="170" w:lineRule="exact"/>
        <w:rPr>
          <w:sz w:val="20"/>
          <w:szCs w:val="20"/>
          <w:color w:val="auto"/>
        </w:rPr>
      </w:pPr>
    </w:p>
    <w:p>
      <w:pPr>
        <w:jc w:val="both"/>
        <w:ind w:left="740" w:hanging="730"/>
        <w:spacing w:after="0" w:line="277" w:lineRule="auto"/>
        <w:tabs>
          <w:tab w:leader="none" w:pos="72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color w:val="auto"/>
        </w:rPr>
        <w:t>Form of Series A Common Stock Purchase Warrant, incorporated herein by reference to Exhibit 4.1 to the Current Report on Form 8-K of the Company filed on January 21, 2014.</w:t>
      </w:r>
    </w:p>
    <w:p>
      <w:pPr>
        <w:spacing w:after="0" w:line="170" w:lineRule="exact"/>
        <w:rPr>
          <w:sz w:val="20"/>
          <w:szCs w:val="20"/>
          <w:color w:val="auto"/>
        </w:rPr>
      </w:pPr>
    </w:p>
    <w:p>
      <w:pPr>
        <w:jc w:val="both"/>
        <w:ind w:left="740" w:hanging="730"/>
        <w:spacing w:after="0" w:line="277" w:lineRule="auto"/>
        <w:tabs>
          <w:tab w:leader="none" w:pos="72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8"/>
          <w:szCs w:val="18"/>
          <w:color w:val="auto"/>
        </w:rPr>
        <w:t>Form of Series B Common Stock Purchase Warrant, incorporated herein by reference to Exhibit 4.2 to the Current Report on Form 8-K of the Company filed on January 21, 2014.</w:t>
      </w:r>
    </w:p>
    <w:p>
      <w:pPr>
        <w:spacing w:after="0" w:line="170" w:lineRule="exact"/>
        <w:rPr>
          <w:sz w:val="20"/>
          <w:szCs w:val="20"/>
          <w:color w:val="auto"/>
        </w:rPr>
      </w:pPr>
    </w:p>
    <w:p>
      <w:pPr>
        <w:jc w:val="both"/>
        <w:ind w:left="740" w:hanging="730"/>
        <w:spacing w:after="0" w:line="264" w:lineRule="auto"/>
        <w:tabs>
          <w:tab w:leader="none" w:pos="72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8"/>
          <w:szCs w:val="18"/>
          <w:color w:val="auto"/>
        </w:rPr>
        <w:t>Warrant Agreement to Purchase Shares of the Common Stock dated as of November 25, 2013, by and between Celsion Corporation and Hercules Technology Growth Capital, Inc., incorporated herein by reference to Exhibit 4.2 to the Registration Statement on Form S-3 (File No.: 333-193936) filed on February 13, 2014.</w:t>
      </w:r>
    </w:p>
    <w:p>
      <w:pPr>
        <w:spacing w:after="0" w:line="200" w:lineRule="exact"/>
        <w:rPr>
          <w:sz w:val="20"/>
          <w:szCs w:val="20"/>
          <w:color w:val="auto"/>
        </w:rPr>
      </w:pPr>
    </w:p>
    <w:p>
      <w:pPr>
        <w:spacing w:after="0" w:line="2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81280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00"/>
          </w:cols>
          <w:pgMar w:left="660" w:top="584"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6"/>
        </w:trPr>
        <w:tc>
          <w:tcPr>
            <w:tcW w:w="1040" w:type="dxa"/>
            <w:vAlign w:val="bottom"/>
          </w:tcPr>
          <w:p>
            <w:pPr>
              <w:jc w:val="center"/>
              <w:ind w:left="30"/>
              <w:spacing w:after="0"/>
              <w:rPr>
                <w:sz w:val="20"/>
                <w:szCs w:val="20"/>
                <w:color w:val="auto"/>
              </w:rPr>
            </w:pPr>
            <w:r>
              <w:rPr>
                <w:rFonts w:ascii="Arial" w:cs="Arial" w:eastAsia="Arial" w:hAnsi="Arial"/>
                <w:sz w:val="18"/>
                <w:szCs w:val="18"/>
                <w:color w:val="auto"/>
                <w:w w:val="91"/>
              </w:rPr>
              <w:t>4.19</w:t>
            </w:r>
          </w:p>
        </w:tc>
        <w:tc>
          <w:tcPr>
            <w:tcW w:w="10420" w:type="dxa"/>
            <w:vAlign w:val="bottom"/>
          </w:tcPr>
          <w:p>
            <w:pPr>
              <w:ind w:left="120"/>
              <w:spacing w:after="0"/>
              <w:rPr>
                <w:sz w:val="20"/>
                <w:szCs w:val="20"/>
                <w:color w:val="auto"/>
              </w:rPr>
            </w:pPr>
            <w:r>
              <w:rPr>
                <w:rFonts w:ascii="Arial" w:cs="Arial" w:eastAsia="Arial" w:hAnsi="Arial"/>
                <w:sz w:val="18"/>
                <w:szCs w:val="18"/>
                <w:color w:val="auto"/>
                <w:w w:val="91"/>
              </w:rPr>
              <w:t>Registration Agreement dated as of November 25, 2013, by and between Celsion Corporation and Hercules Technology Growth Capital, Inc.,</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w w:val="91"/>
              </w:rPr>
              <w:t>incorporated herein by reference to Exhibit 4.3 to the Registration Statement on Form S-3 (File No.: 333-193936) filed on February 13, 2014.</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w w:val="91"/>
              </w:rPr>
              <w:t>4.20</w:t>
            </w:r>
          </w:p>
        </w:tc>
        <w:tc>
          <w:tcPr>
            <w:tcW w:w="10420" w:type="dxa"/>
            <w:vAlign w:val="bottom"/>
          </w:tcPr>
          <w:p>
            <w:pPr>
              <w:ind w:left="120"/>
              <w:spacing w:after="0"/>
              <w:rPr>
                <w:sz w:val="20"/>
                <w:szCs w:val="20"/>
                <w:color w:val="auto"/>
              </w:rPr>
            </w:pPr>
            <w:r>
              <w:rPr>
                <w:rFonts w:ascii="Arial" w:cs="Arial" w:eastAsia="Arial" w:hAnsi="Arial"/>
                <w:sz w:val="18"/>
                <w:szCs w:val="18"/>
                <w:color w:val="auto"/>
                <w:w w:val="96"/>
              </w:rPr>
              <w:t>Registration Rights Agreement dated as of June 20, 2014, by and between Celsion Corporation and Egen, Inc., incorporated herein by</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reference to Exhibit 4.1 to the Quarterly Report on Form 10-Q of the Company for the quarter ended June 30, 2014.</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w w:val="91"/>
              </w:rPr>
              <w:t>4.21</w:t>
            </w:r>
          </w:p>
        </w:tc>
        <w:tc>
          <w:tcPr>
            <w:tcW w:w="10420" w:type="dxa"/>
            <w:vAlign w:val="bottom"/>
          </w:tcPr>
          <w:p>
            <w:pPr>
              <w:ind w:left="120"/>
              <w:spacing w:after="0"/>
              <w:rPr>
                <w:sz w:val="20"/>
                <w:szCs w:val="20"/>
                <w:color w:val="auto"/>
              </w:rPr>
            </w:pPr>
            <w:r>
              <w:rPr>
                <w:rFonts w:ascii="Arial" w:cs="Arial" w:eastAsia="Arial" w:hAnsi="Arial"/>
                <w:sz w:val="18"/>
                <w:szCs w:val="18"/>
                <w:color w:val="auto"/>
                <w:w w:val="98"/>
              </w:rPr>
              <w:t>Form of Common Stock Purchase Warrant, incorporated herein by reference to Exhibit 4.1 to the Current Report on Form 8-K of the</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Company filed on May 29, 2015.</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rPr>
              <w:t>10.1***</w:t>
            </w:r>
          </w:p>
        </w:tc>
        <w:tc>
          <w:tcPr>
            <w:tcW w:w="10420" w:type="dxa"/>
            <w:vAlign w:val="bottom"/>
          </w:tcPr>
          <w:p>
            <w:pPr>
              <w:ind w:left="120"/>
              <w:spacing w:after="0"/>
              <w:rPr>
                <w:sz w:val="20"/>
                <w:szCs w:val="20"/>
                <w:color w:val="auto"/>
              </w:rPr>
            </w:pPr>
            <w:r>
              <w:rPr>
                <w:rFonts w:ascii="Arial" w:cs="Arial" w:eastAsia="Arial" w:hAnsi="Arial"/>
                <w:sz w:val="18"/>
                <w:szCs w:val="18"/>
                <w:color w:val="auto"/>
                <w:w w:val="92"/>
              </w:rPr>
              <w:t>Celsion Corporation 2004 Stock Incentive Plan, incorporated herein by reference to Exhibit 10.1 to the Quarterly Report on Form 10-Q of the</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Company for the quarter ended June 30, 2004.</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rPr>
              <w:t>10.2***</w:t>
            </w:r>
          </w:p>
        </w:tc>
        <w:tc>
          <w:tcPr>
            <w:tcW w:w="10420" w:type="dxa"/>
            <w:vAlign w:val="bottom"/>
          </w:tcPr>
          <w:p>
            <w:pPr>
              <w:ind w:left="120"/>
              <w:spacing w:after="0"/>
              <w:rPr>
                <w:sz w:val="20"/>
                <w:szCs w:val="20"/>
                <w:color w:val="auto"/>
              </w:rPr>
            </w:pPr>
            <w:r>
              <w:rPr>
                <w:rFonts w:ascii="Arial" w:cs="Arial" w:eastAsia="Arial" w:hAnsi="Arial"/>
                <w:sz w:val="18"/>
                <w:szCs w:val="18"/>
                <w:color w:val="auto"/>
                <w:w w:val="92"/>
              </w:rPr>
              <w:t>Celsion Corporation 2007 Stock Incentive Plan, as amended, incorporated herein by reference to Exhibit 10.1 to the Current Report on Form</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8-K of the Company filed on June 19, 2015.</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rPr>
              <w:t>10.3***</w:t>
            </w:r>
          </w:p>
        </w:tc>
        <w:tc>
          <w:tcPr>
            <w:tcW w:w="10420" w:type="dxa"/>
            <w:vAlign w:val="bottom"/>
          </w:tcPr>
          <w:p>
            <w:pPr>
              <w:ind w:left="120"/>
              <w:spacing w:after="0"/>
              <w:rPr>
                <w:sz w:val="20"/>
                <w:szCs w:val="20"/>
                <w:color w:val="auto"/>
              </w:rPr>
            </w:pPr>
            <w:r>
              <w:rPr>
                <w:rFonts w:ascii="Arial" w:cs="Arial" w:eastAsia="Arial" w:hAnsi="Arial"/>
                <w:sz w:val="18"/>
                <w:szCs w:val="18"/>
                <w:color w:val="auto"/>
                <w:w w:val="93"/>
              </w:rPr>
              <w:t>Form of Restricted Stock Agreement for Celsion Corporation 2004 Stock Incentive Plan, incorporated herein by reference to Exhibit 10.1 to</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the Quarterly Report on Form 10-Q of the Company for the quarter ended September 30, 2006.</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rPr>
              <w:t>10.4***</w:t>
            </w:r>
          </w:p>
        </w:tc>
        <w:tc>
          <w:tcPr>
            <w:tcW w:w="10420" w:type="dxa"/>
            <w:vAlign w:val="bottom"/>
          </w:tcPr>
          <w:p>
            <w:pPr>
              <w:ind w:left="120"/>
              <w:spacing w:after="0"/>
              <w:rPr>
                <w:sz w:val="20"/>
                <w:szCs w:val="20"/>
                <w:color w:val="auto"/>
              </w:rPr>
            </w:pPr>
            <w:r>
              <w:rPr>
                <w:rFonts w:ascii="Arial" w:cs="Arial" w:eastAsia="Arial" w:hAnsi="Arial"/>
                <w:sz w:val="18"/>
                <w:szCs w:val="18"/>
                <w:color w:val="auto"/>
                <w:w w:val="92"/>
              </w:rPr>
              <w:t>Form of Stock Option Grant Agreement for Celsion Corporation 2004 Stock Incentive Plan, incorporated herein by reference to Exhibit 10.2</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to the Quarterly Report on Form 10-Q of the Company for the quarter ended September 30, 2006.</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rPr>
              <w:t>10.5***</w:t>
            </w:r>
          </w:p>
        </w:tc>
        <w:tc>
          <w:tcPr>
            <w:tcW w:w="10420" w:type="dxa"/>
            <w:vAlign w:val="bottom"/>
          </w:tcPr>
          <w:p>
            <w:pPr>
              <w:ind w:left="120"/>
              <w:spacing w:after="0"/>
              <w:rPr>
                <w:sz w:val="20"/>
                <w:szCs w:val="20"/>
                <w:color w:val="auto"/>
              </w:rPr>
            </w:pPr>
            <w:r>
              <w:rPr>
                <w:rFonts w:ascii="Arial" w:cs="Arial" w:eastAsia="Arial" w:hAnsi="Arial"/>
                <w:sz w:val="18"/>
                <w:szCs w:val="18"/>
                <w:color w:val="auto"/>
                <w:w w:val="91"/>
              </w:rPr>
              <w:t>Form of Restricted Stock Agreement for Celsion Corporation 2007 Stock Incentive Plan, incorporated herein by reference to Exhibit 10.1.5 to</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the Annual Report on Form 10-K of the Company for the year ended December 31, 2007.</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rPr>
              <w:t>10.6***</w:t>
            </w:r>
          </w:p>
        </w:tc>
        <w:tc>
          <w:tcPr>
            <w:tcW w:w="10420" w:type="dxa"/>
            <w:vAlign w:val="bottom"/>
          </w:tcPr>
          <w:p>
            <w:pPr>
              <w:ind w:left="120"/>
              <w:spacing w:after="0"/>
              <w:rPr>
                <w:sz w:val="20"/>
                <w:szCs w:val="20"/>
                <w:color w:val="auto"/>
              </w:rPr>
            </w:pPr>
            <w:r>
              <w:rPr>
                <w:rFonts w:ascii="Arial" w:cs="Arial" w:eastAsia="Arial" w:hAnsi="Arial"/>
                <w:sz w:val="18"/>
                <w:szCs w:val="18"/>
                <w:color w:val="auto"/>
              </w:rPr>
              <w:t>Form of Stock Option Grant Agreement for Celsion Corporation 2007 Stock Incentive Plan, incorporated herein by reference to</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Exhibit 10.1.6 to the Annual Report on Form 10-K of the Company for the year ended December 31, 2007.</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rPr>
              <w:t>10.7***</w:t>
            </w:r>
          </w:p>
        </w:tc>
        <w:tc>
          <w:tcPr>
            <w:tcW w:w="10420" w:type="dxa"/>
            <w:vAlign w:val="bottom"/>
          </w:tcPr>
          <w:p>
            <w:pPr>
              <w:ind w:left="120"/>
              <w:spacing w:after="0"/>
              <w:rPr>
                <w:sz w:val="20"/>
                <w:szCs w:val="20"/>
                <w:color w:val="auto"/>
              </w:rPr>
            </w:pPr>
            <w:r>
              <w:rPr>
                <w:rFonts w:ascii="Arial" w:cs="Arial" w:eastAsia="Arial" w:hAnsi="Arial"/>
                <w:sz w:val="18"/>
                <w:szCs w:val="18"/>
                <w:color w:val="auto"/>
                <w:w w:val="91"/>
              </w:rPr>
              <w:t>Stock Option Agreement effective January 3, 2007, between Celsion Corporation and Michael H. Tardugno, incorporated herein by reference</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Exhibit 10.1 to the Current Report on Form 8-K of the Company filed on January 3, 2007.</w:t>
            </w:r>
          </w:p>
        </w:tc>
      </w:tr>
      <w:tr>
        <w:trPr>
          <w:trHeight w:val="432"/>
        </w:trPr>
        <w:tc>
          <w:tcPr>
            <w:tcW w:w="1040" w:type="dxa"/>
            <w:vAlign w:val="bottom"/>
          </w:tcPr>
          <w:p>
            <w:pPr>
              <w:jc w:val="center"/>
              <w:ind w:left="30"/>
              <w:spacing w:after="0"/>
              <w:rPr>
                <w:sz w:val="20"/>
                <w:szCs w:val="20"/>
                <w:color w:val="auto"/>
              </w:rPr>
            </w:pPr>
            <w:r>
              <w:rPr>
                <w:rFonts w:ascii="Arial" w:cs="Arial" w:eastAsia="Arial" w:hAnsi="Arial"/>
                <w:sz w:val="18"/>
                <w:szCs w:val="18"/>
                <w:color w:val="auto"/>
              </w:rPr>
              <w:t>10.8***+</w:t>
            </w:r>
          </w:p>
        </w:tc>
        <w:tc>
          <w:tcPr>
            <w:tcW w:w="10420" w:type="dxa"/>
            <w:vAlign w:val="bottom"/>
          </w:tcPr>
          <w:p>
            <w:pPr>
              <w:ind w:left="120"/>
              <w:spacing w:after="0"/>
              <w:rPr>
                <w:sz w:val="20"/>
                <w:szCs w:val="20"/>
                <w:color w:val="auto"/>
              </w:rPr>
            </w:pPr>
            <w:r>
              <w:rPr>
                <w:rFonts w:ascii="Arial" w:cs="Arial" w:eastAsia="Arial" w:hAnsi="Arial"/>
                <w:sz w:val="18"/>
                <w:szCs w:val="18"/>
                <w:color w:val="auto"/>
                <w:w w:val="95"/>
              </w:rPr>
              <w:t>Amended and Restated Employment Agreement, effective March 30, 2016, between Celsion Corporation and Mr. Michael H. Tardugno.</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rPr>
              <w:t>10.9***</w:t>
            </w:r>
          </w:p>
        </w:tc>
        <w:tc>
          <w:tcPr>
            <w:tcW w:w="10420" w:type="dxa"/>
            <w:vAlign w:val="bottom"/>
          </w:tcPr>
          <w:p>
            <w:pPr>
              <w:ind w:left="120"/>
              <w:spacing w:after="0"/>
              <w:rPr>
                <w:sz w:val="20"/>
                <w:szCs w:val="20"/>
                <w:color w:val="auto"/>
              </w:rPr>
            </w:pPr>
            <w:r>
              <w:rPr>
                <w:rFonts w:ascii="Arial" w:cs="Arial" w:eastAsia="Arial" w:hAnsi="Arial"/>
                <w:sz w:val="18"/>
                <w:szCs w:val="18"/>
                <w:color w:val="auto"/>
                <w:w w:val="92"/>
              </w:rPr>
              <w:t>Employment Offer Letter, entered into on June 15, 2010, between the Company and Jeffrey W. Church, incorporated herein by reference to</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Exhibit 10.1 to the Current Report on Form 8-K of the Company filed on June 18, 2010.</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w w:val="92"/>
              </w:rPr>
              <w:t>10.10*</w:t>
            </w:r>
          </w:p>
        </w:tc>
        <w:tc>
          <w:tcPr>
            <w:tcW w:w="10420" w:type="dxa"/>
            <w:vAlign w:val="bottom"/>
          </w:tcPr>
          <w:p>
            <w:pPr>
              <w:ind w:left="120"/>
              <w:spacing w:after="0"/>
              <w:rPr>
                <w:sz w:val="20"/>
                <w:szCs w:val="20"/>
                <w:color w:val="auto"/>
              </w:rPr>
            </w:pPr>
            <w:r>
              <w:rPr>
                <w:rFonts w:ascii="Arial" w:cs="Arial" w:eastAsia="Arial" w:hAnsi="Arial"/>
                <w:sz w:val="18"/>
                <w:szCs w:val="18"/>
                <w:color w:val="auto"/>
                <w:w w:val="91"/>
              </w:rPr>
              <w:t>Patent License Agreement between the Company and Duke University dated November 10, 1999, incorporated herein by reference to Exhibit</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10.9 to the Annual Report on Form 10-K of the Company for the year ended September 30, 1999.</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w w:val="92"/>
              </w:rPr>
              <w:t>10.11*</w:t>
            </w:r>
          </w:p>
        </w:tc>
        <w:tc>
          <w:tcPr>
            <w:tcW w:w="10420" w:type="dxa"/>
            <w:vAlign w:val="bottom"/>
          </w:tcPr>
          <w:p>
            <w:pPr>
              <w:ind w:left="120"/>
              <w:spacing w:after="0"/>
              <w:rPr>
                <w:sz w:val="20"/>
                <w:szCs w:val="20"/>
                <w:color w:val="auto"/>
              </w:rPr>
            </w:pPr>
            <w:r>
              <w:rPr>
                <w:rFonts w:ascii="Arial" w:cs="Arial" w:eastAsia="Arial" w:hAnsi="Arial"/>
                <w:sz w:val="18"/>
                <w:szCs w:val="18"/>
                <w:color w:val="auto"/>
                <w:w w:val="92"/>
              </w:rPr>
              <w:t>License Agreement dated July 18, 2003, between the Company and Duke University, incorporated herein by reference to Exhibit 10.1 to the</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Registration Statement of the Company (File No. 333-108318) filed on August 28, 2003.</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w w:val="92"/>
              </w:rPr>
              <w:t>10.12*</w:t>
            </w:r>
          </w:p>
        </w:tc>
        <w:tc>
          <w:tcPr>
            <w:tcW w:w="10420" w:type="dxa"/>
            <w:vAlign w:val="bottom"/>
          </w:tcPr>
          <w:p>
            <w:pPr>
              <w:ind w:left="120"/>
              <w:spacing w:after="0"/>
              <w:rPr>
                <w:sz w:val="20"/>
                <w:szCs w:val="20"/>
                <w:color w:val="auto"/>
              </w:rPr>
            </w:pPr>
            <w:r>
              <w:rPr>
                <w:rFonts w:ascii="Arial" w:cs="Arial" w:eastAsia="Arial" w:hAnsi="Arial"/>
                <w:sz w:val="18"/>
                <w:szCs w:val="18"/>
                <w:color w:val="auto"/>
                <w:w w:val="94"/>
              </w:rPr>
              <w:t>Development, Product Supply and Commercialization Agreement, effective December 5, 2008, by and between the Company and Yakult</w:t>
            </w:r>
          </w:p>
        </w:tc>
      </w:tr>
      <w:tr>
        <w:trPr>
          <w:trHeight w:val="216"/>
        </w:trPr>
        <w:tc>
          <w:tcPr>
            <w:tcW w:w="1040" w:type="dxa"/>
            <w:vAlign w:val="bottom"/>
          </w:tcPr>
          <w:p>
            <w:pPr>
              <w:spacing w:after="0"/>
              <w:rPr>
                <w:sz w:val="18"/>
                <w:szCs w:val="18"/>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w w:val="93"/>
              </w:rPr>
              <w:t>Honsha Co., Ltd., incorporated herein by reference to Exhibit 10.15 to the Annual Report on Form 10-K of the Company for the year ended</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December 31, 2008.</w:t>
            </w:r>
          </w:p>
        </w:tc>
      </w:tr>
      <w:tr>
        <w:trPr>
          <w:trHeight w:val="675"/>
        </w:trPr>
        <w:tc>
          <w:tcPr>
            <w:tcW w:w="1040" w:type="dxa"/>
            <w:vAlign w:val="bottom"/>
          </w:tcPr>
          <w:p>
            <w:pPr>
              <w:spacing w:after="0"/>
              <w:rPr>
                <w:sz w:val="24"/>
                <w:szCs w:val="24"/>
                <w:color w:val="auto"/>
              </w:rPr>
            </w:pPr>
          </w:p>
        </w:tc>
        <w:tc>
          <w:tcPr>
            <w:tcW w:w="10420" w:type="dxa"/>
            <w:vAlign w:val="bottom"/>
          </w:tcPr>
          <w:p>
            <w:pPr>
              <w:ind w:left="4580"/>
              <w:spacing w:after="0"/>
              <w:rPr>
                <w:sz w:val="20"/>
                <w:szCs w:val="20"/>
                <w:color w:val="auto"/>
              </w:rPr>
            </w:pPr>
            <w:r>
              <w:rPr>
                <w:rFonts w:ascii="Arial" w:cs="Arial" w:eastAsia="Arial" w:hAnsi="Arial"/>
                <w:sz w:val="18"/>
                <w:szCs w:val="18"/>
                <w:color w:val="auto"/>
              </w:rPr>
              <w:t>56</w:t>
            </w:r>
          </w:p>
        </w:tc>
      </w:tr>
      <w:tr>
        <w:trPr>
          <w:trHeight w:val="105"/>
        </w:trPr>
        <w:tc>
          <w:tcPr>
            <w:tcW w:w="1040" w:type="dxa"/>
            <w:vAlign w:val="bottom"/>
          </w:tcPr>
          <w:p>
            <w:pPr>
              <w:spacing w:after="0"/>
              <w:rPr>
                <w:sz w:val="9"/>
                <w:szCs w:val="9"/>
                <w:color w:val="auto"/>
              </w:rPr>
            </w:pPr>
          </w:p>
        </w:tc>
        <w:tc>
          <w:tcPr>
            <w:tcW w:w="10420" w:type="dxa"/>
            <w:vAlign w:val="bottom"/>
          </w:tcPr>
          <w:p>
            <w:pPr>
              <w:spacing w:after="0"/>
              <w:rPr>
                <w:sz w:val="9"/>
                <w:szCs w:val="9"/>
                <w:color w:val="auto"/>
              </w:rPr>
            </w:pPr>
          </w:p>
        </w:tc>
      </w:tr>
      <w:tr>
        <w:trPr>
          <w:trHeight w:val="61"/>
        </w:trPr>
        <w:tc>
          <w:tcPr>
            <w:tcW w:w="1040" w:type="dxa"/>
            <w:vAlign w:val="bottom"/>
            <w:shd w:val="clear" w:color="auto" w:fill="808080"/>
          </w:tcPr>
          <w:p>
            <w:pPr>
              <w:spacing w:after="0"/>
              <w:rPr>
                <w:sz w:val="5"/>
                <w:szCs w:val="5"/>
                <w:color w:val="auto"/>
              </w:rPr>
            </w:pPr>
          </w:p>
        </w:tc>
        <w:tc>
          <w:tcPr>
            <w:tcW w:w="104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jc w:val="center"/>
              <w:ind w:left="30"/>
              <w:spacing w:after="0"/>
              <w:rPr>
                <w:sz w:val="20"/>
                <w:szCs w:val="20"/>
                <w:color w:val="auto"/>
              </w:rPr>
            </w:pPr>
            <w:r>
              <w:rPr>
                <w:rFonts w:ascii="Arial" w:cs="Arial" w:eastAsia="Arial" w:hAnsi="Arial"/>
                <w:sz w:val="18"/>
                <w:szCs w:val="18"/>
                <w:color w:val="auto"/>
                <w:w w:val="92"/>
              </w:rPr>
              <w:t>10.13*</w:t>
            </w:r>
          </w:p>
        </w:tc>
        <w:tc>
          <w:tcPr>
            <w:tcW w:w="10420" w:type="dxa"/>
            <w:vAlign w:val="bottom"/>
          </w:tcPr>
          <w:p>
            <w:pPr>
              <w:ind w:left="120"/>
              <w:spacing w:after="0"/>
              <w:rPr>
                <w:sz w:val="20"/>
                <w:szCs w:val="20"/>
                <w:color w:val="auto"/>
              </w:rPr>
            </w:pPr>
            <w:r>
              <w:rPr>
                <w:rFonts w:ascii="Arial" w:cs="Arial" w:eastAsia="Arial" w:hAnsi="Arial"/>
                <w:sz w:val="18"/>
                <w:szCs w:val="18"/>
                <w:color w:val="auto"/>
                <w:w w:val="93"/>
              </w:rPr>
              <w:t>The 2nd Amendment To The Development, Product Supply And Commercialization Agreement, effective January 7, 2011, by and between</w:t>
            </w:r>
          </w:p>
        </w:tc>
      </w:tr>
      <w:tr>
        <w:trPr>
          <w:trHeight w:val="216"/>
        </w:trPr>
        <w:tc>
          <w:tcPr>
            <w:tcW w:w="1040" w:type="dxa"/>
            <w:vAlign w:val="bottom"/>
          </w:tcPr>
          <w:p>
            <w:pPr>
              <w:spacing w:after="0"/>
              <w:rPr>
                <w:sz w:val="18"/>
                <w:szCs w:val="18"/>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w w:val="97"/>
              </w:rPr>
              <w:t>the Company and Yakult Honsha Co., Ltd. incorporated herein by reference to Exhibit 10.1 to the Current Report on Form 8-K of the</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Company filed on January 18, 2011.</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w w:val="88"/>
              </w:rPr>
              <w:t>10.14</w:t>
            </w:r>
          </w:p>
        </w:tc>
        <w:tc>
          <w:tcPr>
            <w:tcW w:w="10420" w:type="dxa"/>
            <w:vAlign w:val="bottom"/>
          </w:tcPr>
          <w:p>
            <w:pPr>
              <w:ind w:left="120"/>
              <w:spacing w:after="0"/>
              <w:rPr>
                <w:sz w:val="20"/>
                <w:szCs w:val="20"/>
                <w:color w:val="auto"/>
              </w:rPr>
            </w:pPr>
            <w:r>
              <w:rPr>
                <w:rFonts w:ascii="Arial" w:cs="Arial" w:eastAsia="Arial" w:hAnsi="Arial"/>
                <w:sz w:val="18"/>
                <w:szCs w:val="18"/>
                <w:color w:val="auto"/>
                <w:w w:val="92"/>
              </w:rPr>
              <w:t>Lease Agreement, executed July 21, 2011, by and between Celsion Corporation and Brandywine Operating Partnership, L.P., incorporated</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herein by reference to Exhibit 10.1 to the Current Report on Form 8-K of the Company filed on July 25, 2011.</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rPr>
              <w:t>10.15***</w:t>
            </w:r>
          </w:p>
        </w:tc>
        <w:tc>
          <w:tcPr>
            <w:tcW w:w="10420" w:type="dxa"/>
            <w:vAlign w:val="bottom"/>
          </w:tcPr>
          <w:p>
            <w:pPr>
              <w:ind w:left="120"/>
              <w:spacing w:after="0"/>
              <w:rPr>
                <w:sz w:val="20"/>
                <w:szCs w:val="20"/>
                <w:color w:val="auto"/>
              </w:rPr>
            </w:pPr>
            <w:r>
              <w:rPr>
                <w:rFonts w:ascii="Arial" w:cs="Arial" w:eastAsia="Arial" w:hAnsi="Arial"/>
                <w:sz w:val="18"/>
                <w:szCs w:val="18"/>
                <w:color w:val="auto"/>
                <w:w w:val="97"/>
              </w:rPr>
              <w:t>Change in control severance agreement, dated November 29, 2011, by and between Celsion Corporation and Michael H. Tardugno,</w:t>
            </w:r>
          </w:p>
        </w:tc>
      </w:tr>
      <w:tr>
        <w:trPr>
          <w:trHeight w:val="216"/>
        </w:trPr>
        <w:tc>
          <w:tcPr>
            <w:tcW w:w="1040" w:type="dxa"/>
            <w:vAlign w:val="bottom"/>
          </w:tcPr>
          <w:p>
            <w:pPr>
              <w:spacing w:after="0"/>
              <w:rPr>
                <w:sz w:val="18"/>
                <w:szCs w:val="18"/>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w w:val="94"/>
              </w:rPr>
              <w:t>incorporated herein by reference to Exhibit 10.38 to the Annual Report on Form 10-K/A of the Company for the year ended December 31,</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2011.</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rPr>
              <w:t>10.16***</w:t>
            </w:r>
          </w:p>
        </w:tc>
        <w:tc>
          <w:tcPr>
            <w:tcW w:w="10420" w:type="dxa"/>
            <w:vAlign w:val="bottom"/>
          </w:tcPr>
          <w:p>
            <w:pPr>
              <w:ind w:left="120"/>
              <w:spacing w:after="0"/>
              <w:rPr>
                <w:sz w:val="20"/>
                <w:szCs w:val="20"/>
                <w:color w:val="auto"/>
              </w:rPr>
            </w:pPr>
            <w:r>
              <w:rPr>
                <w:rFonts w:ascii="Arial" w:cs="Arial" w:eastAsia="Arial" w:hAnsi="Arial"/>
                <w:sz w:val="18"/>
                <w:szCs w:val="18"/>
                <w:color w:val="auto"/>
                <w:w w:val="97"/>
              </w:rPr>
              <w:t>Change in control severance agreement, dated November 29, 2011, by and between Celsion Corporation and Nicholas Borys, M.D.,</w:t>
            </w:r>
          </w:p>
        </w:tc>
      </w:tr>
      <w:tr>
        <w:trPr>
          <w:trHeight w:val="216"/>
        </w:trPr>
        <w:tc>
          <w:tcPr>
            <w:tcW w:w="1040" w:type="dxa"/>
            <w:vAlign w:val="bottom"/>
          </w:tcPr>
          <w:p>
            <w:pPr>
              <w:spacing w:after="0"/>
              <w:rPr>
                <w:sz w:val="18"/>
                <w:szCs w:val="18"/>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w w:val="94"/>
              </w:rPr>
              <w:t>incorporated herein by reference to Exhibit 10.40 to the Annual Report on Form 10-K/A of the Company for the year ended December 31,</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2011.</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rPr>
              <w:t>10.17***</w:t>
            </w:r>
          </w:p>
        </w:tc>
        <w:tc>
          <w:tcPr>
            <w:tcW w:w="10420" w:type="dxa"/>
            <w:vAlign w:val="bottom"/>
          </w:tcPr>
          <w:p>
            <w:pPr>
              <w:ind w:left="120"/>
              <w:spacing w:after="0"/>
              <w:rPr>
                <w:sz w:val="20"/>
                <w:szCs w:val="20"/>
                <w:color w:val="auto"/>
              </w:rPr>
            </w:pPr>
            <w:r>
              <w:rPr>
                <w:rFonts w:ascii="Arial" w:cs="Arial" w:eastAsia="Arial" w:hAnsi="Arial"/>
                <w:sz w:val="18"/>
                <w:szCs w:val="18"/>
                <w:color w:val="auto"/>
                <w:w w:val="90"/>
              </w:rPr>
              <w:t>Change in control severance agreement, dated November 29, 2011, by and between Celsion Corporation and Jeffrey W. Church, incorporated</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w w:val="99"/>
              </w:rPr>
              <w:t>herein by reference to Exhibit 10.41 to the Annual Report on Form 10-K/A of the Company for the year ended December 31, 2011.</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w w:val="92"/>
              </w:rPr>
              <w:t>10.18*</w:t>
            </w:r>
          </w:p>
        </w:tc>
        <w:tc>
          <w:tcPr>
            <w:tcW w:w="10420" w:type="dxa"/>
            <w:vAlign w:val="bottom"/>
          </w:tcPr>
          <w:p>
            <w:pPr>
              <w:ind w:left="120"/>
              <w:spacing w:after="0"/>
              <w:rPr>
                <w:sz w:val="20"/>
                <w:szCs w:val="20"/>
                <w:color w:val="auto"/>
              </w:rPr>
            </w:pPr>
            <w:r>
              <w:rPr>
                <w:rFonts w:ascii="Arial" w:cs="Arial" w:eastAsia="Arial" w:hAnsi="Arial"/>
                <w:sz w:val="18"/>
                <w:szCs w:val="18"/>
                <w:color w:val="auto"/>
                <w:w w:val="92"/>
              </w:rPr>
              <w:t>Technology Development Agreement effective as of May 7, 2012, by and between Celsion Corporation and Zhejiang Hisun Pharmaceutical</w:t>
            </w:r>
          </w:p>
        </w:tc>
      </w:tr>
      <w:tr>
        <w:trPr>
          <w:trHeight w:val="216"/>
        </w:trPr>
        <w:tc>
          <w:tcPr>
            <w:tcW w:w="1040" w:type="dxa"/>
            <w:vAlign w:val="bottom"/>
          </w:tcPr>
          <w:p>
            <w:pPr>
              <w:spacing w:after="0"/>
              <w:rPr>
                <w:sz w:val="18"/>
                <w:szCs w:val="18"/>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w w:val="92"/>
              </w:rPr>
              <w:t>Co. Ltd., incorporated herein by reference to Exhibit 10.2 to the Quarterly Report on Form 10-Q of the Company for the quarter ended June</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30, 2012.</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w w:val="88"/>
              </w:rPr>
              <w:t>10.19</w:t>
            </w:r>
          </w:p>
        </w:tc>
        <w:tc>
          <w:tcPr>
            <w:tcW w:w="10420" w:type="dxa"/>
            <w:vAlign w:val="bottom"/>
          </w:tcPr>
          <w:p>
            <w:pPr>
              <w:ind w:left="120"/>
              <w:spacing w:after="0"/>
              <w:rPr>
                <w:sz w:val="20"/>
                <w:szCs w:val="20"/>
                <w:color w:val="auto"/>
              </w:rPr>
            </w:pPr>
            <w:r>
              <w:rPr>
                <w:rFonts w:ascii="Arial" w:cs="Arial" w:eastAsia="Arial" w:hAnsi="Arial"/>
                <w:sz w:val="18"/>
                <w:szCs w:val="18"/>
                <w:color w:val="auto"/>
                <w:w w:val="93"/>
              </w:rPr>
              <w:t>Loan and Security Agreement, dated June 27, 2012, by and among Celsion Corporation, Oxford Finance LLC, as collateral agent, and the</w:t>
            </w:r>
          </w:p>
        </w:tc>
      </w:tr>
      <w:tr>
        <w:trPr>
          <w:trHeight w:val="216"/>
        </w:trPr>
        <w:tc>
          <w:tcPr>
            <w:tcW w:w="1040" w:type="dxa"/>
            <w:vAlign w:val="bottom"/>
          </w:tcPr>
          <w:p>
            <w:pPr>
              <w:spacing w:after="0"/>
              <w:rPr>
                <w:sz w:val="18"/>
                <w:szCs w:val="18"/>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w w:val="91"/>
              </w:rPr>
              <w:t>lenders named therein, incorporated herein by reference to Exhibit 10.3 to the Quarterly Report on Form 10-Q of the Company for the quarter</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ended June 30, 2012.</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w w:val="88"/>
              </w:rPr>
              <w:t>10.20</w:t>
            </w:r>
          </w:p>
        </w:tc>
        <w:tc>
          <w:tcPr>
            <w:tcW w:w="10420" w:type="dxa"/>
            <w:vAlign w:val="bottom"/>
          </w:tcPr>
          <w:p>
            <w:pPr>
              <w:ind w:left="120"/>
              <w:spacing w:after="0"/>
              <w:rPr>
                <w:sz w:val="20"/>
                <w:szCs w:val="20"/>
                <w:color w:val="auto"/>
              </w:rPr>
            </w:pPr>
            <w:r>
              <w:rPr>
                <w:rFonts w:ascii="Arial" w:cs="Arial" w:eastAsia="Arial" w:hAnsi="Arial"/>
                <w:sz w:val="18"/>
                <w:szCs w:val="18"/>
                <w:color w:val="auto"/>
                <w:w w:val="92"/>
              </w:rPr>
              <w:t>Controlled Equity Offering</w:t>
            </w:r>
            <w:r>
              <w:rPr>
                <w:rFonts w:ascii="Arial" w:cs="Arial" w:eastAsia="Arial" w:hAnsi="Arial"/>
                <w:sz w:val="30"/>
                <w:szCs w:val="30"/>
                <w:color w:val="auto"/>
                <w:w w:val="92"/>
                <w:vertAlign w:val="superscript"/>
              </w:rPr>
              <w:t>SM</w:t>
            </w:r>
            <w:r>
              <w:rPr>
                <w:rFonts w:ascii="Arial" w:cs="Arial" w:eastAsia="Arial" w:hAnsi="Arial"/>
                <w:sz w:val="18"/>
                <w:szCs w:val="18"/>
                <w:color w:val="auto"/>
                <w:w w:val="92"/>
              </w:rPr>
              <w:t xml:space="preserve"> Sales Agreement, dated February 1, 2013, by and between Celsion Corporation and Cantor Fitzgerald &amp; Co.,</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incorporated herein by reference to Exhibit 10.1 to the Current Report on Form 8-K of the Company filed on February 1, 2013.</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w w:val="88"/>
              </w:rPr>
              <w:t>10.21</w:t>
            </w:r>
          </w:p>
        </w:tc>
        <w:tc>
          <w:tcPr>
            <w:tcW w:w="10420" w:type="dxa"/>
            <w:vAlign w:val="bottom"/>
          </w:tcPr>
          <w:p>
            <w:pPr>
              <w:ind w:left="120"/>
              <w:spacing w:after="0"/>
              <w:rPr>
                <w:sz w:val="20"/>
                <w:szCs w:val="20"/>
                <w:color w:val="auto"/>
              </w:rPr>
            </w:pPr>
            <w:r>
              <w:rPr>
                <w:rFonts w:ascii="Arial" w:cs="Arial" w:eastAsia="Arial" w:hAnsi="Arial"/>
                <w:sz w:val="18"/>
                <w:szCs w:val="18"/>
                <w:color w:val="auto"/>
                <w:w w:val="90"/>
              </w:rPr>
              <w:t>Securities Purchase Agreement, dated February 22, 2013, by and among Celsion Corporation and the purchasers named therein, incorporated</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herein by reference to Exhibit 10.1 to the Current Report on Form 8-K of the Company filed on February 26, 2013.</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w w:val="92"/>
              </w:rPr>
              <w:t>10.22*</w:t>
            </w:r>
          </w:p>
        </w:tc>
        <w:tc>
          <w:tcPr>
            <w:tcW w:w="10420" w:type="dxa"/>
            <w:vAlign w:val="bottom"/>
          </w:tcPr>
          <w:p>
            <w:pPr>
              <w:ind w:left="120"/>
              <w:spacing w:after="0"/>
              <w:rPr>
                <w:sz w:val="20"/>
                <w:szCs w:val="20"/>
                <w:color w:val="auto"/>
              </w:rPr>
            </w:pPr>
            <w:r>
              <w:rPr>
                <w:rFonts w:ascii="Arial" w:cs="Arial" w:eastAsia="Arial" w:hAnsi="Arial"/>
                <w:sz w:val="18"/>
                <w:szCs w:val="18"/>
                <w:color w:val="auto"/>
                <w:w w:val="92"/>
              </w:rPr>
              <w:t>Technology Development Contract dated as of January 18, 2013, by and between Celsion Corporation and Zhejiang Hisun Pharmaceutical</w:t>
            </w:r>
          </w:p>
        </w:tc>
      </w:tr>
      <w:tr>
        <w:trPr>
          <w:trHeight w:val="216"/>
        </w:trPr>
        <w:tc>
          <w:tcPr>
            <w:tcW w:w="1040" w:type="dxa"/>
            <w:vAlign w:val="bottom"/>
          </w:tcPr>
          <w:p>
            <w:pPr>
              <w:spacing w:after="0"/>
              <w:rPr>
                <w:sz w:val="18"/>
                <w:szCs w:val="18"/>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w w:val="91"/>
              </w:rPr>
              <w:t>Co. Ltd., incorporated herein by reference to Exhibit 10.1 to the Quarterly Report on Form 10-Q of the Company for the quarter ended March</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31, 2013.</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w w:val="88"/>
              </w:rPr>
              <w:t>10.23</w:t>
            </w:r>
          </w:p>
        </w:tc>
        <w:tc>
          <w:tcPr>
            <w:tcW w:w="10420" w:type="dxa"/>
            <w:vAlign w:val="bottom"/>
          </w:tcPr>
          <w:p>
            <w:pPr>
              <w:ind w:left="120"/>
              <w:spacing w:after="0"/>
              <w:rPr>
                <w:sz w:val="20"/>
                <w:szCs w:val="20"/>
                <w:color w:val="auto"/>
              </w:rPr>
            </w:pPr>
            <w:r>
              <w:rPr>
                <w:rFonts w:ascii="Arial" w:cs="Arial" w:eastAsia="Arial" w:hAnsi="Arial"/>
                <w:sz w:val="18"/>
                <w:szCs w:val="18"/>
                <w:color w:val="auto"/>
                <w:w w:val="96"/>
              </w:rPr>
              <w:t>Loan and Security Agreement dated as of November 25, 2013, by and between Celsion Corporation and Hercules Technology Growth</w:t>
            </w:r>
          </w:p>
        </w:tc>
      </w:tr>
      <w:tr>
        <w:trPr>
          <w:trHeight w:val="216"/>
        </w:trPr>
        <w:tc>
          <w:tcPr>
            <w:tcW w:w="1040" w:type="dxa"/>
            <w:vAlign w:val="bottom"/>
          </w:tcPr>
          <w:p>
            <w:pPr>
              <w:spacing w:after="0"/>
              <w:rPr>
                <w:sz w:val="18"/>
                <w:szCs w:val="18"/>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w w:val="96"/>
              </w:rPr>
              <w:t>Capital, Inc., incorporated herein by reference to Exhibit 10.28 to the Annual Report on Form 10-K of the Company for the year ended</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December 31, 2013.</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w w:val="88"/>
              </w:rPr>
              <w:t>10.24</w:t>
            </w:r>
          </w:p>
        </w:tc>
        <w:tc>
          <w:tcPr>
            <w:tcW w:w="10420" w:type="dxa"/>
            <w:vAlign w:val="bottom"/>
          </w:tcPr>
          <w:p>
            <w:pPr>
              <w:ind w:left="120"/>
              <w:spacing w:after="0"/>
              <w:rPr>
                <w:sz w:val="20"/>
                <w:szCs w:val="20"/>
                <w:color w:val="auto"/>
              </w:rPr>
            </w:pPr>
            <w:r>
              <w:rPr>
                <w:rFonts w:ascii="Arial" w:cs="Arial" w:eastAsia="Arial" w:hAnsi="Arial"/>
                <w:sz w:val="18"/>
                <w:szCs w:val="18"/>
                <w:color w:val="auto"/>
                <w:w w:val="95"/>
              </w:rPr>
              <w:t>Securities Purchase Agreement dated as of January 15, 2014, by and between Celsion Corporation and the purchasers named therein,</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incorporated herein by reference to Exhibit 10.1 to the Current Report on Form 8-K of the Company filed on January 21, 2014.</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rPr>
              <w:t>10.25***</w:t>
            </w:r>
          </w:p>
        </w:tc>
        <w:tc>
          <w:tcPr>
            <w:tcW w:w="10420" w:type="dxa"/>
            <w:vAlign w:val="bottom"/>
          </w:tcPr>
          <w:p>
            <w:pPr>
              <w:ind w:left="120"/>
              <w:spacing w:after="0"/>
              <w:rPr>
                <w:sz w:val="20"/>
                <w:szCs w:val="20"/>
                <w:color w:val="auto"/>
              </w:rPr>
            </w:pPr>
            <w:r>
              <w:rPr>
                <w:rFonts w:ascii="Arial" w:cs="Arial" w:eastAsia="Arial" w:hAnsi="Arial"/>
                <w:sz w:val="18"/>
                <w:szCs w:val="18"/>
                <w:color w:val="auto"/>
                <w:w w:val="95"/>
              </w:rPr>
              <w:t>Employment Offer Letter effective as of June 2, 2014, between the Company and Khursheed Anwer incorporated herein by reference to</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Exhibit 10.27 to the Annual Report on Form 10-K of the Company for the year ended December 31, 2014.</w:t>
            </w:r>
          </w:p>
        </w:tc>
      </w:tr>
      <w:tr>
        <w:trPr>
          <w:trHeight w:val="418"/>
        </w:trPr>
        <w:tc>
          <w:tcPr>
            <w:tcW w:w="1040" w:type="dxa"/>
            <w:vAlign w:val="bottom"/>
          </w:tcPr>
          <w:p>
            <w:pPr>
              <w:jc w:val="center"/>
              <w:ind w:left="30"/>
              <w:spacing w:after="0"/>
              <w:rPr>
                <w:sz w:val="20"/>
                <w:szCs w:val="20"/>
                <w:color w:val="auto"/>
              </w:rPr>
            </w:pPr>
            <w:r>
              <w:rPr>
                <w:rFonts w:ascii="Arial" w:cs="Arial" w:eastAsia="Arial" w:hAnsi="Arial"/>
                <w:sz w:val="18"/>
                <w:szCs w:val="18"/>
                <w:color w:val="auto"/>
                <w:w w:val="92"/>
              </w:rPr>
              <w:t>10.26*</w:t>
            </w:r>
          </w:p>
        </w:tc>
        <w:tc>
          <w:tcPr>
            <w:tcW w:w="10420" w:type="dxa"/>
            <w:vAlign w:val="bottom"/>
          </w:tcPr>
          <w:p>
            <w:pPr>
              <w:ind w:left="120"/>
              <w:spacing w:after="0"/>
              <w:rPr>
                <w:sz w:val="20"/>
                <w:szCs w:val="20"/>
                <w:color w:val="auto"/>
              </w:rPr>
            </w:pPr>
            <w:r>
              <w:rPr>
                <w:rFonts w:ascii="Arial" w:cs="Arial" w:eastAsia="Arial" w:hAnsi="Arial"/>
                <w:sz w:val="18"/>
                <w:szCs w:val="18"/>
                <w:color w:val="auto"/>
                <w:w w:val="90"/>
              </w:rPr>
              <w:t>Early Access Agreement dated as of January 13, 2015, by and between the Company and Impatients N.V., incorporated herein by reference to</w:t>
            </w:r>
          </w:p>
        </w:tc>
      </w:tr>
      <w:tr>
        <w:trPr>
          <w:trHeight w:val="230"/>
        </w:trPr>
        <w:tc>
          <w:tcPr>
            <w:tcW w:w="104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Exhibit 10.1 to the Quarterly Report on Form 10-Q/A of the Company for the quarter ended March 31, 2015.</w:t>
            </w:r>
          </w:p>
        </w:tc>
      </w:tr>
      <w:tr>
        <w:trPr>
          <w:trHeight w:val="675"/>
        </w:trPr>
        <w:tc>
          <w:tcPr>
            <w:tcW w:w="1040" w:type="dxa"/>
            <w:vAlign w:val="bottom"/>
          </w:tcPr>
          <w:p>
            <w:pPr>
              <w:spacing w:after="0"/>
              <w:rPr>
                <w:sz w:val="24"/>
                <w:szCs w:val="24"/>
                <w:color w:val="auto"/>
              </w:rPr>
            </w:pPr>
          </w:p>
        </w:tc>
        <w:tc>
          <w:tcPr>
            <w:tcW w:w="10420" w:type="dxa"/>
            <w:vAlign w:val="bottom"/>
          </w:tcPr>
          <w:p>
            <w:pPr>
              <w:ind w:left="4580"/>
              <w:spacing w:after="0"/>
              <w:rPr>
                <w:sz w:val="20"/>
                <w:szCs w:val="20"/>
                <w:color w:val="auto"/>
              </w:rPr>
            </w:pPr>
            <w:r>
              <w:rPr>
                <w:rFonts w:ascii="Arial" w:cs="Arial" w:eastAsia="Arial" w:hAnsi="Arial"/>
                <w:sz w:val="18"/>
                <w:szCs w:val="18"/>
                <w:color w:val="auto"/>
              </w:rPr>
              <w:t>57</w:t>
            </w:r>
          </w:p>
        </w:tc>
      </w:tr>
      <w:tr>
        <w:trPr>
          <w:trHeight w:val="105"/>
        </w:trPr>
        <w:tc>
          <w:tcPr>
            <w:tcW w:w="1040" w:type="dxa"/>
            <w:vAlign w:val="bottom"/>
          </w:tcPr>
          <w:p>
            <w:pPr>
              <w:spacing w:after="0"/>
              <w:rPr>
                <w:sz w:val="9"/>
                <w:szCs w:val="9"/>
                <w:color w:val="auto"/>
              </w:rPr>
            </w:pPr>
          </w:p>
        </w:tc>
        <w:tc>
          <w:tcPr>
            <w:tcW w:w="10420" w:type="dxa"/>
            <w:vAlign w:val="bottom"/>
          </w:tcPr>
          <w:p>
            <w:pPr>
              <w:spacing w:after="0"/>
              <w:rPr>
                <w:sz w:val="9"/>
                <w:szCs w:val="9"/>
                <w:color w:val="auto"/>
              </w:rPr>
            </w:pPr>
          </w:p>
        </w:tc>
      </w:tr>
      <w:tr>
        <w:trPr>
          <w:trHeight w:val="61"/>
        </w:trPr>
        <w:tc>
          <w:tcPr>
            <w:tcW w:w="1040" w:type="dxa"/>
            <w:vAlign w:val="bottom"/>
            <w:shd w:val="clear" w:color="auto" w:fill="808080"/>
          </w:tcPr>
          <w:p>
            <w:pPr>
              <w:spacing w:after="0"/>
              <w:rPr>
                <w:sz w:val="5"/>
                <w:szCs w:val="5"/>
                <w:color w:val="auto"/>
              </w:rPr>
            </w:pPr>
          </w:p>
        </w:tc>
        <w:tc>
          <w:tcPr>
            <w:tcW w:w="104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61" w:name="page62"/>
    <w:bookmarkEnd w:id="61"/>
    <w:p>
      <w:pPr>
        <w:ind w:left="800" w:right="60" w:hanging="776"/>
        <w:spacing w:after="0" w:line="308" w:lineRule="auto"/>
        <w:tabs>
          <w:tab w:leader="none" w:pos="78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7"/>
          <w:szCs w:val="17"/>
          <w:color w:val="auto"/>
        </w:rPr>
        <w:t>Securities Purchase Agreement dated as of May 27, 2015, by and among Celsion Corporation and the purchasers named therein, incorporated herein by reference to Exhibit 10.1 to the Current Report on Form 8-K of the Company filed on May 29, 2015.</w:t>
      </w:r>
    </w:p>
    <w:p>
      <w:pPr>
        <w:spacing w:after="0" w:line="147"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Celsion Corporation</w:t>
      </w:r>
    </w:p>
    <w:p>
      <w:pPr>
        <w:spacing w:after="0" w:line="225"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Stegman &amp; Company, independent registered public accounting firm for the Company.</w:t>
      </w:r>
    </w:p>
    <w:p>
      <w:pPr>
        <w:spacing w:after="0" w:line="225"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3"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ind w:left="20"/>
        <w:spacing w:after="0"/>
        <w:tabs>
          <w:tab w:leader="none" w:pos="780" w:val="left"/>
        </w:tabs>
        <w:rPr>
          <w:sz w:val="20"/>
          <w:szCs w:val="20"/>
          <w:color w:val="auto"/>
        </w:rPr>
      </w:pPr>
      <w:r>
        <w:rPr>
          <w:rFonts w:ascii="Arial" w:cs="Arial" w:eastAsia="Arial" w:hAnsi="Arial"/>
          <w:sz w:val="26"/>
          <w:szCs w:val="26"/>
          <w:color w:val="auto"/>
          <w:vertAlign w:val="subscript"/>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w:t>
      </w:r>
    </w:p>
    <w:p>
      <w:pPr>
        <w:ind w:left="800"/>
        <w:spacing w:after="0"/>
        <w:rPr>
          <w:sz w:val="20"/>
          <w:szCs w:val="20"/>
          <w:color w:val="auto"/>
        </w:rPr>
      </w:pPr>
      <w:r>
        <w:rPr>
          <w:rFonts w:ascii="Arial" w:cs="Arial" w:eastAsia="Arial" w:hAnsi="Arial"/>
          <w:sz w:val="18"/>
          <w:szCs w:val="18"/>
          <w:color w:val="auto"/>
        </w:rPr>
        <w:t>2002.</w:t>
      </w:r>
    </w:p>
    <w:p>
      <w:pPr>
        <w:spacing w:after="0" w:line="209"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jc w:val="both"/>
        <w:ind w:left="800" w:hanging="799"/>
        <w:spacing w:after="0" w:line="302" w:lineRule="auto"/>
        <w:tabs>
          <w:tab w:leader="none" w:pos="78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the Company’s Annual Report on Form 10-K for the fiscal year ended December 31, 2015, formatted in XBRL (Extensible Business Reporting Language): (i) the audited Consolidated Balance Sheets, (ii) the audited Consolidated Statements of Operations, (iii) the audited Consolidated Statements of Comprehensive Loss, (iv) the audited Consolidated Statements of Cash Flows, (v) the audited Consolidated Statements of Changes in Stockholders’ Equity and (vi) Notes to Consolidated Financial Statements.</w:t>
      </w:r>
    </w:p>
    <w:p>
      <w:pPr>
        <w:spacing w:after="0" w:line="370" w:lineRule="exact"/>
        <w:rPr>
          <w:sz w:val="20"/>
          <w:szCs w:val="20"/>
          <w:color w:val="auto"/>
        </w:rPr>
      </w:pPr>
    </w:p>
    <w:p>
      <w:pPr>
        <w:ind w:left="800" w:hanging="623"/>
        <w:spacing w:after="0" w:line="274" w:lineRule="auto"/>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Portions of this exhibit have been omitted pursuant to a request for confidential treatment under Rule 24b-2 of the Securities Exchange Act of 1934, amended, and the omitted material has been separately filed with the Securities and Exchange Commission.</w:t>
      </w:r>
    </w:p>
    <w:p>
      <w:pPr>
        <w:ind w:left="800" w:hanging="629"/>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800" w:hanging="62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800" w:hanging="668"/>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9" w:lineRule="exact"/>
        <w:rPr>
          <w:sz w:val="20"/>
          <w:szCs w:val="20"/>
          <w:color w:val="auto"/>
        </w:rPr>
      </w:pPr>
    </w:p>
    <w:p>
      <w:pPr>
        <w:ind w:left="800" w:hanging="71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5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81280</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600" w:top="638" w:right="239" w:bottom="1440" w:gutter="0" w:footer="0" w:header="0"/>
        </w:sectPr>
      </w:pPr>
    </w:p>
    <w:bookmarkStart w:id="62" w:name="page63"/>
    <w:bookmarkEnd w:id="6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its annual report on Form 10-K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6620" w:type="dxa"/>
            <w:vAlign w:val="bottom"/>
            <w:gridSpan w:val="2"/>
          </w:tcPr>
          <w:p>
            <w:pPr>
              <w:ind w:left="2280"/>
              <w:spacing w:after="0"/>
              <w:rPr>
                <w:sz w:val="20"/>
                <w:szCs w:val="20"/>
                <w:color w:val="auto"/>
              </w:rPr>
            </w:pPr>
            <w:r>
              <w:rPr>
                <w:rFonts w:ascii="Arial" w:cs="Arial" w:eastAsia="Arial" w:hAnsi="Arial"/>
                <w:sz w:val="18"/>
                <w:szCs w:val="18"/>
                <w:color w:val="auto"/>
              </w:rPr>
              <w:t>CELSION CORPORATION</w:t>
            </w:r>
          </w:p>
        </w:tc>
      </w:tr>
      <w:tr>
        <w:trPr>
          <w:trHeight w:val="230"/>
        </w:trPr>
        <w:tc>
          <w:tcPr>
            <w:tcW w:w="34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Arial" w:cs="Arial" w:eastAsia="Arial" w:hAnsi="Arial"/>
                <w:sz w:val="18"/>
                <w:szCs w:val="18"/>
                <w:color w:val="auto"/>
              </w:rPr>
              <w:t>Registrant</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March 30, 2016</w:t>
            </w:r>
          </w:p>
        </w:tc>
        <w:tc>
          <w:tcPr>
            <w:tcW w:w="6620" w:type="dxa"/>
            <w:vAlign w:val="bottom"/>
            <w:gridSpan w:val="2"/>
          </w:tcPr>
          <w:p>
            <w:pPr>
              <w:ind w:left="2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H. TARDUGNO</w:t>
            </w:r>
          </w:p>
        </w:tc>
      </w:tr>
      <w:tr>
        <w:trPr>
          <w:trHeight w:val="195"/>
        </w:trPr>
        <w:tc>
          <w:tcPr>
            <w:tcW w:w="34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7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Michael H. Tardugno</w:t>
            </w:r>
          </w:p>
        </w:tc>
      </w:tr>
      <w:tr>
        <w:trPr>
          <w:trHeight w:val="216"/>
        </w:trPr>
        <w:tc>
          <w:tcPr>
            <w:tcW w:w="3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Chairman of the Board, President and</w:t>
            </w:r>
          </w:p>
        </w:tc>
      </w:tr>
      <w:tr>
        <w:trPr>
          <w:trHeight w:val="230"/>
        </w:trPr>
        <w:tc>
          <w:tcPr>
            <w:tcW w:w="34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March 30, 2016</w:t>
            </w:r>
          </w:p>
        </w:tc>
        <w:tc>
          <w:tcPr>
            <w:tcW w:w="2700" w:type="dxa"/>
            <w:vAlign w:val="bottom"/>
          </w:tcPr>
          <w:p>
            <w:pPr>
              <w:ind w:left="2280"/>
              <w:spacing w:after="0"/>
              <w:rPr>
                <w:sz w:val="20"/>
                <w:szCs w:val="20"/>
                <w:color w:val="auto"/>
              </w:rPr>
            </w:pPr>
            <w:r>
              <w:rPr>
                <w:rFonts w:ascii="Arial" w:cs="Arial" w:eastAsia="Arial" w:hAnsi="Arial"/>
                <w:sz w:val="18"/>
                <w:szCs w:val="18"/>
                <w:color w:val="auto"/>
              </w:rPr>
              <w:t>By:</w:t>
            </w:r>
          </w:p>
        </w:tc>
        <w:tc>
          <w:tcPr>
            <w:tcW w:w="3920" w:type="dxa"/>
            <w:vAlign w:val="bottom"/>
            <w:gridSpan w:val="2"/>
          </w:tcPr>
          <w:p>
            <w:pPr>
              <w:ind w:left="160"/>
              <w:spacing w:after="0"/>
              <w:rPr>
                <w:sz w:val="20"/>
                <w:szCs w:val="20"/>
                <w:color w:val="auto"/>
              </w:rPr>
            </w:pPr>
            <w:r>
              <w:rPr>
                <w:rFonts w:ascii="Arial" w:cs="Arial" w:eastAsia="Arial" w:hAnsi="Arial"/>
                <w:sz w:val="18"/>
                <w:szCs w:val="18"/>
                <w:i w:val="1"/>
                <w:iCs w:val="1"/>
                <w:color w:val="auto"/>
              </w:rPr>
              <w:t>/s/ JEFFREY W. CHURCH</w:t>
            </w:r>
          </w:p>
        </w:tc>
      </w:tr>
      <w:tr>
        <w:trPr>
          <w:trHeight w:val="195"/>
        </w:trPr>
        <w:tc>
          <w:tcPr>
            <w:tcW w:w="34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Jeffrey W. Church</w:t>
            </w:r>
          </w:p>
        </w:tc>
      </w:tr>
      <w:tr>
        <w:trPr>
          <w:trHeight w:val="216"/>
        </w:trPr>
        <w:tc>
          <w:tcPr>
            <w:tcW w:w="34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Senior Vice President and</w:t>
            </w:r>
          </w:p>
        </w:tc>
      </w:tr>
      <w:tr>
        <w:trPr>
          <w:trHeight w:val="230"/>
        </w:trPr>
        <w:tc>
          <w:tcPr>
            <w:tcW w:w="3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7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 of the Securities Exchange Act of 1934, this report has been signed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ind w:left="1900"/>
              <w:spacing w:after="0"/>
              <w:rPr>
                <w:sz w:val="20"/>
                <w:szCs w:val="20"/>
                <w:color w:val="auto"/>
              </w:rPr>
            </w:pPr>
            <w:r>
              <w:rPr>
                <w:rFonts w:ascii="Arial" w:cs="Arial" w:eastAsia="Arial" w:hAnsi="Arial"/>
                <w:sz w:val="18"/>
                <w:szCs w:val="18"/>
                <w:b w:val="1"/>
                <w:bCs w:val="1"/>
                <w:color w:val="auto"/>
              </w:rPr>
              <w:t>Name</w:t>
            </w:r>
          </w:p>
        </w:tc>
        <w:tc>
          <w:tcPr>
            <w:tcW w:w="300" w:type="dxa"/>
            <w:vAlign w:val="bottom"/>
          </w:tcPr>
          <w:p>
            <w:pPr>
              <w:spacing w:after="0"/>
              <w:rPr>
                <w:sz w:val="20"/>
                <w:szCs w:val="20"/>
                <w:color w:val="auto"/>
              </w:rPr>
            </w:pPr>
          </w:p>
        </w:tc>
        <w:tc>
          <w:tcPr>
            <w:tcW w:w="4240" w:type="dxa"/>
            <w:vAlign w:val="bottom"/>
          </w:tcPr>
          <w:p>
            <w:pPr>
              <w:ind w:left="1800"/>
              <w:spacing w:after="0"/>
              <w:rPr>
                <w:sz w:val="20"/>
                <w:szCs w:val="20"/>
                <w:color w:val="auto"/>
              </w:rPr>
            </w:pPr>
            <w:r>
              <w:rPr>
                <w:rFonts w:ascii="Arial" w:cs="Arial" w:eastAsia="Arial" w:hAnsi="Arial"/>
                <w:sz w:val="18"/>
                <w:szCs w:val="18"/>
                <w:b w:val="1"/>
                <w:bCs w:val="1"/>
                <w:color w:val="auto"/>
              </w:rPr>
              <w:t>Position</w:t>
            </w:r>
          </w:p>
        </w:tc>
        <w:tc>
          <w:tcPr>
            <w:tcW w:w="300" w:type="dxa"/>
            <w:vAlign w:val="bottom"/>
          </w:tcPr>
          <w:p>
            <w:pPr>
              <w:spacing w:after="0"/>
              <w:rPr>
                <w:sz w:val="20"/>
                <w:szCs w:val="20"/>
                <w:color w:val="auto"/>
              </w:rPr>
            </w:pPr>
          </w:p>
        </w:tc>
        <w:tc>
          <w:tcPr>
            <w:tcW w:w="2340" w:type="dxa"/>
            <w:vAlign w:val="bottom"/>
          </w:tcPr>
          <w:p>
            <w:pPr>
              <w:ind w:left="980"/>
              <w:spacing w:after="0"/>
              <w:rPr>
                <w:sz w:val="20"/>
                <w:szCs w:val="20"/>
                <w:color w:val="auto"/>
              </w:rPr>
            </w:pPr>
            <w:r>
              <w:rPr>
                <w:rFonts w:ascii="Arial" w:cs="Arial" w:eastAsia="Arial" w:hAnsi="Arial"/>
                <w:sz w:val="18"/>
                <w:szCs w:val="18"/>
                <w:b w:val="1"/>
                <w:bCs w:val="1"/>
                <w:color w:val="auto"/>
              </w:rPr>
              <w:t>Date</w:t>
            </w:r>
          </w:p>
        </w:tc>
        <w:tc>
          <w:tcPr>
            <w:tcW w:w="40" w:type="dxa"/>
            <w:vAlign w:val="bottom"/>
          </w:tcPr>
          <w:p>
            <w:pPr>
              <w:spacing w:after="0"/>
              <w:rPr>
                <w:sz w:val="20"/>
                <w:szCs w:val="20"/>
                <w:color w:val="auto"/>
              </w:rPr>
            </w:pPr>
          </w:p>
        </w:tc>
      </w:tr>
      <w:tr>
        <w:trPr>
          <w:trHeight w:val="216"/>
        </w:trPr>
        <w:tc>
          <w:tcPr>
            <w:tcW w:w="42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2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26"/>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H. TARDUGNO</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w w:val="97"/>
              </w:rPr>
              <w:t>Chairman of the Board, President and Chief Executive</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March 30, 2016</w:t>
            </w:r>
          </w:p>
        </w:tc>
        <w:tc>
          <w:tcPr>
            <w:tcW w:w="40" w:type="dxa"/>
            <w:vAlign w:val="bottom"/>
          </w:tcPr>
          <w:p>
            <w:pPr>
              <w:spacing w:after="0"/>
              <w:rPr>
                <w:sz w:val="24"/>
                <w:szCs w:val="24"/>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(Michael H. Tardugno)</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Officer (Principal Executive Officer)</w:t>
            </w: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34"/>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JEFFREY W. CHURCH</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Senior Vice President and Chief Financial</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March 30, 2016</w:t>
            </w:r>
          </w:p>
        </w:tc>
        <w:tc>
          <w:tcPr>
            <w:tcW w:w="40" w:type="dxa"/>
            <w:vAlign w:val="bottom"/>
          </w:tcPr>
          <w:p>
            <w:pPr>
              <w:spacing w:after="0"/>
              <w:rPr>
                <w:sz w:val="24"/>
                <w:szCs w:val="24"/>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(Jeffrey W. Church)</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Officer (Principal Financial Officer)</w:t>
            </w: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TIMOTHY J. TUMMINELLO</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Controller and Chief Accounting Officer</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March 30, 2016</w:t>
            </w:r>
          </w:p>
        </w:tc>
        <w:tc>
          <w:tcPr>
            <w:tcW w:w="40" w:type="dxa"/>
            <w:vAlign w:val="bottom"/>
          </w:tcPr>
          <w:p>
            <w:pPr>
              <w:spacing w:after="0"/>
              <w:rPr>
                <w:sz w:val="24"/>
                <w:szCs w:val="24"/>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(Timothy J. Tumminello)</w:t>
            </w:r>
          </w:p>
        </w:tc>
        <w:tc>
          <w:tcPr>
            <w:tcW w:w="3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AUGUSTINE CHOW</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March 30, 2016</w:t>
            </w:r>
          </w:p>
        </w:tc>
        <w:tc>
          <w:tcPr>
            <w:tcW w:w="40" w:type="dxa"/>
            <w:vAlign w:val="bottom"/>
          </w:tcPr>
          <w:p>
            <w:pPr>
              <w:spacing w:after="0"/>
              <w:rPr>
                <w:sz w:val="24"/>
                <w:szCs w:val="24"/>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(Augustine Chow, Ph.D.)</w:t>
            </w:r>
          </w:p>
        </w:tc>
        <w:tc>
          <w:tcPr>
            <w:tcW w:w="3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FREDERICK J. FRITZ</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March 30, 2016</w:t>
            </w:r>
          </w:p>
        </w:tc>
        <w:tc>
          <w:tcPr>
            <w:tcW w:w="40" w:type="dxa"/>
            <w:vAlign w:val="bottom"/>
          </w:tcPr>
          <w:p>
            <w:pPr>
              <w:spacing w:after="0"/>
              <w:rPr>
                <w:sz w:val="24"/>
                <w:szCs w:val="24"/>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(Frederick J. Fritz)</w:t>
            </w:r>
          </w:p>
        </w:tc>
        <w:tc>
          <w:tcPr>
            <w:tcW w:w="3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W. HOOPER</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March 30, 2016</w:t>
            </w:r>
          </w:p>
        </w:tc>
        <w:tc>
          <w:tcPr>
            <w:tcW w:w="40" w:type="dxa"/>
            <w:vAlign w:val="bottom"/>
          </w:tcPr>
          <w:p>
            <w:pPr>
              <w:spacing w:after="0"/>
              <w:rPr>
                <w:sz w:val="24"/>
                <w:szCs w:val="24"/>
                <w:color w:val="auto"/>
              </w:rPr>
            </w:pPr>
          </w:p>
        </w:tc>
      </w:tr>
      <w:tr>
        <w:trPr>
          <w:trHeight w:val="224"/>
        </w:trPr>
        <w:tc>
          <w:tcPr>
            <w:tcW w:w="4240" w:type="dxa"/>
            <w:vAlign w:val="bottom"/>
          </w:tcPr>
          <w:p>
            <w:pPr>
              <w:ind w:left="60"/>
              <w:spacing w:after="0"/>
              <w:rPr>
                <w:sz w:val="20"/>
                <w:szCs w:val="20"/>
                <w:color w:val="auto"/>
              </w:rPr>
            </w:pPr>
            <w:r>
              <w:rPr>
                <w:rFonts w:ascii="Arial" w:cs="Arial" w:eastAsia="Arial" w:hAnsi="Arial"/>
                <w:sz w:val="18"/>
                <w:szCs w:val="18"/>
                <w:color w:val="auto"/>
              </w:rPr>
              <w:t>(Robert W. Hooper)</w:t>
            </w:r>
          </w:p>
        </w:tc>
        <w:tc>
          <w:tcPr>
            <w:tcW w:w="3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ALBERTO R. MARTINEZ</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March 30, 2016</w:t>
            </w:r>
          </w:p>
        </w:tc>
        <w:tc>
          <w:tcPr>
            <w:tcW w:w="40" w:type="dxa"/>
            <w:vAlign w:val="bottom"/>
          </w:tcPr>
          <w:p>
            <w:pPr>
              <w:spacing w:after="0"/>
              <w:rPr>
                <w:sz w:val="24"/>
                <w:szCs w:val="24"/>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(Alberto Martinez, M.D.)</w:t>
            </w:r>
          </w:p>
        </w:tc>
        <w:tc>
          <w:tcPr>
            <w:tcW w:w="3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DONALD BRAUN</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March 30, 2016</w:t>
            </w:r>
          </w:p>
        </w:tc>
        <w:tc>
          <w:tcPr>
            <w:tcW w:w="40" w:type="dxa"/>
            <w:vAlign w:val="bottom"/>
          </w:tcPr>
          <w:p>
            <w:pPr>
              <w:spacing w:after="0"/>
              <w:rPr>
                <w:sz w:val="24"/>
                <w:szCs w:val="24"/>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(Donald Braun, Ph.D.)</w:t>
            </w:r>
          </w:p>
        </w:tc>
        <w:tc>
          <w:tcPr>
            <w:tcW w:w="3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ANDREAS VOSS</w:t>
            </w:r>
          </w:p>
        </w:tc>
        <w:tc>
          <w:tcPr>
            <w:tcW w:w="45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2640" w:type="dxa"/>
            <w:vAlign w:val="bottom"/>
            <w:gridSpan w:val="2"/>
          </w:tcPr>
          <w:p>
            <w:pPr>
              <w:ind w:left="300"/>
              <w:spacing w:after="0"/>
              <w:rPr>
                <w:sz w:val="20"/>
                <w:szCs w:val="20"/>
                <w:color w:val="auto"/>
              </w:rPr>
            </w:pPr>
            <w:r>
              <w:rPr>
                <w:rFonts w:ascii="Arial" w:cs="Arial" w:eastAsia="Arial" w:hAnsi="Arial"/>
                <w:sz w:val="18"/>
                <w:szCs w:val="18"/>
                <w:color w:val="auto"/>
              </w:rPr>
              <w:t>March 30, 2016</w:t>
            </w:r>
          </w:p>
        </w:tc>
        <w:tc>
          <w:tcPr>
            <w:tcW w:w="40" w:type="dxa"/>
            <w:vAlign w:val="bottom"/>
          </w:tcPr>
          <w:p>
            <w:pPr>
              <w:spacing w:after="0"/>
              <w:rPr>
                <w:sz w:val="24"/>
                <w:szCs w:val="24"/>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(Andreas Voss, M.D.)</w:t>
            </w:r>
          </w:p>
        </w:tc>
        <w:tc>
          <w:tcPr>
            <w:tcW w:w="3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61"/>
        </w:trPr>
        <w:tc>
          <w:tcPr>
            <w:tcW w:w="4240" w:type="dxa"/>
            <w:vAlign w:val="bottom"/>
          </w:tcPr>
          <w:p>
            <w:pPr>
              <w:spacing w:after="0"/>
              <w:rPr>
                <w:sz w:val="24"/>
                <w:szCs w:val="24"/>
                <w:color w:val="auto"/>
              </w:rPr>
            </w:pPr>
          </w:p>
        </w:tc>
        <w:tc>
          <w:tcPr>
            <w:tcW w:w="4540" w:type="dxa"/>
            <w:vAlign w:val="bottom"/>
            <w:gridSpan w:val="2"/>
          </w:tcPr>
          <w:p>
            <w:pPr>
              <w:ind w:left="1380"/>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4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42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2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3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Celsion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Lawrenceville, New Jersey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Celsion Corporation (the “Company”) as of December 31, 2015 and 2014, and the related statements of operations, statements of comprehensive loss, changes in stockholders’ equity, and cash flows for each of the years in the three year period ended December 31, 2015. The Company’s management is responsible for these financial statements. Our responsibility is to express an opinion on these financial statements based on our audits.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purposes of expressing an opinion on the effectiveness of the Company’s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presentation. We believe that our audits provide a reasonable basis for our opinion.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Celsion Corporation as of December 31, 2015 and 2014, and the results of its operations and its cash flows for each of the years in the three year period ended December 31, 2015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Stegman &amp;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2016</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8120" w:type="dxa"/>
            <w:vAlign w:val="bottom"/>
          </w:tcPr>
          <w:p>
            <w:pPr>
              <w:ind w:left="4600"/>
              <w:spacing w:after="0"/>
              <w:rPr>
                <w:sz w:val="20"/>
                <w:szCs w:val="20"/>
                <w:color w:val="auto"/>
              </w:rPr>
            </w:pPr>
            <w:r>
              <w:rPr>
                <w:rFonts w:ascii="Arial" w:cs="Arial" w:eastAsia="Arial" w:hAnsi="Arial"/>
                <w:sz w:val="18"/>
                <w:szCs w:val="18"/>
                <w:b w:val="1"/>
                <w:bCs w:val="1"/>
                <w:color w:val="auto"/>
              </w:rPr>
              <w:t>CELSION CORPORATION</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tcPr>
          <w:p>
            <w:pPr>
              <w:ind w:left="4160"/>
              <w:spacing w:after="0"/>
              <w:rPr>
                <w:sz w:val="20"/>
                <w:szCs w:val="20"/>
                <w:color w:val="auto"/>
              </w:rPr>
            </w:pPr>
            <w:r>
              <w:rPr>
                <w:rFonts w:ascii="Arial" w:cs="Arial" w:eastAsia="Arial" w:hAnsi="Arial"/>
                <w:sz w:val="18"/>
                <w:szCs w:val="18"/>
                <w:b w:val="1"/>
                <w:bCs w:val="1"/>
                <w:color w:val="auto"/>
              </w:rPr>
              <w:t>CONSOLIDATED BALANCE SHEETS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9,265,144</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12,686,881</w:t>
            </w:r>
          </w:p>
        </w:tc>
        <w:tc>
          <w:tcPr>
            <w:tcW w:w="0" w:type="dxa"/>
            <w:vAlign w:val="bottom"/>
          </w:tcPr>
          <w:p>
            <w:pPr>
              <w:spacing w:after="0"/>
              <w:rPr>
                <w:sz w:val="1"/>
                <w:szCs w:val="1"/>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Investment securities – available for sale, at fair value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10,799,890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24,173,406</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receivable on investment securities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210,030</w:t>
            </w:r>
          </w:p>
        </w:tc>
        <w:tc>
          <w:tcPr>
            <w:tcW w:w="0" w:type="dxa"/>
            <w:vAlign w:val="bottom"/>
          </w:tcPr>
          <w:p>
            <w:pPr>
              <w:spacing w:after="0"/>
              <w:rPr>
                <w:sz w:val="1"/>
                <w:szCs w:val="1"/>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Advances and deposits on clinical programs</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89,186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200,821</w:t>
            </w:r>
          </w:p>
        </w:tc>
        <w:tc>
          <w:tcPr>
            <w:tcW w:w="0" w:type="dxa"/>
            <w:vAlign w:val="bottom"/>
          </w:tcPr>
          <w:p>
            <w:pPr>
              <w:spacing w:after="0"/>
              <w:rPr>
                <w:sz w:val="1"/>
                <w:szCs w:val="1"/>
                <w:color w:val="auto"/>
              </w:rPr>
            </w:pPr>
          </w:p>
        </w:tc>
      </w:tr>
      <w:tr>
        <w:trPr>
          <w:trHeight w:val="216"/>
        </w:trPr>
        <w:tc>
          <w:tcPr>
            <w:tcW w:w="8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100,367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235,133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20,281,316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37,506,271</w:t>
            </w: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20" w:type="dxa"/>
            <w:vAlign w:val="bottom"/>
          </w:tcPr>
          <w:p>
            <w:pPr>
              <w:ind w:left="340"/>
              <w:spacing w:after="0" w:line="201" w:lineRule="exact"/>
              <w:rPr>
                <w:sz w:val="20"/>
                <w:szCs w:val="20"/>
                <w:color w:val="auto"/>
              </w:rPr>
            </w:pPr>
            <w:r>
              <w:rPr>
                <w:rFonts w:ascii="Arial" w:cs="Arial" w:eastAsia="Arial" w:hAnsi="Arial"/>
                <w:sz w:val="18"/>
                <w:szCs w:val="18"/>
                <w:b w:val="1"/>
                <w:bCs w:val="1"/>
                <w:color w:val="auto"/>
                <w:w w:val="95"/>
              </w:rPr>
              <w:t xml:space="preserve">Property and equipment </w:t>
            </w:r>
            <w:r>
              <w:rPr>
                <w:rFonts w:ascii="Arial" w:cs="Arial" w:eastAsia="Arial" w:hAnsi="Arial"/>
                <w:sz w:val="18"/>
                <w:szCs w:val="18"/>
                <w:color w:val="auto"/>
                <w:w w:val="95"/>
              </w:rPr>
              <w:t>(at cost, less accumulated depreciation and amortization of $2,058,483 and</w:t>
            </w:r>
          </w:p>
        </w:tc>
        <w:tc>
          <w:tcPr>
            <w:tcW w:w="34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854,872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1,170,497</w:t>
            </w:r>
          </w:p>
        </w:tc>
        <w:tc>
          <w:tcPr>
            <w:tcW w:w="0" w:type="dxa"/>
            <w:vAlign w:val="bottom"/>
          </w:tcPr>
          <w:p>
            <w:pPr>
              <w:spacing w:after="0"/>
              <w:rPr>
                <w:sz w:val="1"/>
                <w:szCs w:val="1"/>
                <w:color w:val="auto"/>
              </w:rPr>
            </w:pPr>
          </w:p>
        </w:tc>
      </w:tr>
      <w:tr>
        <w:trPr>
          <w:trHeight w:val="217"/>
        </w:trPr>
        <w:tc>
          <w:tcPr>
            <w:tcW w:w="8120" w:type="dxa"/>
            <w:vAlign w:val="bottom"/>
          </w:tcPr>
          <w:p>
            <w:pPr>
              <w:ind w:left="500"/>
              <w:spacing w:after="0"/>
              <w:rPr>
                <w:sz w:val="20"/>
                <w:szCs w:val="20"/>
                <w:color w:val="auto"/>
              </w:rPr>
            </w:pPr>
            <w:r>
              <w:rPr>
                <w:rFonts w:ascii="Arial" w:cs="Arial" w:eastAsia="Arial" w:hAnsi="Arial"/>
                <w:sz w:val="18"/>
                <w:szCs w:val="18"/>
                <w:color w:val="auto"/>
              </w:rPr>
              <w:t>$1,633,517, respectively)</w:t>
            </w: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b w:val="1"/>
                <w:bCs w:val="1"/>
                <w:color w:val="auto"/>
              </w:rPr>
              <w:t>Other assets: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In-process research and development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25,801,728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25,801,728</w:t>
            </w:r>
          </w:p>
        </w:tc>
        <w:tc>
          <w:tcPr>
            <w:tcW w:w="0" w:type="dxa"/>
            <w:vAlign w:val="bottom"/>
          </w:tcPr>
          <w:p>
            <w:pPr>
              <w:spacing w:after="0"/>
              <w:rPr>
                <w:sz w:val="1"/>
                <w:szCs w:val="1"/>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1,976,101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1,976,101</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Security deposit on letter of credit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Deferred financing fees</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26,131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68,049</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21,886</w:t>
            </w:r>
          </w:p>
        </w:tc>
        <w:tc>
          <w:tcPr>
            <w:tcW w:w="0" w:type="dxa"/>
            <w:vAlign w:val="bottom"/>
          </w:tcPr>
          <w:p>
            <w:pPr>
              <w:spacing w:after="0"/>
              <w:rPr>
                <w:sz w:val="1"/>
                <w:szCs w:val="1"/>
                <w:color w:val="auto"/>
              </w:rPr>
            </w:pPr>
          </w:p>
        </w:tc>
      </w:tr>
      <w:tr>
        <w:trPr>
          <w:trHeight w:val="210"/>
        </w:trPr>
        <w:tc>
          <w:tcPr>
            <w:tcW w:w="81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27,918,346</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28,017,764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49,054,534</w:t>
            </w:r>
          </w:p>
        </w:tc>
        <w:tc>
          <w:tcPr>
            <w:tcW w:w="120" w:type="dxa"/>
            <w:vAlign w:val="bottom"/>
          </w:tcPr>
          <w:p>
            <w:pPr>
              <w:spacing w:after="0"/>
              <w:rPr>
                <w:sz w:val="18"/>
                <w:szCs w:val="18"/>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66,694,532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rPr>
              <w:t>CELSION CORPORATION</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12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CONSOLIDATED BALANCE SHEETS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3"/>
              </w:rPr>
              <w:t>(Continued)</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8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 trade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2,830,227</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3,480,225</w:t>
            </w: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Other accrued liabilities</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1,919,769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2,456,365</w:t>
            </w: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 - current portion</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4,099,847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3,654,231</w:t>
            </w: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Deferred revenue – current portion</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r>
      <w:tr>
        <w:trPr>
          <w:trHeight w:val="210"/>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9,349,843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10,090,821</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Earn-Out milestone liability</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13,921,412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13,663,710</w:t>
            </w: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Common stock warrant liability</w:t>
            </w:r>
          </w:p>
        </w:tc>
        <w:tc>
          <w:tcPr>
            <w:tcW w:w="32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275,008</w:t>
            </w: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 payable – non-current portion</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2,350,018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6,053,065</w:t>
            </w: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Deferred revenue – non-current portion</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3,500,000</w:t>
            </w: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 – non-current</w:t>
            </w:r>
          </w:p>
        </w:tc>
        <w:tc>
          <w:tcPr>
            <w:tcW w:w="3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47,597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286,592</w:t>
            </w:r>
          </w:p>
        </w:tc>
      </w:tr>
      <w:tr>
        <w:trPr>
          <w:trHeight w:val="210"/>
        </w:trPr>
        <w:tc>
          <w:tcPr>
            <w:tcW w:w="812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28,668,870</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33,869,196</w:t>
            </w:r>
          </w:p>
        </w:tc>
        <w:tc>
          <w:tcPr>
            <w:tcW w:w="100" w:type="dxa"/>
            <w:vAlign w:val="bottom"/>
            <w:tcBorders>
              <w:top w:val="single" w:sz="8" w:color="CCEEFF"/>
            </w:tcBorders>
          </w:tcPr>
          <w:p>
            <w:pPr>
              <w:spacing w:after="0"/>
              <w:rPr>
                <w:sz w:val="18"/>
                <w:szCs w:val="18"/>
                <w:color w:val="auto"/>
              </w:rPr>
            </w:pPr>
          </w:p>
        </w:tc>
      </w:tr>
      <w:tr>
        <w:trPr>
          <w:trHeight w:val="210"/>
        </w:trPr>
        <w:tc>
          <w:tcPr>
            <w:tcW w:w="8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b w:val="1"/>
                <w:bCs w:val="1"/>
                <w:color w:val="auto"/>
              </w:rPr>
              <w:t>Commitments and contingencies</w:t>
            </w:r>
          </w:p>
        </w:tc>
        <w:tc>
          <w:tcPr>
            <w:tcW w:w="32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1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Preferred Stock - $0.01 par value (100,000 shares authorized and no shares issued or outstanding at</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December 31, 2015 and 2014, respectively)</w:t>
            </w:r>
          </w:p>
        </w:tc>
        <w:tc>
          <w:tcPr>
            <w:tcW w:w="32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8120" w:type="dxa"/>
            <w:vAlign w:val="bottom"/>
          </w:tcPr>
          <w:p>
            <w:pPr>
              <w:ind w:left="340"/>
              <w:spacing w:after="0" w:line="201" w:lineRule="exact"/>
              <w:rPr>
                <w:sz w:val="20"/>
                <w:szCs w:val="20"/>
                <w:color w:val="auto"/>
              </w:rPr>
            </w:pPr>
            <w:r>
              <w:rPr>
                <w:rFonts w:ascii="Arial" w:cs="Arial" w:eastAsia="Arial" w:hAnsi="Arial"/>
                <w:sz w:val="18"/>
                <w:szCs w:val="18"/>
                <w:color w:val="auto"/>
                <w:w w:val="90"/>
              </w:rPr>
              <w:t>Common stock - $0.01 par value (75,000,000 shares authorized; 23,395,211 and 20,097,603 shares issued</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20" w:type="dxa"/>
            <w:vAlign w:val="bottom"/>
          </w:tcPr>
          <w:p>
            <w:pPr>
              <w:ind w:left="500"/>
              <w:spacing w:after="0"/>
              <w:rPr>
                <w:sz w:val="20"/>
                <w:szCs w:val="20"/>
                <w:color w:val="auto"/>
              </w:rPr>
            </w:pPr>
            <w:r>
              <w:rPr>
                <w:rFonts w:ascii="Arial" w:cs="Arial" w:eastAsia="Arial" w:hAnsi="Arial"/>
                <w:sz w:val="18"/>
                <w:szCs w:val="18"/>
                <w:color w:val="auto"/>
                <w:w w:val="93"/>
              </w:rPr>
              <w:t>at December 31, 2015 and 2014 and 23,319,287 and 19,984,203 shares outstanding at December 31,</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120" w:type="dxa"/>
            <w:vAlign w:val="bottom"/>
          </w:tcPr>
          <w:p>
            <w:pPr>
              <w:ind w:left="500"/>
              <w:spacing w:after="0"/>
              <w:rPr>
                <w:sz w:val="20"/>
                <w:szCs w:val="20"/>
                <w:color w:val="auto"/>
              </w:rPr>
            </w:pPr>
            <w:r>
              <w:rPr>
                <w:rFonts w:ascii="Arial" w:cs="Arial" w:eastAsia="Arial" w:hAnsi="Arial"/>
                <w:sz w:val="18"/>
                <w:szCs w:val="18"/>
                <w:color w:val="auto"/>
              </w:rPr>
              <w:t>2015 and 2014, respectively)</w:t>
            </w:r>
          </w:p>
        </w:tc>
        <w:tc>
          <w:tcPr>
            <w:tcW w:w="3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233,952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200,976</w:t>
            </w: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239,668,235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229,778,703</w:t>
            </w: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8"/>
                <w:szCs w:val="18"/>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(3,858)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(16,032)</w:t>
            </w: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(218,130,360)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(195,073,702)</w:t>
            </w:r>
          </w:p>
        </w:tc>
      </w:tr>
      <w:tr>
        <w:trPr>
          <w:trHeight w:val="210"/>
        </w:trPr>
        <w:tc>
          <w:tcPr>
            <w:tcW w:w="8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21,767,969</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34,889,945</w:t>
            </w:r>
          </w:p>
        </w:tc>
        <w:tc>
          <w:tcPr>
            <w:tcW w:w="100" w:type="dxa"/>
            <w:vAlign w:val="bottom"/>
            <w:tcBorders>
              <w:top w:val="single" w:sz="8" w:color="CCEEFF"/>
            </w:tcBorders>
          </w:tcPr>
          <w:p>
            <w:pPr>
              <w:spacing w:after="0"/>
              <w:rPr>
                <w:sz w:val="18"/>
                <w:szCs w:val="18"/>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Treasury stock, at cost (75,924 and 113,400 shares at December 31, 2015 and 2014, respectively)</w:t>
            </w:r>
          </w:p>
        </w:tc>
        <w:tc>
          <w:tcPr>
            <w:tcW w:w="3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(1,382,305)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(2,064,609)</w:t>
            </w:r>
          </w:p>
        </w:tc>
      </w:tr>
      <w:tr>
        <w:trPr>
          <w:trHeight w:val="210"/>
        </w:trPr>
        <w:tc>
          <w:tcPr>
            <w:tcW w:w="812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20,385,664</w:t>
            </w: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32,825,336</w:t>
            </w:r>
          </w:p>
        </w:tc>
        <w:tc>
          <w:tcPr>
            <w:tcW w:w="100" w:type="dxa"/>
            <w:vAlign w:val="bottom"/>
            <w:tcBorders>
              <w:top w:val="single" w:sz="8" w:color="CCEEFF"/>
            </w:tcBorders>
          </w:tcPr>
          <w:p>
            <w:pPr>
              <w:spacing w:after="0"/>
              <w:rPr>
                <w:sz w:val="18"/>
                <w:szCs w:val="18"/>
                <w:color w:val="auto"/>
              </w:rPr>
            </w:pPr>
          </w:p>
        </w:tc>
      </w:tr>
      <w:tr>
        <w:trPr>
          <w:trHeight w:val="210"/>
        </w:trPr>
        <w:tc>
          <w:tcPr>
            <w:tcW w:w="8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49,054,534</w:t>
            </w:r>
          </w:p>
        </w:tc>
        <w:tc>
          <w:tcPr>
            <w:tcW w:w="120" w:type="dxa"/>
            <w:vAlign w:val="bottom"/>
          </w:tcPr>
          <w:p>
            <w:pPr>
              <w:spacing w:after="0"/>
              <w:rPr>
                <w:sz w:val="18"/>
                <w:szCs w:val="18"/>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66,694,532</w:t>
            </w:r>
          </w:p>
        </w:tc>
      </w:tr>
      <w:tr>
        <w:trPr>
          <w:trHeight w:val="20"/>
        </w:trPr>
        <w:tc>
          <w:tcPr>
            <w:tcW w:w="8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14,659,941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14,969,382</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9,364,228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6,686,852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8,860,549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6,547,257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Acquisition costs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1,385,263</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21,346,793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25,215,194</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15,911,485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(20,846,793)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(24,715,194)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(15,411,485)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(Loss) gain from valuation of earn-out milestone liability</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(257,702)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213,949</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gain from valuation of common stock warrant liability</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204,279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8,090,636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Investment income (loss), net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63,588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77,194</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(1,357,182)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(1,326,438)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(915,235)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Other (expense) income</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51,937</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(expense) income</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(1,614,291)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(779,079)</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7,160,127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(22,461,084)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(25,494,273)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(8,251,358)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Non-cash deemed dividend from beneficial conversion feature on convertible</w:t>
            </w:r>
          </w:p>
        </w:tc>
        <w:tc>
          <w:tcPr>
            <w:tcW w:w="3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preferred stock</w:t>
            </w:r>
          </w:p>
        </w:tc>
        <w:tc>
          <w:tcPr>
            <w:tcW w:w="34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(4,601,410)</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(22,461,084)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(25,494,273)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(12,852,768)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40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13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 – basic and diluted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 – basic and diluted</w:t>
            </w:r>
          </w:p>
        </w:tc>
        <w:tc>
          <w:tcPr>
            <w:tcW w:w="34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21,813,228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18,472,399</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13,540,566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(22,461,084)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(25,494,273)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(8,251,358)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w w:val="94"/>
              </w:rPr>
              <w:t>Realized (gain) loss on investment securities recognized in investment income, net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24,727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(loss) on investment securities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28,134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82,441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(22,448,910)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(25,466,139)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(8,168,917)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80" w:type="dxa"/>
            <w:vAlign w:val="bottom"/>
            <w:gridSpan w:val="2"/>
          </w:tcPr>
          <w:p>
            <w:pPr>
              <w:ind w:left="4580"/>
              <w:spacing w:after="0"/>
              <w:rPr>
                <w:sz w:val="20"/>
                <w:szCs w:val="20"/>
                <w:color w:val="auto"/>
              </w:rPr>
            </w:pPr>
            <w:r>
              <w:rPr>
                <w:rFonts w:ascii="Arial" w:cs="Arial" w:eastAsia="Arial" w:hAnsi="Arial"/>
                <w:sz w:val="18"/>
                <w:szCs w:val="18"/>
                <w:b w:val="1"/>
                <w:bCs w:val="1"/>
                <w:color w:val="auto"/>
              </w:rPr>
              <w:t>CELSION CORPORATION</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40" w:type="dxa"/>
            <w:vAlign w:val="bottom"/>
            <w:gridSpan w:val="4"/>
          </w:tcPr>
          <w:p>
            <w:pPr>
              <w:ind w:left="3560"/>
              <w:spacing w:after="0"/>
              <w:rPr>
                <w:sz w:val="20"/>
                <w:szCs w:val="20"/>
                <w:color w:val="auto"/>
              </w:rPr>
            </w:pPr>
            <w:r>
              <w:rPr>
                <w:rFonts w:ascii="Arial" w:cs="Arial" w:eastAsia="Arial" w:hAnsi="Arial"/>
                <w:sz w:val="18"/>
                <w:szCs w:val="18"/>
                <w:b w:val="1"/>
                <w:bCs w:val="1"/>
                <w:color w:val="auto"/>
              </w:rPr>
              <w:t>CONSOLIDATED STATEMENTS OF CASH FLOWS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(22,461,084)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(25,494,273)</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(8,251,358)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items included in net loss:</w:t>
            </w:r>
          </w:p>
        </w:tc>
        <w:tc>
          <w:tcPr>
            <w:tcW w:w="5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424,966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369,327</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339,229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fair value of earn-out milestone liability</w:t>
            </w:r>
          </w:p>
        </w:tc>
        <w:tc>
          <w:tcPr>
            <w:tcW w:w="5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(213,949)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Change in fair value of common stock warrant liability</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61,246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(204,279)</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(8,090,636)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received for non-refundable research and development fee</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5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based compensation</w:t>
            </w:r>
          </w:p>
        </w:tc>
        <w:tc>
          <w:tcPr>
            <w:tcW w:w="5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1,849,811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2,585,132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Shares issued out of treasury</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86,730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64,483</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98,046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4"/>
              </w:rPr>
              <w:t>Amortization of deferred finance charges and debt discount associated with note</w:t>
            </w:r>
          </w:p>
        </w:tc>
        <w:tc>
          <w:tcPr>
            <w:tcW w:w="50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payable</w:t>
            </w:r>
          </w:p>
        </w:tc>
        <w:tc>
          <w:tcPr>
            <w:tcW w:w="50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438,717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437,994</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Amortization of patent license fee</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7,500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deferred rent liability</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(24,375)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(Gain) loss realized on sale of investment securities</w:t>
            </w:r>
          </w:p>
        </w:tc>
        <w:tc>
          <w:tcPr>
            <w:tcW w:w="5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24,727</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changes in:</w:t>
            </w:r>
          </w:p>
        </w:tc>
        <w:tc>
          <w:tcPr>
            <w:tcW w:w="5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Interest receivable on investments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183,301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(146,123)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77,468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Deposits and other assets</w:t>
            </w:r>
          </w:p>
        </w:tc>
        <w:tc>
          <w:tcPr>
            <w:tcW w:w="5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1,932</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(116,181)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(859,183)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1,764,563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Other accrued liabilities</w:t>
            </w:r>
          </w:p>
        </w:tc>
        <w:tc>
          <w:tcPr>
            <w:tcW w:w="5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(536,596)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(251,288)</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1,497,566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(20,830,563)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(21,353,020)</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(9,525,276)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Purchases of investment securities</w:t>
            </w:r>
          </w:p>
        </w:tc>
        <w:tc>
          <w:tcPr>
            <w:tcW w:w="5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(21,074,871)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(29,825,918)</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(66,323,059)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and maturity of investment securities</w:t>
            </w:r>
          </w:p>
        </w:tc>
        <w:tc>
          <w:tcPr>
            <w:tcW w:w="5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34,460,825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42,812,300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37,194,375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Cash used in acquisition of EGEN, Inc., net of cash received</w:t>
            </w:r>
          </w:p>
        </w:tc>
        <w:tc>
          <w:tcPr>
            <w:tcW w:w="5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(2,820,649)</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Refund on security for letter of credit</w:t>
            </w:r>
          </w:p>
        </w:tc>
        <w:tc>
          <w:tcPr>
            <w:tcW w:w="5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5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(109,341)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(672,256)</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(57,494)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by investing activities</w:t>
            </w:r>
          </w:p>
        </w:tc>
        <w:tc>
          <w:tcPr>
            <w:tcW w:w="5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13,326,613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9,543,477</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(29,136,178)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sale of preferred stock, net of issuance costs</w:t>
            </w:r>
          </w:p>
        </w:tc>
        <w:tc>
          <w:tcPr>
            <w:tcW w:w="5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13,616,432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common stock equity, net of issuance costs</w:t>
            </w:r>
          </w:p>
        </w:tc>
        <w:tc>
          <w:tcPr>
            <w:tcW w:w="5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7,736,443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13,788,811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15,622,955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exercise of common stock warrants</w:t>
            </w:r>
          </w:p>
        </w:tc>
        <w:tc>
          <w:tcPr>
            <w:tcW w:w="5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common stock options</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note payable</w:t>
            </w:r>
          </w:p>
        </w:tc>
        <w:tc>
          <w:tcPr>
            <w:tcW w:w="5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5,000,000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4,763,803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note payable</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(3,654,230)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(10,891)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(5,060,711)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4,082,213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18,777,920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29,388,470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(Decrease) increase in cash and cash equivalents</w:t>
            </w:r>
          </w:p>
        </w:tc>
        <w:tc>
          <w:tcPr>
            <w:tcW w:w="5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(3,421,737)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6,968,377</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(9,272,984)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5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12,686,881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5,718,504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14,991,488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9,265,144</w:t>
            </w:r>
          </w:p>
        </w:tc>
        <w:tc>
          <w:tcPr>
            <w:tcW w:w="14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12,686,881</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5,718,504</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Cash paid for:</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918,465</w:t>
            </w:r>
          </w:p>
        </w:tc>
        <w:tc>
          <w:tcPr>
            <w:tcW w:w="14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892,600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637,183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2015, 2014 AND 2013</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8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rPr>
              <w:t>Preferred Stock</w:t>
            </w:r>
          </w:p>
        </w:tc>
        <w:tc>
          <w:tcPr>
            <w:tcW w:w="204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Common Stock</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Accum.</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Outstanding</w:t>
            </w:r>
          </w:p>
        </w:tc>
        <w:tc>
          <w:tcPr>
            <w:tcW w:w="20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Outstanding</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200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Treasury Stock</w:t>
            </w:r>
          </w:p>
        </w:tc>
        <w:tc>
          <w:tcPr>
            <w:tcW w:w="100" w:type="dxa"/>
            <w:vAlign w:val="bottom"/>
          </w:tcPr>
          <w:p>
            <w:pPr>
              <w:spacing w:after="0"/>
              <w:rPr>
                <w:sz w:val="20"/>
                <w:szCs w:val="20"/>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4"/>
              </w:rPr>
              <w:t>Paid in</w:t>
            </w:r>
          </w:p>
        </w:tc>
        <w:tc>
          <w:tcPr>
            <w:tcW w:w="7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1"/>
              </w:rPr>
              <w:t>Compr.</w:t>
            </w:r>
          </w:p>
        </w:tc>
        <w:tc>
          <w:tcPr>
            <w:tcW w:w="1200" w:type="dxa"/>
            <w:vAlign w:val="bottom"/>
            <w:gridSpan w:val="2"/>
          </w:tcPr>
          <w:p>
            <w:pPr>
              <w:jc w:val="right"/>
              <w:ind w:right="16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Shares</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7"/>
              </w:rPr>
              <w:t>Amount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9"/>
              </w:rPr>
              <w:t>Amount</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Capital</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Shares</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Income</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Deficit</w:t>
            </w:r>
          </w:p>
        </w:tc>
        <w:tc>
          <w:tcPr>
            <w:tcW w:w="6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1140" w:type="dxa"/>
            <w:vAlign w:val="bottom"/>
            <w:gridSpan w:val="2"/>
            <w:vMerge w:val="continue"/>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January 1,</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2013</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8,289,507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84,373</w:t>
            </w:r>
          </w:p>
        </w:tc>
        <w:tc>
          <w:tcPr>
            <w:tcW w:w="1000" w:type="dxa"/>
            <w:vAlign w:val="bottom"/>
          </w:tcPr>
          <w:p>
            <w:pPr>
              <w:jc w:val="right"/>
              <w:spacing w:after="0"/>
              <w:rPr>
                <w:sz w:val="20"/>
                <w:szCs w:val="20"/>
                <w:color w:val="auto"/>
              </w:rPr>
            </w:pPr>
            <w:r>
              <w:rPr>
                <w:rFonts w:ascii="Arial" w:cs="Arial" w:eastAsia="Arial" w:hAnsi="Arial"/>
                <w:sz w:val="18"/>
                <w:szCs w:val="18"/>
                <w:color w:val="auto"/>
                <w:w w:val="85"/>
              </w:rPr>
              <w:t>$ 170,957,891</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147,760</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 (2,690,511)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(126,607)</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 (156,263,288)</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w w:val="91"/>
              </w:rPr>
              <w:t>$ 11,961,858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(8,251,358)</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(8,251,358)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Preferred</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stock offering</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15,001</w:t>
            </w:r>
          </w:p>
        </w:tc>
        <w:tc>
          <w:tcPr>
            <w:tcW w:w="24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10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18,217,702</w:t>
            </w:r>
          </w:p>
        </w:tc>
        <w:tc>
          <w:tcPr>
            <w:tcW w:w="92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18,217,852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Non-cash</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dividend on</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beneficial</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conversion</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feature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associated</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with the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preferred</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stock offering</w:t>
            </w:r>
          </w:p>
        </w:tc>
        <w:tc>
          <w:tcPr>
            <w:tcW w:w="70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(4,601,410)</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(4,601,410)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w w:val="99"/>
              </w:rPr>
              <w:t>Conversion of</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preferred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stock</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(15,001)</w:t>
            </w:r>
          </w:p>
        </w:tc>
        <w:tc>
          <w:tcPr>
            <w:tcW w:w="24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2,682,759</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26,828</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(26,678)</w:t>
            </w:r>
          </w:p>
        </w:tc>
        <w:tc>
          <w:tcPr>
            <w:tcW w:w="92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Registered</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Direct and</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ATM</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offerings</w:t>
            </w:r>
          </w:p>
        </w:tc>
        <w:tc>
          <w:tcPr>
            <w:tcW w:w="70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2,588,032</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25,880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15,598,670</w:t>
            </w:r>
          </w:p>
        </w:tc>
        <w:tc>
          <w:tcPr>
            <w:tcW w:w="92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15,624,550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Classification</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of warrants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to/from</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common</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stock warrant</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liability, net</w:t>
            </w:r>
          </w:p>
        </w:tc>
        <w:tc>
          <w:tcPr>
            <w:tcW w:w="7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(3,809,730)</w:t>
            </w:r>
          </w:p>
        </w:tc>
        <w:tc>
          <w:tcPr>
            <w:tcW w:w="92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(3,809,730)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Conversion of</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4"/>
              </w:rPr>
              <w:t>stock warrants</w:t>
            </w:r>
          </w:p>
        </w:tc>
        <w:tc>
          <w:tcPr>
            <w:tcW w:w="70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18,021</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261,764</w:t>
            </w:r>
          </w:p>
        </w:tc>
        <w:tc>
          <w:tcPr>
            <w:tcW w:w="92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261,944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Valuation of</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common</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w w:val="96"/>
              </w:rPr>
              <w:t>stock warrants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in connection</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with notes</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payable</w:t>
            </w:r>
          </w:p>
        </w:tc>
        <w:tc>
          <w:tcPr>
            <w:tcW w:w="7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521,763</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521,763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gain on</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available for</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70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82,441</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82,441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w w:val="99"/>
              </w:rPr>
              <w:t>compensation</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7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1,235,437</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1,235,437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stock and</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option</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exercise</w:t>
            </w:r>
          </w:p>
        </w:tc>
        <w:tc>
          <w:tcPr>
            <w:tcW w:w="70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12,872</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183,918</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184,047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common</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stock out of</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treasury</w:t>
            </w:r>
          </w:p>
        </w:tc>
        <w:tc>
          <w:tcPr>
            <w:tcW w:w="7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14,765</w:t>
            </w:r>
          </w:p>
        </w:tc>
        <w:tc>
          <w:tcPr>
            <w:tcW w:w="14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(14,765)</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269,147</w:t>
            </w:r>
          </w:p>
        </w:tc>
        <w:tc>
          <w:tcPr>
            <w:tcW w:w="10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(171,101)</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98,046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Fractional</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(981)</w:t>
            </w: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(1,595)</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2"/>
              </w:rPr>
              <w:t>share payment</w:t>
            </w:r>
          </w:p>
        </w:tc>
        <w:tc>
          <w:tcPr>
            <w:tcW w:w="7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8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20" w:type="dxa"/>
            <w:vAlign w:val="bottom"/>
            <w:tcBorders>
              <w:top w:val="single" w:sz="8" w:color="CCEEFF"/>
            </w:tcBorders>
          </w:tcPr>
          <w:p>
            <w:pPr>
              <w:spacing w:after="0" w:line="191" w:lineRule="exact"/>
              <w:rPr>
                <w:sz w:val="20"/>
                <w:szCs w:val="20"/>
                <w:color w:val="auto"/>
              </w:rPr>
            </w:pPr>
            <w:r>
              <w:rPr>
                <w:rFonts w:ascii="Arial" w:cs="Arial" w:eastAsia="Arial" w:hAnsi="Arial"/>
                <w:sz w:val="18"/>
                <w:szCs w:val="18"/>
                <w:b w:val="1"/>
                <w:bCs w:val="1"/>
                <w:color w:val="auto"/>
              </w:rPr>
              <w:t>Balance at</w:t>
            </w: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95"/>
              </w:rPr>
              <w:t>December 31,</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7"/>
              </w:rPr>
              <w:t>13,604,975</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2"/>
              </w:rPr>
              <w:t>137,380</w:t>
            </w:r>
          </w:p>
        </w:tc>
        <w:tc>
          <w:tcPr>
            <w:tcW w:w="1000" w:type="dxa"/>
            <w:vAlign w:val="bottom"/>
            <w:vMerge w:val="restart"/>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203,139,142</w:t>
            </w:r>
          </w:p>
        </w:tc>
        <w:tc>
          <w:tcPr>
            <w:tcW w:w="200" w:type="dxa"/>
            <w:vAlign w:val="bottom"/>
          </w:tcPr>
          <w:p>
            <w:pPr>
              <w:spacing w:after="0"/>
              <w:rPr>
                <w:sz w:val="18"/>
                <w:szCs w:val="18"/>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132,995</w:t>
            </w: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(2,421,364)</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(44,166)</w:t>
            </w:r>
          </w:p>
        </w:tc>
        <w:tc>
          <w:tcPr>
            <w:tcW w:w="12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88"/>
              </w:rPr>
              <w:t>$ (169,287,157)</w:t>
            </w:r>
          </w:p>
        </w:tc>
        <w:tc>
          <w:tcPr>
            <w:tcW w:w="1080" w:type="dxa"/>
            <w:vAlign w:val="bottom"/>
            <w:gridSpan w:val="3"/>
            <w:vMerge w:val="restart"/>
          </w:tcPr>
          <w:p>
            <w:pPr>
              <w:jc w:val="right"/>
              <w:ind w:right="1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31,523,835</w:t>
            </w:r>
          </w:p>
        </w:tc>
        <w:tc>
          <w:tcPr>
            <w:tcW w:w="0" w:type="dxa"/>
            <w:vAlign w:val="bottom"/>
          </w:tcPr>
          <w:p>
            <w:pPr>
              <w:spacing w:after="0"/>
              <w:rPr>
                <w:sz w:val="1"/>
                <w:szCs w:val="1"/>
                <w:color w:val="auto"/>
              </w:rPr>
            </w:pPr>
          </w:p>
        </w:tc>
      </w:tr>
      <w:tr>
        <w:trPr>
          <w:trHeight w:val="194"/>
        </w:trPr>
        <w:tc>
          <w:tcPr>
            <w:tcW w:w="11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2013</w:t>
            </w: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90" w:gutter="0" w:footer="0" w:header="0"/>
        </w:sectPr>
      </w:pPr>
    </w:p>
    <w:bookmarkStart w:id="70" w:name="page71"/>
    <w:bookmarkEnd w:id="70"/>
    <w:p>
      <w:pPr>
        <w:jc w:val="center"/>
        <w:spacing w:after="0"/>
        <w:rPr>
          <w:sz w:val="20"/>
          <w:szCs w:val="20"/>
          <w:color w:val="auto"/>
        </w:rPr>
      </w:pPr>
      <w:r>
        <w:rPr>
          <w:rFonts w:ascii="Arial" w:cs="Arial" w:eastAsia="Arial" w:hAnsi="Arial"/>
          <w:sz w:val="15"/>
          <w:szCs w:val="15"/>
          <w:color w:val="auto"/>
        </w:rPr>
        <w:t>See accompanying notes to the financial statements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(continued)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2015, 2014 AND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Common Stock</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Accum.</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Outstanding</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22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Treasury Stock</w:t>
            </w:r>
          </w:p>
        </w:tc>
        <w:tc>
          <w:tcPr>
            <w:tcW w:w="12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Paid in</w:t>
            </w: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1"/>
              </w:rPr>
              <w:t>Compr.</w:t>
            </w:r>
          </w:p>
        </w:tc>
        <w:tc>
          <w:tcPr>
            <w:tcW w:w="122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Income</w:t>
            </w:r>
          </w:p>
        </w:tc>
        <w:tc>
          <w:tcPr>
            <w:tcW w:w="2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Balance at January 1, 2014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13,604,975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137,380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$ 203,139,142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132,995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 (2,421,364)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(44,166)</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(169,287,157)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31,523,835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(25,494,273)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(25,494,273)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Registered Direct common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offering</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3,603,604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36,036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13,752,775</w:t>
            </w:r>
          </w:p>
        </w:tc>
        <w:tc>
          <w:tcPr>
            <w:tcW w:w="110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13,788,811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Common stock issued in</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connection with the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acquisition of EGEN, Inc.</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assets</w:t>
            </w:r>
          </w:p>
        </w:tc>
        <w:tc>
          <w:tcPr>
            <w:tcW w:w="920" w:type="dxa"/>
            <w:vAlign w:val="bottom"/>
          </w:tcPr>
          <w:p>
            <w:pPr>
              <w:jc w:val="right"/>
              <w:spacing w:after="0"/>
              <w:rPr>
                <w:sz w:val="20"/>
                <w:szCs w:val="20"/>
                <w:color w:val="auto"/>
              </w:rPr>
            </w:pPr>
            <w:r>
              <w:rPr>
                <w:rFonts w:ascii="Arial" w:cs="Arial" w:eastAsia="Arial" w:hAnsi="Arial"/>
                <w:sz w:val="18"/>
                <w:szCs w:val="18"/>
                <w:color w:val="auto"/>
              </w:rPr>
              <w:t>2,712,188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27,122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10,823,855</w:t>
            </w:r>
          </w:p>
        </w:tc>
        <w:tc>
          <w:tcPr>
            <w:tcW w:w="110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10,850,977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Valuation of common stock</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 issued in</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connection with the</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November 2013 Hercules</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w:t>
            </w:r>
          </w:p>
        </w:tc>
        <w:tc>
          <w:tcPr>
            <w:tcW w:w="92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(521,763)</w:t>
            </w:r>
          </w:p>
        </w:tc>
        <w:tc>
          <w:tcPr>
            <w:tcW w:w="110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(521,763)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Unrealized gain on</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investments available for</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sale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28,134</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28,134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2,513,042</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2,513,042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w w:val="99"/>
              </w:rPr>
              <w:t>Issuance of restricted stock</w:t>
            </w:r>
          </w:p>
        </w:tc>
        <w:tc>
          <w:tcPr>
            <w:tcW w:w="920" w:type="dxa"/>
            <w:vAlign w:val="bottom"/>
          </w:tcPr>
          <w:p>
            <w:pPr>
              <w:jc w:val="right"/>
              <w:spacing w:after="0"/>
              <w:rPr>
                <w:sz w:val="20"/>
                <w:szCs w:val="20"/>
                <w:color w:val="auto"/>
              </w:rPr>
            </w:pPr>
            <w:r>
              <w:rPr>
                <w:rFonts w:ascii="Arial" w:cs="Arial" w:eastAsia="Arial" w:hAnsi="Arial"/>
                <w:sz w:val="18"/>
                <w:szCs w:val="18"/>
                <w:color w:val="auto"/>
              </w:rPr>
              <w:t>43,841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438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71,652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72,090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19,595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(19,595)</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356,755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(292,272)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64,483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 of treasury</w:t>
            </w: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2200" w:type="dxa"/>
            <w:vAlign w:val="bottom"/>
          </w:tcPr>
          <w:p>
            <w:pPr>
              <w:spacing w:after="0" w:line="191" w:lineRule="exact"/>
              <w:rPr>
                <w:sz w:val="20"/>
                <w:szCs w:val="20"/>
                <w:color w:val="auto"/>
              </w:rPr>
            </w:pPr>
            <w:r>
              <w:rPr>
                <w:rFonts w:ascii="Arial" w:cs="Arial" w:eastAsia="Arial" w:hAnsi="Arial"/>
                <w:sz w:val="18"/>
                <w:szCs w:val="18"/>
                <w:b w:val="1"/>
                <w:bCs w:val="1"/>
                <w:color w:val="auto"/>
              </w:rPr>
              <w:t>Balance at December 31,</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9"/>
              </w:rPr>
              <w:t>19,984,203</w:t>
            </w:r>
          </w:p>
        </w:tc>
        <w:tc>
          <w:tcPr>
            <w:tcW w:w="2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200,976</w:t>
            </w:r>
          </w:p>
        </w:tc>
        <w:tc>
          <w:tcPr>
            <w:tcW w:w="1020" w:type="dxa"/>
            <w:vAlign w:val="bottom"/>
            <w:vMerge w:val="restart"/>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229,778,703</w:t>
            </w:r>
          </w:p>
        </w:tc>
        <w:tc>
          <w:tcPr>
            <w:tcW w:w="2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113,400</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87"/>
              </w:rPr>
              <w:t>$ (2,064,609)</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(16,032)</w:t>
            </w:r>
          </w:p>
        </w:tc>
        <w:tc>
          <w:tcPr>
            <w:tcW w:w="12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88"/>
              </w:rPr>
              <w:t>$ (195,073,702)</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7"/>
              </w:rPr>
              <w:t>32,825,336</w:t>
            </w:r>
          </w:p>
        </w:tc>
        <w:tc>
          <w:tcPr>
            <w:tcW w:w="0" w:type="dxa"/>
            <w:vAlign w:val="bottom"/>
          </w:tcPr>
          <w:p>
            <w:pPr>
              <w:spacing w:after="0"/>
              <w:rPr>
                <w:sz w:val="1"/>
                <w:szCs w:val="1"/>
                <w:color w:val="auto"/>
              </w:rPr>
            </w:pPr>
          </w:p>
        </w:tc>
      </w:tr>
      <w:tr>
        <w:trPr>
          <w:trHeight w:val="194"/>
        </w:trPr>
        <w:tc>
          <w:tcPr>
            <w:tcW w:w="2220" w:type="dxa"/>
            <w:vAlign w:val="bottom"/>
            <w:gridSpan w:val="2"/>
          </w:tcPr>
          <w:p>
            <w:pPr>
              <w:ind w:left="180"/>
              <w:spacing w:after="0" w:line="194" w:lineRule="exact"/>
              <w:rPr>
                <w:sz w:val="20"/>
                <w:szCs w:val="20"/>
                <w:color w:val="auto"/>
              </w:rPr>
            </w:pPr>
            <w:r>
              <w:rPr>
                <w:rFonts w:ascii="Arial" w:cs="Arial" w:eastAsia="Arial" w:hAnsi="Arial"/>
                <w:sz w:val="18"/>
                <w:szCs w:val="18"/>
                <w:b w:val="1"/>
                <w:bCs w:val="1"/>
                <w:color w:val="auto"/>
              </w:rPr>
              <w:t>2014</w:t>
            </w: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(continued)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2015, 2014 AND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Common Stock</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Accum.</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Outstanding</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22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Treasury Stock</w:t>
            </w:r>
          </w:p>
        </w:tc>
        <w:tc>
          <w:tcPr>
            <w:tcW w:w="12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Paid in</w:t>
            </w: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1"/>
              </w:rPr>
              <w:t>Compr.</w:t>
            </w:r>
          </w:p>
        </w:tc>
        <w:tc>
          <w:tcPr>
            <w:tcW w:w="122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Income</w:t>
            </w:r>
          </w:p>
        </w:tc>
        <w:tc>
          <w:tcPr>
            <w:tcW w:w="2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Balance at January 1, 2015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19,984,203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200,976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$ 229,778,703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113,400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 (2,064,609)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(16,032)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(195,073,702)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32,825,336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(22,461,084)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(22,461,084)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Registered Direct and ATM</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offerings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3,283,608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32,836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7,703,607</w:t>
            </w:r>
          </w:p>
        </w:tc>
        <w:tc>
          <w:tcPr>
            <w:tcW w:w="22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7,736,443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w w:val="98"/>
              </w:rPr>
              <w:t>Expiration of reset provision</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of the common stock</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warrants issued in</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connection with the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w w:val="98"/>
              </w:rPr>
              <w:t>November 2013 Hercules</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Loan</w:t>
            </w:r>
          </w:p>
        </w:tc>
        <w:tc>
          <w:tcPr>
            <w:tcW w:w="9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336,254</w:t>
            </w:r>
          </w:p>
        </w:tc>
        <w:tc>
          <w:tcPr>
            <w:tcW w:w="110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336,254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gain 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available for</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12,174</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expense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1,828,896</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1,828,896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w w:val="99"/>
              </w:rPr>
              <w:t>Issuance of restricted stock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20,775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Issuance of common stock</w:t>
            </w: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37,476</w:t>
            </w:r>
          </w:p>
        </w:tc>
        <w:tc>
          <w:tcPr>
            <w:tcW w:w="10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(37,476)</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682,304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(595,574)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86,730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out of treasury</w:t>
            </w: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220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at December 31,</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9"/>
              </w:rPr>
              <w:t>23,319,287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233,952</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239,668,235</w:t>
            </w:r>
          </w:p>
        </w:tc>
        <w:tc>
          <w:tcPr>
            <w:tcW w:w="22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75,924</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87"/>
              </w:rPr>
              <w:t>$ (1,382,305)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(3,858)</w:t>
            </w:r>
          </w:p>
        </w:tc>
        <w:tc>
          <w:tcPr>
            <w:tcW w:w="1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88"/>
              </w:rPr>
              <w:t>$ (218,130,360)</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7"/>
              </w:rPr>
              <w:t>20,385,664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00" w:type="dxa"/>
            <w:vAlign w:val="bottom"/>
            <w:shd w:val="clear" w:color="auto" w:fill="CCEEFF"/>
          </w:tcPr>
          <w:p>
            <w:pPr>
              <w:ind w:left="160"/>
              <w:spacing w:after="0" w:line="194" w:lineRule="exact"/>
              <w:rPr>
                <w:sz w:val="20"/>
                <w:szCs w:val="20"/>
                <w:color w:val="auto"/>
              </w:rPr>
            </w:pPr>
            <w:r>
              <w:rPr>
                <w:rFonts w:ascii="Arial" w:cs="Arial" w:eastAsia="Arial" w:hAnsi="Arial"/>
                <w:sz w:val="18"/>
                <w:szCs w:val="18"/>
                <w:b w:val="1"/>
                <w:bCs w:val="1"/>
                <w:color w:val="auto"/>
              </w:rPr>
              <w:t>2015</w:t>
            </w:r>
          </w:p>
        </w:tc>
        <w:tc>
          <w:tcPr>
            <w:tcW w:w="114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Celsion Corporation, a Delaware corporation based in Lawrenceville, New Jersey, and its wholly owned subsidiary, CLSN Laboratories, Inc., also a Delaware corporation, referred to herein as “Celsion”, “we”, or “the Company,” as the context requires, is a fully-integrated oncology drug development company focused on developing a portfolio of innovative cancer treatments, including directed chemotherapies, immunotherapies and RNA- or DNA-based therapies. Our lead program is ThermoDox®, a proprietary heat-activated liposomal encapsulation of doxorubicin, currently in Phase III development for the treatment of primary liver cancer. Our pipeline also includes GEN-1, a DNA-based immunotherapy for the localized treatment of ovarian and brain cancers. We have three platform technologies for the development of treatments for those suffering with difficult-to-treat forms of cancer, novel nucleic acid-based immunotherapies and other anti-cancer DNA or RNA therapies, including TheraPlas™ and TheraSilence™. We are working to develop and commercialize more efficient, effective and targeted oncology therapies based on our technologies, with the goal to develop novel therapeutics that maximize efficacy while minimizing side-effects common to cancer treatments.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accompanying consolidated financial statements of Celsion have been prepared in accordance with generally accepted accounting principles (“GAAP”) in the United States and include the accounts of the Company and CLSN Laboratories, Inc. All intercompany balances and transactions have been eliminated. The preparation of financial statements in conformity with GAAP requires management to make judgments, estimates, and assumptions that affect the amount reported in the Company’s financial statements and accompanying notes. Actual results could differ materially from these estimates.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Events and conditions arising subsequent to the most recent balance sheet date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inception of each collaborative agreement that includes milestone payments, the Company evaluates whether each milestone is substantive on the basis of the contingent nature of the milestone, specifically reviewing factors such as the scientific and other risks that must be overcome to achieve the milestone, as well as the level of effort and investment required. Milestones that are not considered substantive and that do not meet the separation criteria are accounted for as license payments and recognized on a straight-line basis over the remaining period of performance. Payments received or reasonably assured after performance obligations are met completely are recognized as earned.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include cash on hand and investments purchased with an original maturity of three months or less. A portion of these funds are not covered by FDIC insurance.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financial instruments approximate their respective fair values.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i w:val="1"/>
          <w:iCs w:val="1"/>
          <w:color w:val="auto"/>
        </w:rPr>
        <w:t>Short Term Investments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classifies its investments in marketable securities with readily determinable fair values as investments available-for-sale in accordance with Accounting Standards Codification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Available-for-sale securities consist of debt and equity securities not classified as trading securities or as securities to be held to maturity. The Company has classified all of its investments as available-for-sale. Unrealized holding gains and losses on available-for-sale securities are reported as a net amount in accumulated other comprehensive gain or loss in stockholders’ equity until realized. Gains and losses on the sale of available-for-sale securities are determined using the specific identification method. The Company’s short term investments consist of corporate bonds and government agency bonds.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Property and equipment is stated at cost less accumulated depreciation and amortization. Depreciation is provided over the estimated useful lives of the related assets, ranging from three to seven years, using the straight-line method. Amortization is recognized over the lesser of the life of the asset or the lease term. Major renewals and improvements are capitalized at cost and ordinary repairs and maintenance are charged against operating expenses as incurred. Depreciation expense was approximately $425,000, $369,000 and $339,000 for years ended December 31, 2015, 2014 and 2013, respectively.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reviews property and equipment for impairment whenever events or changes in circumstances indicate that the carrying amount of an asset may not be recoverable. An asset is considered impaired if its carrying amount exceeds the future net undiscounted cash flows that the asset is expected to generate. If such asset is considered to be impaired, the impairment recognized is the amount by which the carrying amount of the asset, if any, exceeds its fair value determined using a discounted cash flow model.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Deposits include real property security deposits and other deposits which are contractually required and of a long-term 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In-Process Research and Development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2014, the Company acquired certain assets of EGEN, Inc. As more fully described in Note 5, the acquisition was accounted for under the acquisition method of accounting which required the Company to perform an allocation of the purchase price to the assets acquired and liabilities assumed. Under the acquisition method of accounting, the total purchase price is allocated to net tangible and intangible assets and liabilities based on their estimated fair values as of the acquisition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purchased several licenses for rights to patented technologies. Patent license costs of $63,125 have been capitalized and are amortized on a straight-line basis over the estimated life of the related patent. As of December 31, 2015 and 2014, the total accumulated amortization expense is $49,375 and $41,500, respectively. The weighted-average amortization period for these assets is 10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establishes standards for the reporting and display of comprehensive income and its components in the Company’s consolidated financial statements. The objective of ASC 220 is to report a measure (comprehensive income (loss)) of all changes in equity of an enterprise that result from transactions and other economic events in a period other than transactions with owners.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costs are expensed as incurred. Equipment and facilities acquired for research and development activities that have alternative future uses are capitalized and charged to expense over their estimated useful lives.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and diluted net income/(loss) per common share was computed by dividing net income/(loss) for the year by the weighted average number of shares of Common Stock outstanding, both basic and diluted, during each period. The impact of Common Stock equivalents has been excluded from the computation of diluted weighted average common shares outstanding in periods where there is a net loss, as their effect is anti-dilutive.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years ended December 31, 2015, 2014 and 2013, outstanding equity awards of 2,221,340, 1,751,773, and 863,462 shares, respectively, and warrants outstanding to purchase 5,894,675, 5,069,815, and 3,170,520 shares, respectively, were considered anti-dilutive and therefore were not included in the calculation of diluted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 and liabilities of a change in tax rates is recognized in results of operations in the period that the tax rate change occurs. Valuation allowances are established, when necessary, to reduce deferred tax assets to the amount expected to be realized.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 tax position is recognized as a benefit only if it is “more likely than not” that the tax position taken would be sustained in a tax examination, presuming that a tax examination will occur. The Company recognizes interest and/or penalties related to income tax matters in the income tax expense category.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Compensation costs for all stock-based awards is measured at fair value on the date of the grant and recognized over the service period for awards expected to vest. Such value is recognized as expense over the service period. The estimation of stock-based awards that will ultimately vest requires judgment, and to the extent actual results or updated estimates differ from the current estimates, such amounts will be recorded as cumulative adjustment in the period estimates are revised. We consider many factors when estimating expected forfeitures, including types of awards, employee class, and historical experience.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This guidance is intended to improve and converge with international standards the financial reporting requirements for revenue from contracts with customers. In August 2015, the FASB issued Accounting Standard Update No. 2015-14 which delayed the effective date of Topic 606. It will be effective for our first quarter of 2018 and early adoption is only permitted for reporting periods beginning after December 15, 2016 including interim reporting periods within that period.</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2015, the FASB issued Accounting Standards Update No. 2015-03 Interest – Imputation of Interest (Subtopic 835-30). This guidance is to simplify the presentation of debt issuance costs by recognizing a debt liability in the balance sheet as a direct deduction from that debt liability consistent with the presentation of a debt discount. It will be effective for our first quarter of 2016 and early adoption is permitted. We do not believe the impact of adoption of this new accounting pronouncement on our financial statements will be significant.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6" w:name="page77"/>
    <w:bookmarkEnd w:id="76"/>
    <w:p>
      <w:pPr>
        <w:jc w:val="both"/>
        <w:spacing w:after="0" w:line="257" w:lineRule="auto"/>
        <w:rPr>
          <w:sz w:val="20"/>
          <w:szCs w:val="20"/>
          <w:color w:val="auto"/>
        </w:rPr>
      </w:pPr>
      <w:r>
        <w:rPr>
          <w:rFonts w:ascii="Arial" w:cs="Arial" w:eastAsia="Arial" w:hAnsi="Arial"/>
          <w:sz w:val="18"/>
          <w:szCs w:val="18"/>
          <w:color w:val="auto"/>
        </w:rPr>
        <w:t>In January 2016, the FASB issued Accounting Standards Update No. 2016-01, Recognition and Measurement of Financial Assets and Financial Liabilities, which requires that most equity investments be measured at fair value, with subsequent changes in fair value recognized in net income (other than those accounted for under equity method of accounting). This guidance is effective for fiscal years, and interim periods within those years, beginning after December 15, 2017. The Company is currently assessing the impact of the adoption of this guidance on its Consolidated Financial Statements and disclosures.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Accounting Standards Update No. 2016-02, “Leases (Topic 842)”, which requires lessees recognize assets and liabilities for leases with lease terms greater than twelve months in the statement of financial position. Leases will be classified as either finance or operating, with classification affecting the pattern of expense recognition in the income statement. This update also requires improved disclosures to help users of financial statements better understand the amount, timing and uncertainty of cash flows arising from leases. The update is effective for fiscal years beginning after December 15, 2018, including interim reporting periods within that reporting period. Early adoption is permitted. The Company is currently evaluating the impact the adoption of this guidance will have on its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CONDITION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Food and Drug Administration. The Company believes these expenditures are essential for the commercialization of its technologies. As a result of these expenditures, as well as general and administrative expenses, the Company has an accumulated deficit of $218 million as of December 31, 2015.</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produce, and market and sell its new product candidates. There can be no assurance that the Company will be able to commercialize its technology successfully or that profitability will ever be achieved. The operating results of the Company have fluctuated significantly in the past. The Company expects that its operating results will fluctuate significantly in the future and will depend on a number of factors, many of which are outside the Company’s control.</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will need substantial additional funding in order to complete the development, testing and commercialization of its oncology product candidates and we have made a significant commitment to heat-activated liposome research and development projects and it is our intention at least to maintain, and possibly increase, the pace and scope of these activities. The commitment to these new projects will require additional external funding, at least until the Company is able to generate sufficient cash flow from sale of one or more of its products to support its continued operations.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adequate funding is not available, the Company may be required to delay, scale back or terminate certain aspects of its operations or attempt to obtain funds through unfavorable arrangements with partners or others that may force it to relinquish rights to certain of its technologies, products or potential markets or that could impose onerous financial or other terms. Furthermore, if the Company cannot fund its ongoing development and other operating requirements, particularly those associated with its obligations to conduct clinical trials under its licensing agreements, it will be in breach of these licensing agreements and could therefore lose its license rights, which could have material adverse effects on its business. Management is continuing its efforts to obtain additional funds so that the Company can meet its obligations and sustain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 TERM INVESTMENTS AVAILABLE FOR SALE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Short term investments available for sale of $10,799,890 and $24,173,406 as of December 31, 2015 and 2014, respectively, consist of money market funds, commercial paper, corporate debt securities, and government agency debt securities. They are valued at estimated fair value, with unrealized gains and losses reported as a separate component of stockholders’ equity in Accumulated Other Comprehensive Income.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7" w:name="page78"/>
    <w:bookmarkEnd w:id="77"/>
    <w:p>
      <w:pPr>
        <w:jc w:val="both"/>
        <w:ind w:right="40"/>
        <w:spacing w:after="0" w:line="297" w:lineRule="auto"/>
        <w:rPr>
          <w:sz w:val="20"/>
          <w:szCs w:val="20"/>
          <w:color w:val="auto"/>
        </w:rPr>
      </w:pPr>
      <w:r>
        <w:rPr>
          <w:rFonts w:ascii="Arial" w:cs="Arial" w:eastAsia="Arial" w:hAnsi="Arial"/>
          <w:sz w:val="16"/>
          <w:szCs w:val="16"/>
          <w:color w:val="auto"/>
        </w:rPr>
        <w:t>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cost, fair value and maturities of the Company’s short-term investments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ind w:left="320"/>
              <w:spacing w:after="0"/>
              <w:rPr>
                <w:sz w:val="20"/>
                <w:szCs w:val="20"/>
                <w:color w:val="auto"/>
              </w:rPr>
            </w:pPr>
            <w:r>
              <w:rPr>
                <w:rFonts w:ascii="Arial" w:cs="Arial" w:eastAsia="Arial" w:hAnsi="Arial"/>
                <w:sz w:val="18"/>
                <w:szCs w:val="18"/>
                <w:b w:val="1"/>
                <w:bCs w:val="1"/>
                <w:color w:val="auto"/>
              </w:rPr>
              <w:t>December 31, 2015</w:t>
            </w:r>
          </w:p>
        </w:tc>
        <w:tc>
          <w:tcPr>
            <w:tcW w:w="220" w:type="dxa"/>
            <w:vAlign w:val="bottom"/>
          </w:tcPr>
          <w:p>
            <w:pPr>
              <w:spacing w:after="0"/>
              <w:rPr>
                <w:sz w:val="20"/>
                <w:szCs w:val="20"/>
                <w:color w:val="auto"/>
              </w:rPr>
            </w:pPr>
          </w:p>
        </w:tc>
        <w:tc>
          <w:tcPr>
            <w:tcW w:w="2380" w:type="dxa"/>
            <w:vAlign w:val="bottom"/>
            <w:gridSpan w:val="6"/>
          </w:tcPr>
          <w:p>
            <w:pPr>
              <w:ind w:left="300"/>
              <w:spacing w:after="0"/>
              <w:rPr>
                <w:sz w:val="20"/>
                <w:szCs w:val="20"/>
                <w:color w:val="auto"/>
              </w:rPr>
            </w:pPr>
            <w:r>
              <w:rPr>
                <w:rFonts w:ascii="Arial" w:cs="Arial" w:eastAsia="Arial" w:hAnsi="Arial"/>
                <w:sz w:val="18"/>
                <w:szCs w:val="18"/>
                <w:b w:val="1"/>
                <w:bCs w:val="1"/>
                <w:color w:val="auto"/>
              </w:rPr>
              <w:t>December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Certificate of deposit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4,800,000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4,798,810</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4,996,568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Bonds- corporate issuances</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6,003,748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6,001,080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19,189,438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19,176,838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color w:val="auto"/>
              </w:rPr>
              <w:t>Total short-term investments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10,803,748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10,799,890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24,189,438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24,173,406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5"/>
          </w:tcPr>
          <w:p>
            <w:pPr>
              <w:ind w:left="320"/>
              <w:spacing w:after="0"/>
              <w:rPr>
                <w:sz w:val="20"/>
                <w:szCs w:val="20"/>
                <w:color w:val="auto"/>
              </w:rPr>
            </w:pPr>
            <w:r>
              <w:rPr>
                <w:rFonts w:ascii="Arial" w:cs="Arial" w:eastAsia="Arial" w:hAnsi="Arial"/>
                <w:sz w:val="18"/>
                <w:szCs w:val="18"/>
                <w:b w:val="1"/>
                <w:bCs w:val="1"/>
                <w:color w:val="auto"/>
              </w:rPr>
              <w:t>December 31, 2015</w:t>
            </w:r>
          </w:p>
        </w:tc>
        <w:tc>
          <w:tcPr>
            <w:tcW w:w="220" w:type="dxa"/>
            <w:vAlign w:val="bottom"/>
          </w:tcPr>
          <w:p>
            <w:pPr>
              <w:spacing w:after="0"/>
              <w:rPr>
                <w:sz w:val="24"/>
                <w:szCs w:val="24"/>
                <w:color w:val="auto"/>
              </w:rPr>
            </w:pPr>
          </w:p>
        </w:tc>
        <w:tc>
          <w:tcPr>
            <w:tcW w:w="2380" w:type="dxa"/>
            <w:vAlign w:val="bottom"/>
            <w:gridSpan w:val="6"/>
          </w:tcPr>
          <w:p>
            <w:pPr>
              <w:ind w:left="300"/>
              <w:spacing w:after="0"/>
              <w:rPr>
                <w:sz w:val="20"/>
                <w:szCs w:val="20"/>
                <w:color w:val="auto"/>
              </w:rPr>
            </w:pPr>
            <w:r>
              <w:rPr>
                <w:rFonts w:ascii="Arial" w:cs="Arial" w:eastAsia="Arial" w:hAnsi="Arial"/>
                <w:sz w:val="18"/>
                <w:szCs w:val="18"/>
                <w:b w:val="1"/>
                <w:bCs w:val="1"/>
                <w:color w:val="auto"/>
              </w:rPr>
              <w:t>December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investment maturities</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Within 3 months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10,803,748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10,799,890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16,881,490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16,872,158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Between 3-12 months</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7,307,948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7,301,248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10,803,748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10,799,890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24,189,438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24,173,406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Investment income, which includes net realized losses on sales of available for sale securities and investment income interest and dividends, is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186,322</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1,015,182</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Accretion of investment premium</w:t>
            </w:r>
          </w:p>
        </w:tc>
        <w:tc>
          <w:tcPr>
            <w:tcW w:w="4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(122,998)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(913,261)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(669,344)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Losses on investment maturity and sales, net</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(24,727)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63,588</w:t>
            </w:r>
          </w:p>
        </w:tc>
        <w:tc>
          <w:tcPr>
            <w:tcW w:w="16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77,194</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following table shows the Company’s investment securities gross unrealized losses and fair value by investment category and length of time that individual securities have been in a continuous unrealized loss position at December 31, 2015 and 2014. The Company has reviewed individual securities to determine whether a decline in fair value below the amortizable cost basis is other than temporary.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December 31, 2015</w:t>
            </w:r>
          </w:p>
        </w:tc>
        <w:tc>
          <w:tcPr>
            <w:tcW w:w="220" w:type="dxa"/>
            <w:vAlign w:val="bottom"/>
          </w:tcPr>
          <w:p>
            <w:pPr>
              <w:spacing w:after="0"/>
              <w:rPr>
                <w:sz w:val="20"/>
                <w:szCs w:val="20"/>
                <w:color w:val="auto"/>
              </w:rPr>
            </w:pPr>
          </w:p>
        </w:tc>
        <w:tc>
          <w:tcPr>
            <w:tcW w:w="250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December 31, 2014</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Holding</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Holding</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Gains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Description of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(Losses)</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Available for Sale (all unrealized holding gains and losses are less than</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12 months at date of measurement)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Short-term investments with unrealized gains</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240,024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 with unrealized losses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10,559,866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24,173,406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(16,032)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b w:val="1"/>
                <w:bCs w:val="1"/>
                <w:color w:val="auto"/>
              </w:rPr>
              <w:t>Total</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10,799,890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(3,858)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24,173,406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(16,032)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F-14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1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4. FAIR VALUES OF FINANCIAL INSTRUMENTS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FASB Accounting Standards Codification (ASC) Section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three tier level hierarchy for fair value measurements which requires an entity to maximize the use of observable inputs and minimize the use of unobservable inputs when measuring fair value. The standard describes three levels of inputs that may be used to measure fair value:</w:t>
      </w:r>
    </w:p>
    <w:p>
      <w:pPr>
        <w:spacing w:after="0" w:line="181"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Level 1: Quoted prices (unadjusted) or identical assets or liabilities in active markets that the entity has the ability to access as of the measurement date.</w:t>
      </w:r>
    </w:p>
    <w:p>
      <w:pPr>
        <w:spacing w:after="0" w:line="170"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70"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Level 3: Significant unobservable inputs that reflect a reporting entity’s own assumptions that market participants would use in pricing an asset or liability.</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fair values of securities available for sale are determined by obtaining quoted prices on nationally recognized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18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Cash and cash equivalents, other current assets, accounts payable and other accrued liabilities are reflected in the balance sheet at their estimated fair values primarily due to their short-term nature. There were no transfers of assets of liabilities between Level 1 and Level 2 and no transfers in or out of Level 3 during 2015 or 2014 except for the change in the fair market value of the warrant liability and the change in the earn-out milestone liability were included in earnings.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w w:val="96"/>
              </w:rPr>
              <w:t>Assets and liabilities measured at fair value are summarized below:</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Quoted</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Prices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In Active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Markets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Total Fair</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For</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Significant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Value on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Identical</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7"/>
              </w:rPr>
              <w:t>Significant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the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Assets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Observable</w:t>
            </w:r>
          </w:p>
        </w:tc>
        <w:tc>
          <w:tcPr>
            <w:tcW w:w="12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Unobservable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Balance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/Liabilities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Inputs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Inputs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Sheet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(Level 1)</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(Level 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Recurring items as of December 31, 2015</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 available for sale</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10,799,890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10,799,890</w:t>
            </w:r>
          </w:p>
        </w:tc>
        <w:tc>
          <w:tcPr>
            <w:tcW w:w="12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December 31, 2014</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Short-term investments available for sale</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24,173,406</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24,173,406</w:t>
            </w:r>
          </w:p>
        </w:tc>
        <w:tc>
          <w:tcPr>
            <w:tcW w:w="12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Non-recurring items as of December 31, 2014</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In-process research and development (Note 5)</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25,801,728</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25,801,728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(Note 5)</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1,976,101</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1,976,101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Recurring items as of December 31, 2015</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warrant liability (Note 13)</w:t>
            </w: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Earn-out milestone liability (Note 12)</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13,921,412</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13,921,412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December 31, 2014</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Common stock warrant liability (Note 13)</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275,008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275,008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Earn-out milestone liability (Note 12)</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13,663,710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13,663,710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F-15</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1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5. ACQUISITION OF EGEN, INC.</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20, 2014, Celsion completed the acquisition of substantially all of the assets of EGEN, Inc., an Alabama Corporation (EGEN) pursuant to an Asset Purchase Agreement (EGEN Purchase Agreement). CLSN Laboratories, Inc., a Delaware corporation and a wholly-owned subsidiary of Celsion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total aggregate purchase price for the acquisition is up to $44.4 million, which includes potential future payments of up to $30.4 million contingent upon achievement of certain milestones set forth in the EGEN Purchase Agreement (Earn-Out Payments). At the closing, Celsion paid approximately $3.0 million in cash after expense adjustment and issued 2,712,188 shares of its common stock to EGEN. The shares of Celsion’s common stock were issued in a private transaction exempt from registration under the Securities Act of 1933, as amended (the Securities Act), pursuant to Section 4(2) thereof. In addition, 670,070 shares of Celsion common stock are issuable to EGEN on or after August 2, 2016 pending satisfactory resolution of any post-closing adjustments of expenses and EGEN’s indemnification obligations under the EGEN Purchase Agreement (Holdback Shares). A Registration Statement (File No. 333-198786) was filed on September 16, 2014 and declared effective on September 30, 2014 for the resale of the shares of common stock issued and issuable to EGEN under the EGEN Purchase Agreement.</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Earn-Out Payments of up to $30.4 million will become payable, in cash, shares of Celsion common stock or a combination thereof, at Celsion’s option, as follows:</w:t>
      </w:r>
    </w:p>
    <w:p>
      <w:pPr>
        <w:spacing w:after="0" w:line="170" w:lineRule="exact"/>
        <w:rPr>
          <w:sz w:val="20"/>
          <w:szCs w:val="20"/>
          <w:color w:val="auto"/>
        </w:rPr>
      </w:pPr>
    </w:p>
    <w:p>
      <w:pPr>
        <w:ind w:left="760" w:right="700" w:hanging="414"/>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to be conducted by the Company or its subsidiary;</w:t>
      </w:r>
    </w:p>
    <w:p>
      <w:pPr>
        <w:spacing w:after="0" w:line="170" w:lineRule="exact"/>
        <w:rPr>
          <w:rFonts w:ascii="Arial" w:cs="Arial" w:eastAsia="Arial" w:hAnsi="Arial"/>
          <w:sz w:val="18"/>
          <w:szCs w:val="18"/>
          <w:color w:val="auto"/>
        </w:rPr>
      </w:pPr>
    </w:p>
    <w:p>
      <w:pPr>
        <w:ind w:left="760" w:right="800" w:hanging="414"/>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glioblastoma multiforme brain cancer study of GEN-1 to be conducted by the Company or its subsidiary; and</w:t>
      </w:r>
    </w:p>
    <w:p>
      <w:pPr>
        <w:spacing w:after="0" w:line="170" w:lineRule="exact"/>
        <w:rPr>
          <w:rFonts w:ascii="Arial" w:cs="Arial" w:eastAsia="Arial" w:hAnsi="Arial"/>
          <w:sz w:val="18"/>
          <w:szCs w:val="18"/>
          <w:color w:val="auto"/>
        </w:rPr>
      </w:pPr>
    </w:p>
    <w:p>
      <w:pPr>
        <w:ind w:left="760" w:hanging="41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 to $6.0 million will become payable upon achieving certain specified milestones relating to the TheraSilence™ technology.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9, 2014, Celsion borrowed an additional $5 million pursuant to a certain Loan and Security Agreement dated as of November 25, 2013, by and between Celsion and Hercules Technology Growth Capital, Inc. (see Note 8). Celsion used the loan proceeds to pay the upfront cash payment at closing and certain transaction costs incurred by Celsion in connection with the acquisition.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EGEN Purchase Agreement contains customary representations and warranties regarding EGEN and Celsion, covenants regarding the conduct of EGEN’s business prior to the consummation of the acquisition, indemnification provisions, termination and other provisions customary for transactions of this nature.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0" w:name="page81"/>
    <w:bookmarkEnd w:id="80"/>
    <w:p>
      <w:pPr>
        <w:jc w:val="both"/>
        <w:spacing w:after="0" w:line="264" w:lineRule="auto"/>
        <w:rPr>
          <w:sz w:val="20"/>
          <w:szCs w:val="20"/>
          <w:color w:val="auto"/>
        </w:rPr>
      </w:pPr>
      <w:r>
        <w:rPr>
          <w:rFonts w:ascii="Arial" w:cs="Arial" w:eastAsia="Arial" w:hAnsi="Arial"/>
          <w:sz w:val="18"/>
          <w:szCs w:val="18"/>
          <w:color w:val="auto"/>
        </w:rPr>
        <w:t>The acquisition of EGEN was accounted for under the acquisition method of accounting which required the Company to perform an allocation of the purchase price to the assets acquired and liabilities assumed. The fair value of the consideration transferred for the acquisition is approximately $27.6 million determined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Consideration Paid at Closing</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rPr>
              <w:t>Cash, net of cash acquired</w:t>
            </w:r>
          </w:p>
        </w:tc>
        <w:tc>
          <w:tcPr>
            <w:tcW w:w="62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2,821,000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Celsion common stock (2,712,188 shares valued at $3.48 which was the last closing price of our common stock at the time of</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closing the transaction on June 20, 2014)</w:t>
            </w: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Future Consideration</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2"/>
              </w:rPr>
              <w:t>Holdback Shares (670,070 shares of Celsion common stock which were discounted by 38% to reflect the cost of the restriction)</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1,441,000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Earn-Out Payments (at fair value*)</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fair value of consideration</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27,578,000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460" w:right="580" w:hanging="236"/>
        <w:spacing w:after="0" w:line="271"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total aggregate purchase price for the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will be fair valued at the end of each quarter and any change in their value will be recognized in the financial statement. As of December 31, 2015 and 2014, the Company fair valued these milestones at $13.9 million and $13.7 million, respectively. During 2015, the Company recognized a non-cash charge of $257,702 as a result of the change in the fair value of these milestones from December 31, 2014 and recognized a non-cash benefit of $213,949 during 2014 as a result of the change in the fair value of these milestones from June 20, 2014.</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acquisition method of accounting, the total purchase price is allocated to EGEN’s net tangible and intangible assets and liabilities based on their estimated fair values as of the acquisition date. There were no subsequent adjustments to provisional amounts in finalizing the purchase price allocation of acquisition of substantially all of the assets of Egen, Inc. on June 20, 2014. The following table summarizes the fair values of these assets acquired and liabilities assumed related to the acquisition.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25,802,000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27,813,000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(235,000)</w:t>
            </w:r>
          </w:p>
        </w:tc>
      </w:tr>
      <w:tr>
        <w:trPr>
          <w:trHeight w:val="210"/>
        </w:trPr>
        <w:tc>
          <w:tcPr>
            <w:tcW w:w="20" w:type="dxa"/>
            <w:vAlign w:val="bottom"/>
          </w:tcPr>
          <w:p>
            <w:pPr>
              <w:spacing w:after="0"/>
              <w:rPr>
                <w:sz w:val="18"/>
                <w:szCs w:val="18"/>
                <w:color w:val="auto"/>
              </w:rPr>
            </w:pPr>
          </w:p>
        </w:tc>
        <w:tc>
          <w:tcPr>
            <w:tcW w:w="9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assets acquired</w:t>
            </w: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27,578,000</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purchase price exceeded the estimated fair value of the net assets acquired by approximately $2.0 million which was recorded as goodwill. Transaction costs associated with the acquisition of assets from EGEN are included in Acquisition Costs in the Condensed Consolidated Statement of Operations and totaled $1,385,263 from the date of acquisition on June 20, 2014 through December 31, 2014.</w:t>
      </w:r>
    </w:p>
    <w:p>
      <w:pPr>
        <w:spacing w:after="0" w:line="181" w:lineRule="exact"/>
        <w:rPr>
          <w:sz w:val="20"/>
          <w:szCs w:val="20"/>
          <w:color w:val="auto"/>
        </w:rPr>
      </w:pPr>
    </w:p>
    <w:p>
      <w:pPr>
        <w:jc w:val="both"/>
        <w:ind w:right="140"/>
        <w:spacing w:after="0" w:line="289" w:lineRule="auto"/>
        <w:rPr>
          <w:sz w:val="20"/>
          <w:szCs w:val="20"/>
          <w:color w:val="auto"/>
        </w:rPr>
      </w:pPr>
      <w:r>
        <w:rPr>
          <w:rFonts w:ascii="Arial" w:cs="Arial" w:eastAsia="Arial" w:hAnsi="Arial"/>
          <w:sz w:val="16"/>
          <w:szCs w:val="16"/>
          <w:color w:val="auto"/>
        </w:rPr>
        <w:t>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ended September 30 or sooner if we believe indicators of impairment exist. Such indicators could include, but are not limited to (1) a significant adverse change in legal factors or in business climate, (2) unanticipated competition, or (3) an adverse action or assessment by a regulator. We first assessed qualitative factors to determine whether it is more likely than not that the fair value of a reporting unit is less than its carrying amount, including goodwill. If we conclude that it is more likely than not that the fair value of a reporting unit is less than its carrying amount, we will conduct a two-step quantitative goodwill impairment test. As of September 30, 2015, after our assessment of the totality of the events that could impair Goodwill, it is the Company’s conclusion “it is not more likely than not” that the Goodwill is impaired. Therefore, the Company is not required to conduct a two-step quantitative goodwill impairment test. No events have occurred as of December 31, 2015 that would affect the Company’s conclusion as of the September 30, 2015 assessment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Acquired In-Process Research and Development (IPR&amp;D)</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Acquired IPR&amp;D consists of EGEN's drug technology platforms: TheraPlas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TheraSilence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The fair value of the IPR&amp;D drug technology platforms was estimated to be $25.8 million as of the acquisition date using the Multi-Period Excess Earnings Method (MPEEM) which is a form of the income approach. Under the MPEEM, the fair value of an intangible asset is equal to the present value of the asset’s incremental after-tax cash flows (excess earnings) remaining after deducting the market rates of return on the estimated value of contributory assets (contributory charge) over its remaining useful life. To calculate fair value of </w:t>
      </w:r>
      <w:r>
        <w:rPr>
          <w:rFonts w:ascii="Arial" w:cs="Arial" w:eastAsia="Arial" w:hAnsi="Arial"/>
          <w:sz w:val="16"/>
          <w:szCs w:val="16"/>
          <w:i w:val="1"/>
          <w:iCs w:val="1"/>
          <w:color w:val="auto"/>
        </w:rPr>
        <w:t>the IPR&amp;D</w:t>
      </w:r>
      <w:r>
        <w:rPr>
          <w:rFonts w:ascii="Arial" w:cs="Arial" w:eastAsia="Arial" w:hAnsi="Arial"/>
          <w:sz w:val="16"/>
          <w:szCs w:val="16"/>
          <w:color w:val="auto"/>
        </w:rPr>
        <w:t xml:space="preserve"> programs under the MPEEM, we used projected cash flows discounted at a rate considered appropriate given the significant inherent risks associated with drug development by development-stage companies. Cash flows were calculated based on estimated projections of revenues and expenses related to the IPR&amp;D programs and then reduced by a contributory charge on requisite assets employed. Contributory assets included debt-free working capital, net fixed assets and assembled workforce. Rates of return on the contributory assets were based on rates used for comparable market participants. Cash flows were assumed to extend through a seven-year market exclusivity period. The resultant cash flows were then discounted to present value using a weighted-average cost of equity capital for companies with profiles substantially similar to that of Celsion, which we believe represents the rate that market participants would use to value the assets. The projected cash flows were based on significant assumptions, including the indication in which we will pursue development of IPR&amp;D programs, the time and resources needed to complete the development and regulatory approval of IPR&amp;D programs, estimates of revenue and operating profit related to the program considering its stage of development, the life of the potential commercialized product, market penetration and competition, and risks associated with achieving commercialization, including delay or failure to obtain regulatory approvals to conduct clinical studies, failure of clinical studies, delay or failure to obtain required market clearances, and intellectual property litigation.</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the closing of the acquisition, the IPR&amp;D is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 When performing our impairment assessment, we have the option to first assess qualitative factors to determine whether it is necessary to recalculate the fair value of our acquired IPR&amp;D. If we elect this option and believe, as a result of the qualitative assessment, that it is more-likely-than-not that the fair value of our acquired IPR&amp;D is less than its carrying amount, we calculate the fair value using the same methodology as described above. If the carrying value of our acquired IPR&amp;D exceeds its fair value, then the intangible asset is written-down to its fair value. Alternatively, we may elect to not first assess qualitative factors and immediately recalculate the fair value of our acquired IPR&amp;D. As of September 30, 2015, after our assessment of the totality of the events that could impair IPR&amp;D, it is the Company’s conclusion “it is not more likely than not” that the indefinite-lived intangible assets are impaired. Therefore, the Company is not required to calculate the fair value of the intangible assets and perform a quantitative impairment test. No events have occurred as of December 31, 2015 that would affect the Company’s conclusion as of its assessment date.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unaudited pro forma information presents our condensed results of operations as if the acquisition of EGEN had occurred on January 1,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2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57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8"/>
                <w:szCs w:val="18"/>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627,628</w:t>
            </w:r>
          </w:p>
        </w:tc>
        <w:tc>
          <w:tcPr>
            <w:tcW w:w="12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(24,898,725)</w:t>
            </w:r>
          </w:p>
        </w:tc>
        <w:tc>
          <w:tcPr>
            <w:tcW w:w="3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(18,247,339)</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shareholders</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(25,662,572)</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(15,952,832)</w:t>
            </w: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above unaudited pro forma condensed consolidated financial information is presented for illustrative purposes only. It is not necessarily indicative of what the results of operations actually would have been had the acquisition been completed on the date indicated. In addition, it does not purport to project the future operating results of the combined entity. The Company’s Statement of Operations included the operating expenses related to the operations of the acquired business for the period from the date of acquisition (June 20, 2014) through December 31, 2014 and for the year ended December 31, 2015.</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r>
              <w:rPr>
                <w:rFonts w:ascii="Arial" w:cs="Arial" w:eastAsia="Arial" w:hAnsi="Arial"/>
                <w:sz w:val="18"/>
                <w:szCs w:val="18"/>
                <w:b w:val="1"/>
                <w:bCs w:val="1"/>
                <w:color w:val="auto"/>
              </w:rPr>
              <w:t>6. PROPERTY AND EQUIPMENT:</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74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(5-7 year life)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2,398,613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Furniture and fixtures (3-5 year life)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244,923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235,679</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 (5-7 year life)</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269,819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269,819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2,913,355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2,804,014</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(2,058,483)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(1,633,517)</w:t>
            </w:r>
          </w:p>
        </w:tc>
        <w:tc>
          <w:tcPr>
            <w:tcW w:w="0" w:type="dxa"/>
            <w:vAlign w:val="bottom"/>
          </w:tcPr>
          <w:p>
            <w:pPr>
              <w:spacing w:after="0"/>
              <w:rPr>
                <w:sz w:val="1"/>
                <w:szCs w:val="1"/>
                <w:color w:val="auto"/>
              </w:rPr>
            </w:pPr>
          </w:p>
        </w:tc>
      </w:tr>
      <w:tr>
        <w:trPr>
          <w:trHeight w:val="20"/>
        </w:trPr>
        <w:tc>
          <w:tcPr>
            <w:tcW w:w="74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854,872</w:t>
            </w:r>
          </w:p>
        </w:tc>
        <w:tc>
          <w:tcPr>
            <w:tcW w:w="140" w:type="dxa"/>
            <w:vAlign w:val="bottom"/>
          </w:tcPr>
          <w:p>
            <w:pPr>
              <w:spacing w:after="0"/>
              <w:rPr>
                <w:sz w:val="18"/>
                <w:szCs w:val="18"/>
                <w:color w:val="auto"/>
              </w:rPr>
            </w:pP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1,170,497</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b w:val="1"/>
                <w:bCs w:val="1"/>
                <w:color w:val="auto"/>
              </w:rPr>
              <w:t>7. OTHER ACCRUED LIABILITIES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80" w:type="dxa"/>
            <w:vAlign w:val="bottom"/>
          </w:tcPr>
          <w:p>
            <w:pPr>
              <w:spacing w:after="0"/>
              <w:rPr>
                <w:sz w:val="20"/>
                <w:szCs w:val="20"/>
                <w:color w:val="auto"/>
              </w:rPr>
            </w:pPr>
            <w:r>
              <w:rPr>
                <w:rFonts w:ascii="Arial" w:cs="Arial" w:eastAsia="Arial" w:hAnsi="Arial"/>
                <w:sz w:val="18"/>
                <w:szCs w:val="18"/>
                <w:color w:val="auto"/>
              </w:rPr>
              <w:t>Other accrued liabilities at December 31, 2015 and 2014 include the following:</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74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Contract Research Organizations and other contractual agreements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947,078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961,440</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502,300</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Accrued interest on notes payable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62,136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96,875</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1,919,769</w:t>
            </w:r>
          </w:p>
        </w:tc>
        <w:tc>
          <w:tcPr>
            <w:tcW w:w="140" w:type="dxa"/>
            <w:vAlign w:val="bottom"/>
          </w:tcPr>
          <w:p>
            <w:pPr>
              <w:spacing w:after="0"/>
              <w:rPr>
                <w:sz w:val="18"/>
                <w:szCs w:val="18"/>
                <w:color w:val="auto"/>
              </w:rPr>
            </w:pP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2,456,365</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NOTES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Hercules Credit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2013, the Company entered into a loan agreement with Hercules Technology Growth Capital, Inc. (Hercules) which permits up to $20 million in capital to be distributed in multiple tranches (the Hercules Credit Agreement). The Company drew the first tranche of $5 million upon closing of the Hercules Credit Agreement in November 2013 and used approximately $4 million of the proceeds to repay the outstanding obligations under its loan agreement with Oxford Finance LLC and Horizon Technology Finance Corporation as discussed further below. On June 10, 2014, the Company closed the second $5 million tranche under the Hercules Credit Agreement. The proceeds were used to fund the $3.0 million upfront cash payment associated with Celsion's acquisition of EGEN, as well as the Company’s transaction costs associated with the EGEN acquisition. Upon the closing of this second tranche, the Company has drawn down a total of $10 million under the Hercules Credit Agreement.</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obligations under the Hercules Credit Agreement are in the form of secured indebtedness bearing interest at a calculated prime-based variable rate (11.25% per annum since inception through December 17, 2015 and 11.50% since). Payments under the loan agreement were interest only for the first twelve months after loan closing, followed by a 30-month amortization period of principal and interest through the scheduled maturity date of June 1, 2017.</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Hercules Credit Agreement, the Company incurred cash expenses of $122,378 which were recorded as deferred financing fees. These deferred financing fees are being amortized as interest expense using the effective interest method over the life of the loan. Also in connection with the Hercules Credit Facility, the Company paid loan origination fees of $230,000 which has been classified as debt discount. This amount is being amortized as interest expense using the effective interest method over the life of the loan.</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fee in connection with the Hercules Credit Agreement, the Company issued Hercules a warrant for a total of 97,493 shares of the Company’s common stock (the Hercules Warrant) at a per share exercise price of $3.59, exercisable for cash or by net exercise from November 25, 2013. Upon the closing of the second tranche on June 10, 2014, this warrant became exercisable for an additional 97,493 shares of the Company’s common stock. The Hercules Warrant will expire November 25, 2018. Hercules has certain rights to register the common stock underlying the Hercules Warrant pursuant to a Registration Rights Agreement with the Company dated November 25, 2013. The registration rights expire on the date when such stock may be sold under Rule 144 without restriction or upon the first year anniversary of the registration statement for such stock, whichever is earlier. The common stock issuable pursuant to the Hercules Warrant was filed pursuant to Rule 415 under the Securities Act of 1933 on the Prospectus for Registration Statement No. 333-193936 and was declared effective on September 30, 2014.</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3" w:name="page84"/>
    <w:bookmarkEnd w:id="83"/>
    <w:p>
      <w:pPr>
        <w:jc w:val="both"/>
        <w:spacing w:after="0" w:line="268" w:lineRule="auto"/>
        <w:rPr>
          <w:sz w:val="20"/>
          <w:szCs w:val="20"/>
          <w:color w:val="auto"/>
        </w:rPr>
      </w:pPr>
      <w:r>
        <w:rPr>
          <w:rFonts w:ascii="Arial" w:cs="Arial" w:eastAsia="Arial" w:hAnsi="Arial"/>
          <w:sz w:val="17"/>
          <w:szCs w:val="17"/>
          <w:color w:val="auto"/>
        </w:rPr>
        <w:t>The Company valued the Hercules Warrant issued at the inception of the loan using the Black-Scholes option pricing model and recorded $521,763 in 2013 as deferred financing fees. In calculating the value of the warrants, the Company assumed a volatility rate of 102%, risk free interest rate of 1.37%, an expected life of 5 years, a stock price of $3.55 (closing price on date of the Hercules Warrant) and no expected forfeitures nor dividends. In the second quarter of 2014, the Company reassessed the classification of the warrants and concluded the original amount should be reclassified from deferred financing fees and equity. Therefore, other assets and additional paid in capital were both reduced by the $521,763. The Company then valued the warrant for the initial 97,493 shares of the Company’s common stock as of the inception of the loan and recorded $260,928 as a debt discount to be amortized as interest expense using the effective interest method over the life of the loan and recognized a warrant liability for this amount. In connection with the closing of the second $5 million tranche on June 9, 2014, the Company then valued the warrant for the additional 97,493 shares of the Company’s common stock which became available and exercisable as of the date and recorded $215,333 as a debt discount to be amortized as interest expense using the effective interest method over the life of the loan and recognized a warrant liability for this amount. In calculating the value of the warrant for the additional shares of the Company’s common stock on June 10, 2014, the Company assumed a volatility rate of 104%, risk free interest rate of 1.69%, an expected remaining life of 4.5 years, a stock price of $3.07 (closing price June 9, 2014) and no expected forfeitures nor dividends. In 2014, the warrant liability was fair valued at the end of each quarter and the resulting change in fair value will be recognized in net income.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2015, the Company concluded the warrant provision which provided for the exercise price to be adjusted downward as described above had expired. Therefore, the Company valued the warrant at $336,254 immediately prior to this event and recorded non-cash charges to net income of $18,018 and $61,246 in the second quarter and year to date periods of 2015, respectively. The Company also reduced the liability to zero and increased equity by $336,254 at this time.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Also in connection with each of the $5.0 million tranches, the Company will be required to pay an end of term charge equal to 3.5% of each original loan amount at time of maturity. Therefore, these amounts totaling $350,000 are being amortized as interest expense using the effective interest method over the life of the loan.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2015, the Company incurred $918,465 in interest expense and amortized $438,717 as interest expense for deferred fees, debt discount and end of term charges in connection with the Hercules Credit Agreement. For the year ended December 31, 2014, the Company incurred $892,188 in interest expense and amortized $433,839 as interest expense for deferred fees, debt discount and end of term charges in connection with the Hercules Credit Agreement.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Hercules Credit Agreement contains customary covenants, including covenants that limit or restrict the Company’s ability to grant liens, incur indebtedness, make certain restricted payments, merge or consolidate and make dispositions of assets. Upon the occurrence of an event of default under the Hercules Credit Agreement, the lenders may cease making loans, terminate the Hercules Credit Agreement, declare all amounts outstanding to be immediately due and payable and foreclose on or liquidate the Company’s assets that comprise the lenders’ collateral. The Hercules Credit Agreement specifies a number of events of default (some of which are subject to applicable grace or cure periods), including, among other things, non-payment defaults, covenant defaults, a material adverse effect on the Company or its assets, cross-defaults to other material indebtedness, bankruptcy and insolvency defaults and material judgment defaults. The Company has maintained compliance with these covenants.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Following is a schedule of future principle payments before debt discount due on the Hercules Credit Agreement: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For the year</w:t>
            </w:r>
          </w:p>
        </w:tc>
      </w:tr>
      <w:tr>
        <w:trPr>
          <w:trHeight w:val="216"/>
        </w:trPr>
        <w:tc>
          <w:tcPr>
            <w:tcW w:w="7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ending</w:t>
            </w:r>
          </w:p>
        </w:tc>
      </w:tr>
      <w:tr>
        <w:trPr>
          <w:trHeight w:val="234"/>
        </w:trPr>
        <w:tc>
          <w:tcPr>
            <w:tcW w:w="7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4,099,847</w:t>
            </w:r>
          </w:p>
        </w:tc>
        <w:tc>
          <w:tcPr>
            <w:tcW w:w="8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2,245,923</w:t>
            </w:r>
          </w:p>
        </w:tc>
        <w:tc>
          <w:tcPr>
            <w:tcW w:w="8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2018 and thereafter</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75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6,345,770</w:t>
            </w:r>
          </w:p>
        </w:tc>
        <w:tc>
          <w:tcPr>
            <w:tcW w:w="80" w:type="dxa"/>
            <w:vAlign w:val="bottom"/>
            <w:tcBorders>
              <w:top w:val="single" w:sz="8" w:color="CCEEFF"/>
            </w:tcBorders>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Oxford &amp; Horizon Credit Agreement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2012, the Company entered into a Loan and Security Agreement (the Oxford &amp; Horizon Credit Agreement) with Oxford Finance LLC (Oxford) and Horizon Technology Finance Corporation (Horizon). The Oxford &amp; Horizon Credit Agreement provided for a secured term loan of up to $10 million, with 50% of any loans to be funded by Oxford and 50% to be funded by Horizon. The aggregate loan amount could have been advanced in two tranches of $5 million each. The first tranche (the Term A Loan) was made available to the Company on June 27, 2012 and the second tranche was to be made available, if at all, during the period beginning on the date that the Company achieved positive data in its Phase III clinical trial of RFA and ThermoDox® (the HEAT Study) and ending on March 31, 2013. On January 31, 2013, the Company announced it did not meet the primary endpoint of the HEAT Study.</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A Loan was originally scheduled to mature on October 15, 2015. As a result of the Hercules Credit Agreement discussed above, the Company terminated the Oxford &amp; Horizon Credit Agreement and repaid the outstanding principle, accrued interest and termination fees totaling approximately $4.1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proceeds of the Oxford &amp; Horizon Credit Agreement were used to fund the Company’s working capital and general corporate purposes. The obligations under the Oxford &amp; Horizon Credit Agreement were secured by substantially all assets of the Company other than its intellectual property and certain other agreed-upon exclusions.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fee in connection with the Oxford &amp; Horizon Credit Agreement, the Company issued warrants to Horizon and Oxford (the Oxford &amp; Horizon Warrants) to purchase the number of shares of the Company’s common stock equal to 3% of each loan amount divided by the exercise price of $13.14 per share, which was calculated as the average NASDAQ closing price of the Company’s common stock for the three days prior to the funding of the loan amount. This resulted in 11,415 warrant shares issued in connection with the Term A Loan. The Oxford &amp; Horizon Warrants issued in connection with the Term A Loan are exercisable for cash or by net exercise and will expire seven years after their issuance, which is June 27, 2019. The Company valued the Oxford &amp; Horizon Warrants using the Black-Scholes option pricing model and recorded $73,654 as deferred financing fees. In calculating the value of the warrants, the Company assumed a volatility rate of 74.3%, risk free interest rate of 1.10%, an expected life of 3.5 years, a stock price of $12.60 which was the closing price on date of issuing the Oxford &amp; Horizon Warrant) and no expected forfeitures nor dividends. In connection with the Oxford &amp; Horizon Credit Agreement, the Company incurred cash expenses of $217,715 which were recorded as deferred financing fees in 2012. These deferred financing fees were amortized as interest expense over the life of the loan. During the first three months of 2013, the Company paid $146,874 in interest expense and amortized $31,560 of deferred financing fees as interest expense. The Term A Loan bore interest at a fixed rate of 11.75%.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Company’s statutory tax rate to the effective rate for the years ended December 31, 2015, 2014 and 2013 is as follows: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Federal statutory rate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 taxes, net of federal tax benefit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Recapture of alternative minimum tax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Valuation allowance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2014</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1"/>
        </w:trPr>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34.0%</w:t>
            </w:r>
          </w:p>
        </w:tc>
      </w:tr>
      <w:tr>
        <w:trPr>
          <w:trHeight w:val="216"/>
        </w:trPr>
        <w:tc>
          <w:tcPr>
            <w:tcW w:w="152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5.5</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r>
      <w:tr>
        <w:trPr>
          <w:trHeight w:val="216"/>
        </w:trPr>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(39.5)</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(39.5)</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r>
      <w:tr>
        <w:trPr>
          <w:trHeight w:val="20"/>
        </w:trPr>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-857250</wp:posOffset>
            </wp:positionV>
            <wp:extent cx="651764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-582295</wp:posOffset>
            </wp:positionV>
            <wp:extent cx="651764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-299720</wp:posOffset>
            </wp:positionV>
            <wp:extent cx="651764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720"/>
            <w:col w:w="6360"/>
          </w:cols>
          <w:pgMar w:left="240" w:top="584"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color w:val="auto"/>
        </w:rPr>
        <w:t>The components of the Company’s deferred tax asset as of December 31, 2015 and 2014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205"/>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 forwards</w:t>
            </w: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71,557</w:t>
            </w:r>
          </w:p>
        </w:tc>
        <w:tc>
          <w:tcPr>
            <w:tcW w:w="680" w:type="dxa"/>
            <w:vAlign w:val="bottom"/>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Compensation expense related to employee stock options</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4,953</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76,510</w:t>
            </w: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Valuation allowance</w:t>
            </w:r>
          </w:p>
        </w:tc>
        <w:tc>
          <w:tcPr>
            <w:tcW w:w="5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(76,510)</w:t>
            </w:r>
          </w:p>
        </w:tc>
        <w:tc>
          <w:tcPr>
            <w:tcW w:w="6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(68,255)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evaluation of the realizability of such deferred tax assets in future periods is made based upon a variety of factors that affect the Company’s ability to generate future taxable income, such as intent and ability to sell assets and historical and projected operating performance. At this time, the Company has established a valuation reserve for all of its deferred tax assets. Such tax assets are available to be recognized and benefit future periods.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schedule of net operating loss carry forwards and their year of expiration:</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w w:val="91"/>
              </w:rPr>
              <w:t>Approximate Amount of Unused</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w w:val="93"/>
              </w:rPr>
              <w:t>Operating Loss Carry Forwards</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Expiration During</w:t>
            </w:r>
          </w:p>
        </w:tc>
      </w:tr>
      <w:tr>
        <w:trPr>
          <w:trHeight w:val="234"/>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(in $000s)</w:t>
            </w: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Year Ended</w:t>
            </w:r>
          </w:p>
        </w:tc>
      </w:tr>
      <w:tr>
        <w:trPr>
          <w:trHeight w:val="210"/>
        </w:trPr>
        <w:tc>
          <w:tcPr>
            <w:tcW w:w="2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400" w:type="dxa"/>
            <w:vAlign w:val="bottom"/>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2,293</w:t>
            </w:r>
          </w:p>
        </w:tc>
        <w:tc>
          <w:tcPr>
            <w:tcW w:w="400" w:type="dxa"/>
            <w:vAlign w:val="bottom"/>
          </w:tcPr>
          <w:p>
            <w:pPr>
              <w:spacing w:after="0"/>
              <w:rPr>
                <w:sz w:val="18"/>
                <w:szCs w:val="18"/>
                <w:color w:val="auto"/>
              </w:rPr>
            </w:pPr>
          </w:p>
        </w:tc>
        <w:tc>
          <w:tcPr>
            <w:tcW w:w="3280" w:type="dxa"/>
            <w:vAlign w:val="bottom"/>
            <w:gridSpan w:val="2"/>
          </w:tcPr>
          <w:p>
            <w:pPr>
              <w:jc w:val="right"/>
              <w:ind w:right="140"/>
              <w:spacing w:after="0"/>
              <w:rPr>
                <w:sz w:val="20"/>
                <w:szCs w:val="20"/>
                <w:color w:val="auto"/>
              </w:rPr>
            </w:pPr>
            <w:r>
              <w:rPr>
                <w:rFonts w:ascii="Arial" w:cs="Arial" w:eastAsia="Arial" w:hAnsi="Arial"/>
                <w:sz w:val="18"/>
                <w:szCs w:val="18"/>
                <w:color w:val="auto"/>
              </w:rPr>
              <w:t>2023</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15,647</w:t>
            </w:r>
          </w:p>
        </w:tc>
        <w:tc>
          <w:tcPr>
            <w:tcW w:w="40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2024</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8,168</w:t>
            </w:r>
          </w:p>
        </w:tc>
        <w:tc>
          <w:tcPr>
            <w:tcW w:w="400" w:type="dxa"/>
            <w:vAlign w:val="bottom"/>
          </w:tcPr>
          <w:p>
            <w:pPr>
              <w:spacing w:after="0"/>
              <w:rPr>
                <w:sz w:val="18"/>
                <w:szCs w:val="18"/>
                <w:color w:val="auto"/>
              </w:rPr>
            </w:pPr>
          </w:p>
        </w:tc>
        <w:tc>
          <w:tcPr>
            <w:tcW w:w="3280" w:type="dxa"/>
            <w:vAlign w:val="bottom"/>
            <w:gridSpan w:val="2"/>
          </w:tcPr>
          <w:p>
            <w:pPr>
              <w:jc w:val="right"/>
              <w:ind w:right="140"/>
              <w:spacing w:after="0"/>
              <w:rPr>
                <w:sz w:val="20"/>
                <w:szCs w:val="20"/>
                <w:color w:val="auto"/>
              </w:rPr>
            </w:pPr>
            <w:r>
              <w:rPr>
                <w:rFonts w:ascii="Arial" w:cs="Arial" w:eastAsia="Arial" w:hAnsi="Arial"/>
                <w:sz w:val="18"/>
                <w:szCs w:val="18"/>
                <w:color w:val="auto"/>
              </w:rPr>
              <w:t>2025</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w:t>
            </w:r>
          </w:p>
        </w:tc>
        <w:tc>
          <w:tcPr>
            <w:tcW w:w="40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2026</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11,905</w:t>
            </w:r>
          </w:p>
        </w:tc>
        <w:tc>
          <w:tcPr>
            <w:tcW w:w="400" w:type="dxa"/>
            <w:vAlign w:val="bottom"/>
          </w:tcPr>
          <w:p>
            <w:pPr>
              <w:spacing w:after="0"/>
              <w:rPr>
                <w:sz w:val="18"/>
                <w:szCs w:val="18"/>
                <w:color w:val="auto"/>
              </w:rPr>
            </w:pPr>
          </w:p>
        </w:tc>
        <w:tc>
          <w:tcPr>
            <w:tcW w:w="3280" w:type="dxa"/>
            <w:vAlign w:val="bottom"/>
            <w:gridSpan w:val="2"/>
          </w:tcPr>
          <w:p>
            <w:pPr>
              <w:jc w:val="right"/>
              <w:ind w:right="140"/>
              <w:spacing w:after="0"/>
              <w:rPr>
                <w:sz w:val="20"/>
                <w:szCs w:val="20"/>
                <w:color w:val="auto"/>
              </w:rPr>
            </w:pPr>
            <w:r>
              <w:rPr>
                <w:rFonts w:ascii="Arial" w:cs="Arial" w:eastAsia="Arial" w:hAnsi="Arial"/>
                <w:sz w:val="18"/>
                <w:szCs w:val="18"/>
                <w:color w:val="auto"/>
              </w:rPr>
              <w:t>2028</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18,547</w:t>
            </w:r>
          </w:p>
        </w:tc>
        <w:tc>
          <w:tcPr>
            <w:tcW w:w="40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2029</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18,145</w:t>
            </w:r>
          </w:p>
        </w:tc>
        <w:tc>
          <w:tcPr>
            <w:tcW w:w="400" w:type="dxa"/>
            <w:vAlign w:val="bottom"/>
          </w:tcPr>
          <w:p>
            <w:pPr>
              <w:spacing w:after="0"/>
              <w:rPr>
                <w:sz w:val="18"/>
                <w:szCs w:val="18"/>
                <w:color w:val="auto"/>
              </w:rPr>
            </w:pPr>
          </w:p>
        </w:tc>
        <w:tc>
          <w:tcPr>
            <w:tcW w:w="3280" w:type="dxa"/>
            <w:vAlign w:val="bottom"/>
            <w:gridSpan w:val="2"/>
          </w:tcPr>
          <w:p>
            <w:pPr>
              <w:jc w:val="right"/>
              <w:ind w:right="140"/>
              <w:spacing w:after="0"/>
              <w:rPr>
                <w:sz w:val="20"/>
                <w:szCs w:val="20"/>
                <w:color w:val="auto"/>
              </w:rPr>
            </w:pPr>
            <w:r>
              <w:rPr>
                <w:rFonts w:ascii="Arial" w:cs="Arial" w:eastAsia="Arial" w:hAnsi="Arial"/>
                <w:sz w:val="18"/>
                <w:szCs w:val="18"/>
                <w:color w:val="auto"/>
              </w:rPr>
              <w:t>2030</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21,386</w:t>
            </w:r>
          </w:p>
        </w:tc>
        <w:tc>
          <w:tcPr>
            <w:tcW w:w="40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2031</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20,558</w:t>
            </w:r>
          </w:p>
        </w:tc>
        <w:tc>
          <w:tcPr>
            <w:tcW w:w="400" w:type="dxa"/>
            <w:vAlign w:val="bottom"/>
          </w:tcPr>
          <w:p>
            <w:pPr>
              <w:spacing w:after="0"/>
              <w:rPr>
                <w:sz w:val="18"/>
                <w:szCs w:val="18"/>
                <w:color w:val="auto"/>
              </w:rPr>
            </w:pPr>
          </w:p>
        </w:tc>
        <w:tc>
          <w:tcPr>
            <w:tcW w:w="3280" w:type="dxa"/>
            <w:vAlign w:val="bottom"/>
            <w:gridSpan w:val="2"/>
          </w:tcPr>
          <w:p>
            <w:pPr>
              <w:jc w:val="right"/>
              <w:ind w:right="140"/>
              <w:spacing w:after="0"/>
              <w:rPr>
                <w:sz w:val="20"/>
                <w:szCs w:val="20"/>
                <w:color w:val="auto"/>
              </w:rPr>
            </w:pPr>
            <w:r>
              <w:rPr>
                <w:rFonts w:ascii="Arial" w:cs="Arial" w:eastAsia="Arial" w:hAnsi="Arial"/>
                <w:sz w:val="18"/>
                <w:szCs w:val="18"/>
                <w:color w:val="auto"/>
              </w:rPr>
              <w:t>2032</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10,321</w:t>
            </w:r>
          </w:p>
        </w:tc>
        <w:tc>
          <w:tcPr>
            <w:tcW w:w="40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2033</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22,906</w:t>
            </w:r>
          </w:p>
        </w:tc>
        <w:tc>
          <w:tcPr>
            <w:tcW w:w="400" w:type="dxa"/>
            <w:vAlign w:val="bottom"/>
          </w:tcPr>
          <w:p>
            <w:pPr>
              <w:spacing w:after="0"/>
              <w:rPr>
                <w:sz w:val="18"/>
                <w:szCs w:val="18"/>
                <w:color w:val="auto"/>
              </w:rPr>
            </w:pPr>
          </w:p>
        </w:tc>
        <w:tc>
          <w:tcPr>
            <w:tcW w:w="3280" w:type="dxa"/>
            <w:vAlign w:val="bottom"/>
            <w:gridSpan w:val="2"/>
          </w:tcPr>
          <w:p>
            <w:pPr>
              <w:jc w:val="right"/>
              <w:ind w:right="140"/>
              <w:spacing w:after="0"/>
              <w:rPr>
                <w:sz w:val="20"/>
                <w:szCs w:val="20"/>
                <w:color w:val="auto"/>
              </w:rPr>
            </w:pPr>
            <w:r>
              <w:rPr>
                <w:rFonts w:ascii="Arial" w:cs="Arial" w:eastAsia="Arial" w:hAnsi="Arial"/>
                <w:sz w:val="18"/>
                <w:szCs w:val="18"/>
                <w:color w:val="auto"/>
              </w:rPr>
              <w:t>2034</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19,078</w:t>
            </w:r>
          </w:p>
        </w:tc>
        <w:tc>
          <w:tcPr>
            <w:tcW w:w="40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2035</w:t>
            </w:r>
          </w:p>
        </w:tc>
      </w:tr>
      <w:tr>
        <w:trPr>
          <w:trHeight w:val="210"/>
        </w:trPr>
        <w:tc>
          <w:tcPr>
            <w:tcW w:w="20" w:type="dxa"/>
            <w:vAlign w:val="bottom"/>
            <w:tcBorders>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181,158</w:t>
            </w:r>
          </w:p>
        </w:tc>
        <w:tc>
          <w:tcPr>
            <w:tcW w:w="400" w:type="dxa"/>
            <w:vAlign w:val="bottom"/>
            <w:tcBorders>
              <w:top w:val="single" w:sz="8" w:color="CCEEFF"/>
            </w:tcBorders>
          </w:tcPr>
          <w:p>
            <w:pPr>
              <w:spacing w:after="0"/>
              <w:rPr>
                <w:sz w:val="18"/>
                <w:szCs w:val="18"/>
                <w:color w:val="auto"/>
              </w:rPr>
            </w:pPr>
          </w:p>
        </w:tc>
        <w:tc>
          <w:tcPr>
            <w:tcW w:w="31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2015, 2014 and 2013 the Company performed analyses to determine if there were changes in ownership, as defined by Section 382 of the Internal Revenue Code that would limit its ability to utilize certain net operating loss and tax credit carry forwards. The Company determined that it experienced an ownership change, as defined by Section 382, in connection with certain common stock offerings on July 25, 2011, February 5, 2013, June 3, 2013 and on June 1, 2015. As a result, the utilization of the Company's federal tax net operating loss carry forwards generated prior to the ownership changes are limited. As of December 31, 2015, the Company has net operating loss carry forwards for U.S. federal and state tax purposes of approximately $176 million, before excluding net operating losses that have been limited as a result of Section 382 limitations. The annual limitation due to Section 382 for net operating loss carry forward utilization is approximately $4.9 million per year for approximately $90 million in net operating loss carry forwards existing at the ownership change occurring on July 25, 2011, approximately $1.4 million per year for approximately $34 million of additional net operating losses occurring from July 2011 to the ownership change that occurred on February 5, 2013, and approximately $1.5 million per year for approximately $34 million of additional net operating losses occurring from February 5, 2013 to the ownership change that occurred on June 3, 2013 and approximately $1.6 million per year for approximately $31 million of additional net operating losses occurring from June 3, 2013 to the ownership change that occurred on June 1, 2015. The utilization of these net operating loss carry forwards may be further limited if the Company experiences future ownership changes as defined in Section 382 of the Internal Revenue Code.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10. STOCKHOLDERS’ EQUITY</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September 2015, the Company filed with the Securities and Exchange Commission a $75 million shelf registration statement on Form S-3 that allows the Company to issue any combination of common stock, preferred stock or warrants to purchase common stock or preferred stock. This shelf registration was declared effective on September 25, 2015.</w:t>
      </w:r>
    </w:p>
    <w:p>
      <w:pPr>
        <w:spacing w:after="0" w:line="181"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During 2013, we received approximately $0.4 million of gross proceeds from the exercise of warrants and stock options to purchase approximately 30,893 shares of the Company’s common stock. We did not have any warrant nor option exercises in 2014 or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May 2015 Common Stock Offering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27, 2015, the Company entered into a Securities Purchase Agreement with certain investors, pursuant to which the Company sold and issued on June 1, 2015, in a registered direct offering (the May 2015 Offering), an aggregate of 3,000,000 shares of common stock at an offering price of $2.675 per share for gross proceeds of $8.0 million before the deduction of the placement agent fee and offering expenses. The Shares were offered by the Company pursuant to a registration statement on Form S-3 (File No. 333-183286), which was initially filed with the SEC on August 13, 2012, as amended on August 20, 2012, and was declared effective by the SEC on September 14, 2012 (the Shelf Registration Statement).</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 concurrent private placement closed on June 1, 2015, the Company issued to the investors in the May 2015 Offering certain warrants (the May 2015 Warrants) at an exercise price of $2.60 per share. The May 2015 Warrants are exercisable to purchase 0.65 share of common stock for each share of common stock purchased in the May 2015 Offering for an aggregate of 1,950,000 shares of common stock. Each May 2015 Warrant will be exercisable on the date of its issuance until the five-year anniversary of the date of issuance. On July 10, 2015, the Company filed a registration statement for the resale of any shares of common stock issuable upon the exercise of the May 2015 Warrants on Form S-3 (File No. 333-205608) which was declared effective by the SEC on July 30, 2015.</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this purchase agreement, the Company was prohibited, for the period from the date of closing and ending September 1, 2015, from effecting or entering into an agreement to issue common stock or, for a period of five months after the closing, any other securities that are at any time convertible into, or exercisable or exchangeable for, or otherwise entitle the holder thereof to receive, common stock to the extent such issuance or sale involves certain variable conversion, exercise or exchange prices or such agreement provides for sale of securities at a price to be determined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January 2014 Common Stock Offering</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15, 2014, the Company entered into a Securities Purchase Agreement with certain institutional investors, pursuant to which the Company sold, in a registered offering, an aggregate of 3,603,604 shares of its common stock, par value $0.01 per share, and warrants to purchase up to 1,801,802 shares of Common Stock, for an aggregate purchase price of approximately $15 million (the January 2014 Common Stock Offering). The shares of common stock and warrants were sold in units, with each unit consisting of one share of common stock, a Series A warrant to purchase 0.25 share of common stock and a Series B warrant to purchase 0.25 share of common stock. Each unit was sold at a purchase price of $4.1625. Each Series A warrant will be exercisable at any time on or after its issuance date and until the five-year anniversary of the issuance date. Each Series B warrant will be exercisable at any time on or after its issuance date and until the one-year anniversary of the issuance date. The Series B warrants expired in January 2015. Each warrant has an exercise price of $4.10 per share. Under the purchase agreement, the Company was prohibited, for a period of nine months after the closing, from effecting or entering into an agreement to issue common stock or any other securities that are at any time convertible into, or exercisable or exchangeable for, or otherwise entitle the holder thereof to receive, common stock to the extent such issuance or sale involves certain variable conversion, exercise or exchange prices or such agreement provides for sale of securities at a price to be determined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Shares issued in acquisition of EGEN, Inc.</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more fully discussed in Note 5, the Company issued 2,712,188 shares of its common stock to the shareholders of EGEN, Inc. to acquire certain assets of EGEN. The shares of Celsion’s common stock were issued in a private transaction exempt from registration under the Securities Act of 1933, as amended (the Securities Act), pursuant to Section 4(2) thereof. In addition, 670,070 shares of Celsion common stock are issuable to EGEN shareholders on or after August 2, 2016 pending satisfactory resolution of any post-closing adjustments of expenses and EGEN’s indemnification obligations under the EGEN Purchase Agreement (Holdback Shares). The common stock issued and issuable to EGEN pursuant to the Asset Purchase Agreement were filed pursuant to Rule 415 under the Securities Act of 1933 on the Prospectus for Registration Statement No. 333-198786 and was declared effective on September 30, 2014.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u w:val="single" w:color="auto"/>
          <w:color w:val="auto"/>
        </w:rPr>
        <w:t>Controlled Equity Offering</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On February 1, 2013, the Company entered into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(the “ATM Agreement”) with Cantor Fitzgerald &amp; Co., as sales agent (“Cantor”), pursuant to which Celsion may offer and sell, from time to time, through Cantor, shares of our common stock having an aggregate offering price of up to $25.0 million (the “ATM Shares”) pursuant to the Company’s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From February 1, 2013 through December 31, 2015, the Company sold and issued an aggregate of 1,479,535 shares of common stock under the ATM Agreement, receiving approximately $7.4 million in net proceeds.</w:t>
      </w:r>
    </w:p>
    <w:p>
      <w:pPr>
        <w:spacing w:after="0" w:line="19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not obligated to sell any ATM Shares under the ATM Agreement. Subject to the terms and conditions of the ATM Agreement, Cantor will use commercially reasonable efforts, consistent with its normal trading and sales practices and applicable state and federal law, rules and regulations and the rules of The NASDAQ Capital Market, to sell ATM Shares from time to time based upon the Company’s instructions, including any price, time or size limits or other customary parameters or conditions the Company may impose. In addition, pursuant to the terms and conditions of the ATM Agreement and subject to the instructions of the Company, Cantor may sell ATM Shares by any other method permitted by law, including in privately negotiated transactions.</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ATM Agreement will terminate upon the earlier of (i) the sale of ATM Shares under the ATM Agreement having an aggregate offering price of $25 million and (ii) the termination of the ATM Agreement by Cantor or the Company. The ATM Agreement may be terminated by Cantor or the Company at any time upon 10 days' notice to the other party, or by Cantor at any time in certain circumstances, including the occurrence of a material adverse change in the Company. The Company pays Cantor a commission of 3.0% of the aggregate gross proceeds from each sale of ATM Shares and has agreed to provide Cantor with customary indemnification and contribution rights. The Company also reimbursed Cantor for legal fees and disbursements of $50,000 in connection with entering into the ATM Agreement. In connection with the February 2013 Preferred Stock Offering discussed below, the Company agreed to not sell any ATM Shares for a period of one year from February 26, 2013. In connection with the Common Stock Offering below, the Company agreed to not sell any ATM Shares until June 3, 2014. In connection with the January 2014 securities offering discussed in Note 15 below, the Company agreed to not sell any ATM Shares until July 22, 2014. On October 2, 2015, we filed a prospectus supplement to the base prospectus that forms a part of the Shelf Registration Statement, filed on September 4, 2015 and declared effective by the SEC on September 25, 2015, pursuant to which we may offer and sell up to $7,500,000 of shares of common stock from time to time under the ATM Agreement. The Company currently has approximately $17.4 million remaining under the ATM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February 2013 Preferred Stock Offering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22, 2013, the Company entered into a Securities Purchase Agreement with certain institutional investors, pursuant to which the Company sold, in a registered offering, an aggregate of 15,000.00422 shares of its Series A 0% convertible preferred stock and the warrants to purchase shares of its common stock, for an aggregate purchase price of approximately $15.0 million (the February 2013 Preferred Stock Offering). The closing of the February 2013 Preferred Stock Offering occurred on February 26, 2013, in which the Company received approximately $15.0 million in gross proceeds. Subject to certain ownership limitations, shares of Series A 0% convertible preferred stock are convertible, at the option of the holder thereof, into an aggregate of up to 2,682,764 shares of common stock, and the warrants are exercisable to purchase an aggregate of up to 1,341,382 shares of common stock. Each warrant has an exercise price of $5.31 per share, equal to the closing bid price of common stock on February 21, 2013. The warrants are immediately exercisable and expire five years after the date of issuance.</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issuance, we estimated the fair value of the warrants issued in the February 2013 Preferred Stock Offering to be approximately $5.4 million using the Black-Scholes pricing model. Also, upon issuance, we recognized approximately $4.6 million as a one-time, non-cash deemed dividend related to the beneficial conversion feature connected to the preferred stock in the Preferred Stock Offering.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0"/>
        </w:trPr>
        <w:tc>
          <w:tcPr>
            <w:tcW w:w="9740" w:type="dxa"/>
            <w:vAlign w:val="bottom"/>
            <w:gridSpan w:val="2"/>
          </w:tcPr>
          <w:p>
            <w:pPr>
              <w:spacing w:after="0"/>
              <w:rPr>
                <w:sz w:val="20"/>
                <w:szCs w:val="20"/>
                <w:color w:val="auto"/>
              </w:rPr>
            </w:pPr>
            <w:r>
              <w:rPr>
                <w:rFonts w:ascii="Arial" w:cs="Arial" w:eastAsia="Arial" w:hAnsi="Arial"/>
                <w:sz w:val="18"/>
                <w:szCs w:val="18"/>
                <w:color w:val="auto"/>
              </w:rPr>
              <w:t>Assumptions used in the valuation of the warrants issued in the February 2013 Preferred Stock Offering were as follows: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Expected volatility</w:t>
            </w:r>
          </w:p>
        </w:tc>
        <w:tc>
          <w:tcPr>
            <w:tcW w:w="1680" w:type="dxa"/>
            <w:vAlign w:val="bottom"/>
          </w:tcPr>
          <w:p>
            <w:pPr>
              <w:jc w:val="right"/>
              <w:spacing w:after="0"/>
              <w:rPr>
                <w:sz w:val="20"/>
                <w:szCs w:val="20"/>
                <w:color w:val="auto"/>
              </w:rPr>
            </w:pPr>
            <w:r>
              <w:rPr>
                <w:rFonts w:ascii="Arial" w:cs="Arial" w:eastAsia="Arial" w:hAnsi="Arial"/>
                <w:sz w:val="18"/>
                <w:szCs w:val="18"/>
                <w:color w:val="auto"/>
              </w:rPr>
              <w:t>102.23%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68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2013, all 2,682,764 shares of common stock in the aggregate were issued upon conversion of all 15,000.00422 shares of the Series A 0% convertible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May 2013 Common Stock Offering</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30, 2013, the Company entered into a Securities Purchase Agreement with certain institutional investors, pursuant to which the Company sold, in a registered offering, an aggregate of 1,392,109 shares of its common stock for an aggregate purchase price of approximately $9.8 million (the “Common Stock Offering”). The closing of the Common Stock Offering occurred on June 3, 2013. The issuance of common stock in the Common Stock Offering was made pursuant to the Company’s previously filed and effective Registration Statement on Form S-3 (File No. 333-183286), the base prospectus dated September 14, 2012 filed as part of such Registration Statement, and the prospectus supplement filed with the Securities and Exchange Commission on June 3, 2013. The Securities Purchase Agreement also contained representations, warranties, indemnification and other provisions customary for transactions of this nature.</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 to the closing of the Common Stock Offering, there were an insufficient number of authorized shares to complete the transaction. The investors in the Common Stock Offering also held warrants to purchase common stock of the Company which were issued in connection with previous offerings. Concurrent with the closing of the Common Stock Offering, the institutional investors agreed to waive their rights to exercise these warrants to purchase 1,398,816 shares of common stock of the Company (the “Waived Warrants”) until the Company has obtained stockholders’ approval to increase the number of its authorized shares of common stock in conjunction with the proposed reverse stock split of its outstanding shares of common stock. At the Company’s 2013 Annual Meeting of Stockholders held on July 19, 2013, the Company’s stockholders voted to approve the proposal to grant discretionary authority to the Board of Directors to amend the Certificate of Incorporation of the Company, as amended, to effect, at any time on or prior to the date of the 2014 Annual Meeting of Stockholders, a reverse stock split at an exchange ratio within the specified range and to set the number of authorized shares effective immediately after the reverse stock split at 75 million shares. On October 28, 2013, the Company announced that it affected a 1-for-4.5 reverse stock split of its common stock. See Reverse Stock Split below for further information.</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Prior to the closing of the Common Stock Offering, the warrants described above were originally recorded as equity at the fair value on the date of issuance. In accordance with ASC 815-40, </w:t>
      </w:r>
      <w:r>
        <w:rPr>
          <w:rFonts w:ascii="Arial" w:cs="Arial" w:eastAsia="Arial" w:hAnsi="Arial"/>
          <w:sz w:val="17"/>
          <w:szCs w:val="17"/>
          <w:i w:val="1"/>
          <w:iCs w:val="1"/>
          <w:color w:val="auto"/>
        </w:rPr>
        <w:t>Derivative Instruments and Hedging - Contracts in Entity’s Own Equity,</w:t>
      </w:r>
      <w:r>
        <w:rPr>
          <w:rFonts w:ascii="Arial" w:cs="Arial" w:eastAsia="Arial" w:hAnsi="Arial"/>
          <w:sz w:val="17"/>
          <w:szCs w:val="17"/>
          <w:color w:val="auto"/>
        </w:rPr>
        <w:t xml:space="preserve"> the Waived Warrants were required to be liability classified immediately after the closing of the Common Stock Offering on June 3, 2013 because there were an insufficient number of common shares authorized to permit the full exercise of the warrants. Therefore on June 3, 2013, the Company reclassified the fair value of the Waived Warrants totaling approximately $9.1 million from equity to a liability. The Waived Warrants were required to be recorded at fair value at each balance sheet date with changes in fair value recorded in earnings until such time as there were a sufficient number of common shares authorized to permit the full exercise of the warrants (see Note 11). In connection with the Reverse Stock Split as more fully described below, these warrants were valued as of October 28, 2013, and the Company reclassified the fair value of the Waived Warrants totaling approximately $5.3 million from a liability to equity.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Following is a summary list of the Waived Warrants: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Shares of common</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Per Share</w:t>
            </w:r>
          </w:p>
        </w:tc>
      </w:tr>
      <w:tr>
        <w:trPr>
          <w:trHeight w:val="216"/>
        </w:trPr>
        <w:tc>
          <w:tcPr>
            <w:tcW w:w="2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stock</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Per Share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Fair Value on</w:t>
            </w:r>
          </w:p>
        </w:tc>
      </w:tr>
      <w:tr>
        <w:trPr>
          <w:trHeight w:val="216"/>
        </w:trPr>
        <w:tc>
          <w:tcPr>
            <w:tcW w:w="2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associated with the</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Expiration Date of</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gridSpan w:val="2"/>
          </w:tcPr>
          <w:p>
            <w:pPr>
              <w:ind w:left="380"/>
              <w:spacing w:after="0"/>
              <w:rPr>
                <w:sz w:val="20"/>
                <w:szCs w:val="20"/>
                <w:color w:val="auto"/>
              </w:rPr>
            </w:pPr>
            <w:r>
              <w:rPr>
                <w:rFonts w:ascii="Arial" w:cs="Arial" w:eastAsia="Arial" w:hAnsi="Arial"/>
                <w:sz w:val="18"/>
                <w:szCs w:val="18"/>
                <w:b w:val="1"/>
                <w:bCs w:val="1"/>
                <w:color w:val="auto"/>
              </w:rPr>
              <w:t>Strike</w:t>
            </w:r>
          </w:p>
        </w:tc>
        <w:tc>
          <w:tcPr>
            <w:tcW w:w="5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October 28, 2013</w:t>
            </w:r>
          </w:p>
        </w:tc>
      </w:tr>
      <w:tr>
        <w:trPr>
          <w:trHeight w:val="234"/>
        </w:trPr>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Waived Warrants</w:t>
            </w:r>
          </w:p>
        </w:tc>
        <w:tc>
          <w:tcPr>
            <w:tcW w:w="120" w:type="dxa"/>
            <w:vAlign w:val="bottom"/>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Waived Warrants</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Price</w:t>
            </w:r>
          </w:p>
        </w:tc>
        <w:tc>
          <w:tcPr>
            <w:tcW w:w="2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on June 3, 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9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560" w:type="dxa"/>
            <w:vAlign w:val="bottom"/>
            <w:gridSpan w:val="2"/>
          </w:tcPr>
          <w:p>
            <w:pPr>
              <w:spacing w:after="0"/>
              <w:rPr>
                <w:sz w:val="18"/>
                <w:szCs w:val="18"/>
                <w:color w:val="auto"/>
              </w:rPr>
            </w:pPr>
          </w:p>
        </w:tc>
        <w:tc>
          <w:tcPr>
            <w:tcW w:w="1820" w:type="dxa"/>
            <w:vAlign w:val="bottom"/>
            <w:gridSpan w:val="2"/>
          </w:tcPr>
          <w:p>
            <w:pPr>
              <w:spacing w:after="0"/>
              <w:rPr>
                <w:sz w:val="18"/>
                <w:szCs w:val="18"/>
                <w:color w:val="auto"/>
              </w:rPr>
            </w:pPr>
          </w:p>
        </w:tc>
      </w:tr>
      <w:tr>
        <w:trPr>
          <w:trHeight w:val="216"/>
        </w:trPr>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1,323,496</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2/26/2018</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r>
      <w:tr>
        <w:trPr>
          <w:trHeight w:val="216"/>
        </w:trPr>
        <w:tc>
          <w:tcPr>
            <w:tcW w:w="2200" w:type="dxa"/>
            <w:vAlign w:val="bottom"/>
            <w:gridSpan w:val="2"/>
          </w:tcPr>
          <w:p>
            <w:pPr>
              <w:jc w:val="right"/>
              <w:ind w:right="120"/>
              <w:spacing w:after="0"/>
              <w:rPr>
                <w:sz w:val="20"/>
                <w:szCs w:val="20"/>
                <w:color w:val="auto"/>
              </w:rPr>
            </w:pPr>
            <w:r>
              <w:rPr>
                <w:rFonts w:ascii="Arial" w:cs="Arial" w:eastAsia="Arial" w:hAnsi="Arial"/>
                <w:sz w:val="18"/>
                <w:szCs w:val="18"/>
                <w:color w:val="auto"/>
              </w:rPr>
              <w:t>31,243</w:t>
            </w:r>
          </w:p>
        </w:tc>
        <w:tc>
          <w:tcPr>
            <w:tcW w:w="2060" w:type="dxa"/>
            <w:vAlign w:val="bottom"/>
          </w:tcPr>
          <w:p>
            <w:pPr>
              <w:jc w:val="right"/>
              <w:spacing w:after="0"/>
              <w:rPr>
                <w:sz w:val="20"/>
                <w:szCs w:val="20"/>
                <w:color w:val="auto"/>
              </w:rPr>
            </w:pPr>
            <w:r>
              <w:rPr>
                <w:rFonts w:ascii="Arial" w:cs="Arial" w:eastAsia="Arial" w:hAnsi="Arial"/>
                <w:sz w:val="18"/>
                <w:szCs w:val="18"/>
                <w:color w:val="auto"/>
              </w:rPr>
              <w:t>7/25/2016</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18.99</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r>
      <w:tr>
        <w:trPr>
          <w:trHeight w:val="216"/>
        </w:trPr>
        <w:tc>
          <w:tcPr>
            <w:tcW w:w="2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12,628</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7/6/2016</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14.09</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r>
      <w:tr>
        <w:trPr>
          <w:trHeight w:val="230"/>
        </w:trPr>
        <w:tc>
          <w:tcPr>
            <w:tcW w:w="2200" w:type="dxa"/>
            <w:vAlign w:val="bottom"/>
            <w:gridSpan w:val="2"/>
          </w:tcPr>
          <w:p>
            <w:pPr>
              <w:jc w:val="right"/>
              <w:ind w:right="120"/>
              <w:spacing w:after="0"/>
              <w:rPr>
                <w:sz w:val="20"/>
                <w:szCs w:val="20"/>
                <w:color w:val="auto"/>
              </w:rPr>
            </w:pPr>
            <w:r>
              <w:rPr>
                <w:rFonts w:ascii="Arial" w:cs="Arial" w:eastAsia="Arial" w:hAnsi="Arial"/>
                <w:sz w:val="18"/>
                <w:szCs w:val="18"/>
                <w:color w:val="auto"/>
              </w:rPr>
              <w:t>31,448</w:t>
            </w:r>
          </w:p>
        </w:tc>
        <w:tc>
          <w:tcPr>
            <w:tcW w:w="2060" w:type="dxa"/>
            <w:vAlign w:val="bottom"/>
          </w:tcPr>
          <w:p>
            <w:pPr>
              <w:jc w:val="right"/>
              <w:spacing w:after="0"/>
              <w:rPr>
                <w:sz w:val="20"/>
                <w:szCs w:val="20"/>
                <w:color w:val="auto"/>
              </w:rPr>
            </w:pPr>
            <w:r>
              <w:rPr>
                <w:rFonts w:ascii="Arial" w:cs="Arial" w:eastAsia="Arial" w:hAnsi="Arial"/>
                <w:sz w:val="18"/>
                <w:szCs w:val="18"/>
                <w:color w:val="auto"/>
              </w:rPr>
              <w:t>11/25/2017</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12.47</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valuation of the Waived Warrants associated with the June 3, 2013 Common Stock Offering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56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June 3, 2013</w:t>
            </w:r>
          </w:p>
        </w:tc>
        <w:tc>
          <w:tcPr>
            <w:tcW w:w="220" w:type="dxa"/>
            <w:vAlign w:val="bottom"/>
          </w:tcPr>
          <w:p>
            <w:pPr>
              <w:spacing w:after="0"/>
              <w:rPr>
                <w:sz w:val="20"/>
                <w:szCs w:val="20"/>
                <w:color w:val="auto"/>
              </w:rPr>
            </w:pPr>
          </w:p>
        </w:tc>
        <w:tc>
          <w:tcPr>
            <w:tcW w:w="158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w w:val="98"/>
              </w:rPr>
              <w:t>October 28, 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Expected volatility</w:t>
            </w:r>
          </w:p>
        </w:tc>
        <w:tc>
          <w:tcPr>
            <w:tcW w:w="540" w:type="dxa"/>
            <w:vAlign w:val="bottom"/>
          </w:tcPr>
          <w:p>
            <w:pPr>
              <w:jc w:val="right"/>
              <w:spacing w:after="0"/>
              <w:rPr>
                <w:sz w:val="20"/>
                <w:szCs w:val="20"/>
                <w:color w:val="auto"/>
              </w:rPr>
            </w:pPr>
            <w:r>
              <w:rPr>
                <w:rFonts w:ascii="Arial" w:cs="Arial" w:eastAsia="Arial" w:hAnsi="Arial"/>
                <w:sz w:val="18"/>
                <w:szCs w:val="18"/>
                <w:color w:val="auto"/>
              </w:rPr>
              <w:t>102.9</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0"/>
                <w:szCs w:val="20"/>
                <w:color w:val="auto"/>
              </w:rPr>
            </w:pPr>
            <w:r>
              <w:rPr>
                <w:rFonts w:ascii="Arial" w:cs="Arial" w:eastAsia="Arial" w:hAnsi="Arial"/>
                <w:sz w:val="18"/>
                <w:szCs w:val="18"/>
                <w:color w:val="auto"/>
                <w:w w:val="85"/>
              </w:rPr>
              <w:t>110.9%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105.1</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r>
              <w:rPr>
                <w:rFonts w:ascii="Arial" w:cs="Arial" w:eastAsia="Arial" w:hAnsi="Arial"/>
                <w:sz w:val="18"/>
                <w:szCs w:val="18"/>
                <w:color w:val="auto"/>
                <w:w w:val="88"/>
              </w:rPr>
              <w:t>111.8%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4.7%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5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0.00%</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Options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long-term compensation plans that permit the granting of incentive awards in the form of stock options. Generally, the terms of these plans require that the exercise price of the options may not be less than the fair market value of Celsion’s Common Stock on the date the options are granted. Options generally vest over various time frames or upon milestone accomplishments. Some vest immediately. Others vest over a period between one and five years. The options generally expire ten years from the date of the grant.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2001 Stock Option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2001, the Board of Directors adopted a stock plan for directors, officers and employees (the “2001 Plan”) under which 148,148 shares were reserved for future issuance. The purpose of the 2001 Plan was to promote long-term growth and profitability of Celsion by providing key people with incentives to improve stockholder value and contribute to the growth and financial success of Celsion, and to enable the company to attract, retain and reward the best available persons for positions of substantial responsibility.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Stock Incentive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2004, the Board of Directors adopted a stock plan for directors, officers and employees (the “2004 Plan”) under which 148,148 shares were reserved for future issuance. The plan provides for stock instruments to be issued enabling the holder thereof to acquire Common stock of the Company at prices determined by the Company’s Board of Directors. The purpose of the 2004 Plan was to promote the long-term growth and financial success of the Company and enable the Company to attract, retain and reward the best available persons for positions of substantial responsibility. The 2004 Plan permitted the granting of awards in the form of incentive stock options, restricted stock, restricted stock units, stock appreciation rights, phantom stock, and performance awards, or in any combination of the foregoing. The 2004 Plan terminated in 2014, 10 years from the date of the Plan’s adoption by the Company’s stockholders.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Any options forfeited or terminated under the 2001 Plan and 2004 Plan are rolled into the 2007 Stock Incentive Plan for future issuance.</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color w:val="auto"/>
        </w:rPr>
        <w:t>2007 Stock Incentive Plan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2007, the Company adopted the Celsion Corporation 2007 Stock Incentive Plan (the 2007 Plan) under which 222,222 shares were authorized for issuance. The purpose of the 2007 Plan is to promote the long-term growth and profitability of the Company by providing incentives to improve stockholder value and enable the Company to attract, retain and reward the best available persons for positions of substantial responsibility. The 2007 Plan permits the granting of equity awards in the form of incentive stock options, nonqualified stock options, restricted stock, restricted stock units, stock appreciation rights, phantom stock, and performance awards, or in any combination of the foregoing. At the Annual Meetings of Stockholders of Celsion held on June 25, 2010, June 7, 2012 and June 20, 2014, the stockholders approved amendments to the Plan. The only material difference between the original Plan and the amended Plan was the number of shares of common stock available for issuance under the amended Plan which was increased by 222,222 to a total of 444,444 shares in 2010, by 500,000 to a total of 944,444 shares in 2012 and by 2,500,000 to a total of 3,444,444 shares in 2014.</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issued stock awards to employees, directors and vendors out of the stock option plans. Options and are generally granted at market value on the date of the grant.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Incentive stock options may be granted to purchase shares of Common Stock at a price not less than 100% of the fair market value of the underlying shares on the date of grant, provided that the exercise price of any incentive option granted to an eligible employee owning more than 10% of the outstanding stock must be at least 110% of the such fair market value on the date of grant. Only officers and key employees may receive incentive stock options; all other qualified participants may receive non-qualified stock options.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Option awards vest upon terms determined by the Board of Directors. Restricted stock awards, performance stock awards and stock options are subject to accelerated vesting in the event of a change of control. The Company issues new shares to satisfy its obligations from the exercise of options.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2015, 2014 and 2013, 927,750, 1,040,950 and 187,888 equity awards, respectively, were granted under the 2007 Plan. During 2015, 2014 and 2013, a total of 444,183, 131,850 and 41,379 equity awards, respectively, were canceled or expired under the plans collectively. During 2015, 2014 and 2013, 14,000, 21,341 and 12,873 shares of the Company’s common stock were issued collectively as a result of either options being exercised or restricted stock awards vesting.</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2007 an option to purchase 95,555 shares of the Company's common stock was issued to the Company's Chief Executive Officer. This option vested in equal installments over four years and was separately registered with the Securities and Exchange Commission (the "SEC") and was not issued under any of the Employee Stock Incentive Plans.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Collectively, for all the stock option plans as of December 31, 2015, there were a total of 3,660,270 shares reserved, which were comprised of 2,221,340 equity awards granted and 1,438,930 equity awards available for future issuance.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compensation cost charged related to employee stock options and non-vested restricted stock awards amounted to $1.8 million, $2.6 million and $1.2 million for the years ended December 31, 2015, 2014 and 2013, respectively. No compensation cost related to share-based payments arrangements was capitalized as part of the cost of any asset at these same periods. As of December 31, 2015, there was $0.8 million of total unrecognized compensation cost related to non-vested share-based compensation arrangements. That cost is expected to be recognized over a weighted-average period of 1.1 years. The weighted average grant-date fair values of the equity awards granted during the years ended December 31, 2015, 2014 and 2013 were $2.05, $3.18 and $3.40,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Awards Issued to Consultants for Services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periodically issues equity awards to consultants in exchange for services provided. The fair value of options granted is measured in accordance with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using the Black-Scholes option pricing model and recorded as an expense in the period in which such services are received. Generally, the terms of these plans require that the exercise price of such awards may not be less than the fair market value of the Company’s Common Stock on the date the equity awards are granted. Consultant equity awards generally vest over various time frames or upon milestone accomplishments. Some vest immediately upon issuance. The equity awards generally expire within 10 years from the date of grant. There were 5,555 equity awards issued to consultants during the year ended December 31, 2013. No equity awards were granted to consultants during the years ended December 31, 2015 and 2014.</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1" w:name="page92"/>
    <w:bookmarkEnd w:id="91"/>
    <w:p>
      <w:pPr>
        <w:spacing w:after="0"/>
        <w:rPr>
          <w:sz w:val="20"/>
          <w:szCs w:val="20"/>
          <w:color w:val="auto"/>
        </w:rPr>
      </w:pPr>
      <w:r>
        <w:rPr>
          <w:rFonts w:ascii="Arial" w:cs="Arial" w:eastAsia="Arial" w:hAnsi="Arial"/>
          <w:sz w:val="17"/>
          <w:szCs w:val="17"/>
          <w:color w:val="auto"/>
        </w:rPr>
        <w:t>A summary of stock option awards as of December 31, 2015 and changes during the three years ended December 31, 2015, is presented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Weighted</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Average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18"/>
                <w:szCs w:val="18"/>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Exercise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Stock Options</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Outstanding</w:t>
            </w:r>
          </w:p>
        </w:tc>
        <w:tc>
          <w:tcPr>
            <w:tcW w:w="240" w:type="dxa"/>
            <w:vAlign w:val="bottom"/>
          </w:tcPr>
          <w:p>
            <w:pPr>
              <w:spacing w:after="0"/>
              <w:rPr>
                <w:sz w:val="20"/>
                <w:szCs w:val="20"/>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Price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725,529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14.63</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187,777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4.39</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(12,429)</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14.67</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Canceled or expired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(38,972)</w:t>
            </w:r>
          </w:p>
        </w:tc>
        <w:tc>
          <w:tcPr>
            <w:tcW w:w="2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16.79</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861,905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12.30</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1,014,700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3.53</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Canceled or expired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(131,850)</w:t>
            </w:r>
          </w:p>
        </w:tc>
        <w:tc>
          <w:tcPr>
            <w:tcW w:w="2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19.05</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1,744,755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7.20</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839,250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2.35</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Canceled or expired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(444,183)</w:t>
            </w:r>
          </w:p>
        </w:tc>
        <w:tc>
          <w:tcPr>
            <w:tcW w:w="2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5.56</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2,139,822</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5.64</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1,315,201</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7.51</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summary of the status of the Company’s non-vested restricted stock awards as of December 31, 2015 and changes during the three years ended December 31, 2015, is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3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Restricted Stock</w:t>
            </w:r>
          </w:p>
        </w:tc>
        <w:tc>
          <w:tcPr>
            <w:tcW w:w="100" w:type="dxa"/>
            <w:vAlign w:val="bottom"/>
          </w:tcPr>
          <w:p>
            <w:pPr>
              <w:spacing w:after="0"/>
              <w:rPr>
                <w:sz w:val="20"/>
                <w:szCs w:val="20"/>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Outstanding</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7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stock awards outstanding at January 1, 2013</w:t>
            </w:r>
          </w:p>
        </w:tc>
        <w:tc>
          <w:tcPr>
            <w:tcW w:w="1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 and issued</w:t>
            </w:r>
          </w:p>
        </w:tc>
        <w:tc>
          <w:tcPr>
            <w:tcW w:w="17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780" w:type="dxa"/>
            <w:vAlign w:val="bottom"/>
            <w:gridSpan w:val="3"/>
          </w:tcPr>
          <w:p>
            <w:pPr>
              <w:jc w:val="right"/>
              <w:ind w:right="50"/>
              <w:spacing w:after="0"/>
              <w:rPr>
                <w:sz w:val="20"/>
                <w:szCs w:val="20"/>
                <w:color w:val="auto"/>
              </w:rPr>
            </w:pPr>
            <w:r>
              <w:rPr>
                <w:rFonts w:ascii="Arial" w:cs="Arial" w:eastAsia="Arial" w:hAnsi="Arial"/>
                <w:sz w:val="18"/>
                <w:szCs w:val="18"/>
                <w:color w:val="auto"/>
              </w:rPr>
              <w:t>(1,855)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15.69</w:t>
            </w: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Non-vested stock awards outstanding at December 31, 2013</w:t>
            </w:r>
          </w:p>
        </w:tc>
        <w:tc>
          <w:tcPr>
            <w:tcW w:w="1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w:t>
            </w: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26,250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 and issued</w:t>
            </w:r>
          </w:p>
        </w:tc>
        <w:tc>
          <w:tcPr>
            <w:tcW w:w="17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(21,341)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Non-vested stock awards outstanding at December 31, 2014</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88,500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Vested and issued</w:t>
            </w:r>
          </w:p>
        </w:tc>
        <w:tc>
          <w:tcPr>
            <w:tcW w:w="17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(14,000)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Forfeited</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stock awards outstanding at December 31, 2015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r>
    </w:tbl>
    <w:p>
      <w:pPr>
        <w:spacing w:after="0" w:line="256" w:lineRule="exact"/>
        <w:rPr>
          <w:sz w:val="20"/>
          <w:szCs w:val="20"/>
          <w:color w:val="auto"/>
        </w:rPr>
      </w:pPr>
    </w:p>
    <w:p>
      <w:pPr>
        <w:ind w:left="180" w:right="320" w:hanging="10"/>
        <w:spacing w:after="0" w:line="277" w:lineRule="auto"/>
        <w:tabs>
          <w:tab w:leader="none" w:pos="3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non-vested restricted stock awards as of December 31, 2015 had a weighted average remaining contractual term of 1.4 years and with an intrinsic value of approximately $157,000.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A summary of stock options outstanding at December 31, 2015 by price range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1"/>
              </w:rPr>
              <w:t>Options Outstanding</w:t>
            </w: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0"/>
              </w:rPr>
              <w:t>Options Exercisable</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right"/>
              <w:ind w:right="200"/>
              <w:spacing w:after="0" w:line="191" w:lineRule="exact"/>
              <w:rPr>
                <w:sz w:val="20"/>
                <w:szCs w:val="20"/>
                <w:color w:val="auto"/>
              </w:rPr>
            </w:pPr>
            <w:r>
              <w:rPr>
                <w:rFonts w:ascii="Arial" w:cs="Arial" w:eastAsia="Arial" w:hAnsi="Arial"/>
                <w:sz w:val="18"/>
                <w:szCs w:val="18"/>
                <w:b w:val="1"/>
                <w:bCs w:val="1"/>
                <w:color w:val="auto"/>
              </w:rPr>
              <w:t>Weighted</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180"/>
              <w:spacing w:after="0" w:line="191" w:lineRule="exact"/>
              <w:rPr>
                <w:sz w:val="20"/>
                <w:szCs w:val="20"/>
                <w:color w:val="auto"/>
              </w:rPr>
            </w:pPr>
            <w:r>
              <w:rPr>
                <w:rFonts w:ascii="Arial" w:cs="Arial" w:eastAsia="Arial" w:hAnsi="Arial"/>
                <w:sz w:val="18"/>
                <w:szCs w:val="18"/>
                <w:b w:val="1"/>
                <w:bCs w:val="1"/>
                <w:color w:val="auto"/>
              </w:rPr>
              <w:t>Weighted</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Average</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Average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Remaining</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Remaining</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Range of</w:t>
            </w: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Contractual</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Contractual</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Average</w:t>
            </w:r>
          </w:p>
        </w:tc>
      </w:tr>
      <w:tr>
        <w:trPr>
          <w:trHeight w:val="216"/>
        </w:trPr>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Exercise</w:t>
            </w: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Term</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Exercise</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Term</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Exercise</w:t>
            </w:r>
          </w:p>
        </w:tc>
      </w:tr>
      <w:tr>
        <w:trPr>
          <w:trHeight w:val="234"/>
        </w:trPr>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Prices</w:t>
            </w:r>
          </w:p>
        </w:tc>
        <w:tc>
          <w:tcPr>
            <w:tcW w:w="12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(in years)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Price</w:t>
            </w:r>
          </w:p>
        </w:tc>
        <w:tc>
          <w:tcPr>
            <w:tcW w:w="1260" w:type="dxa"/>
            <w:vAlign w:val="bottom"/>
            <w:gridSpan w:val="2"/>
          </w:tcPr>
          <w:p>
            <w:pPr>
              <w:ind w:left="600"/>
              <w:spacing w:after="0"/>
              <w:rPr>
                <w:sz w:val="20"/>
                <w:szCs w:val="20"/>
                <w:color w:val="auto"/>
              </w:rPr>
            </w:pPr>
            <w:r>
              <w:rPr>
                <w:rFonts w:ascii="Arial" w:cs="Arial" w:eastAsia="Arial" w:hAnsi="Arial"/>
                <w:sz w:val="18"/>
                <w:szCs w:val="18"/>
                <w:b w:val="1"/>
                <w:bCs w:val="1"/>
                <w:color w:val="auto"/>
                <w:w w:val="94"/>
              </w:rPr>
              <w:t>Number</w:t>
            </w:r>
          </w:p>
        </w:tc>
        <w:tc>
          <w:tcPr>
            <w:tcW w:w="2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(in years)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Price</w:t>
            </w:r>
          </w:p>
        </w:tc>
      </w:tr>
      <w:tr>
        <w:trPr>
          <w:trHeight w:val="210"/>
        </w:trPr>
        <w:tc>
          <w:tcPr>
            <w:tcW w:w="10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$1.00</w:t>
            </w:r>
          </w:p>
        </w:tc>
        <w:tc>
          <w:tcPr>
            <w:tcW w:w="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725,166</w:t>
            </w:r>
          </w:p>
        </w:tc>
        <w:tc>
          <w:tcPr>
            <w:tcW w:w="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9.4</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161,867</w:t>
            </w:r>
          </w:p>
        </w:tc>
        <w:tc>
          <w:tcPr>
            <w:tcW w:w="1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9.2</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r>
      <w:tr>
        <w:trPr>
          <w:trHeight w:val="216"/>
        </w:trPr>
        <w:tc>
          <w:tcPr>
            <w:tcW w:w="1000" w:type="dxa"/>
            <w:vAlign w:val="bottom"/>
          </w:tcPr>
          <w:p>
            <w:pPr>
              <w:jc w:val="center"/>
              <w:ind w:left="70"/>
              <w:spacing w:after="0"/>
              <w:rPr>
                <w:sz w:val="20"/>
                <w:szCs w:val="20"/>
                <w:color w:val="auto"/>
              </w:rPr>
            </w:pPr>
            <w:r>
              <w:rPr>
                <w:rFonts w:ascii="Arial" w:cs="Arial" w:eastAsia="Arial" w:hAnsi="Arial"/>
                <w:sz w:val="18"/>
                <w:szCs w:val="18"/>
                <w:color w:val="auto"/>
                <w:w w:val="91"/>
              </w:rPr>
              <w:t>3.00</w:t>
            </w:r>
          </w:p>
        </w:tc>
        <w:tc>
          <w:tcPr>
            <w:tcW w:w="400" w:type="dxa"/>
            <w:vAlign w:val="bottom"/>
          </w:tcPr>
          <w:p>
            <w:pPr>
              <w:ind w:left="200"/>
              <w:spacing w:after="0"/>
              <w:rPr>
                <w:sz w:val="20"/>
                <w:szCs w:val="20"/>
                <w:color w:val="auto"/>
              </w:rPr>
            </w:pPr>
            <w:r>
              <w:rPr>
                <w:rFonts w:ascii="Arial" w:cs="Arial" w:eastAsia="Arial" w:hAnsi="Arial"/>
                <w:sz w:val="18"/>
                <w:szCs w:val="18"/>
                <w:color w:val="auto"/>
              </w:rPr>
              <w:t>to</w:t>
            </w:r>
          </w:p>
        </w:tc>
        <w:tc>
          <w:tcPr>
            <w:tcW w:w="1140" w:type="dxa"/>
            <w:vAlign w:val="bottom"/>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915,195</w:t>
            </w:r>
          </w:p>
        </w:tc>
        <w:tc>
          <w:tcPr>
            <w:tcW w:w="40" w:type="dxa"/>
            <w:vAlign w:val="bottom"/>
          </w:tcPr>
          <w:p>
            <w:pPr>
              <w:spacing w:after="0"/>
              <w:rPr>
                <w:sz w:val="18"/>
                <w:szCs w:val="18"/>
                <w:color w:val="auto"/>
              </w:rPr>
            </w:pP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8.3</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653,873</w:t>
            </w: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7.9</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r>
      <w:tr>
        <w:trPr>
          <w:trHeight w:val="216"/>
        </w:trPr>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6.00</w:t>
            </w:r>
          </w:p>
        </w:tc>
        <w:tc>
          <w:tcPr>
            <w:tcW w:w="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337,183</w:t>
            </w:r>
          </w:p>
        </w:tc>
        <w:tc>
          <w:tcPr>
            <w:tcW w:w="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337,183</w:t>
            </w:r>
          </w:p>
        </w:tc>
        <w:tc>
          <w:tcPr>
            <w:tcW w:w="1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w:t>
            </w:r>
          </w:p>
        </w:tc>
      </w:tr>
      <w:tr>
        <w:trPr>
          <w:trHeight w:val="216"/>
        </w:trPr>
        <w:tc>
          <w:tcPr>
            <w:tcW w:w="1000" w:type="dxa"/>
            <w:vAlign w:val="bottom"/>
          </w:tcPr>
          <w:p>
            <w:pPr>
              <w:jc w:val="center"/>
              <w:ind w:left="70"/>
              <w:spacing w:after="0"/>
              <w:rPr>
                <w:sz w:val="20"/>
                <w:szCs w:val="20"/>
                <w:color w:val="auto"/>
              </w:rPr>
            </w:pPr>
            <w:r>
              <w:rPr>
                <w:rFonts w:ascii="Arial" w:cs="Arial" w:eastAsia="Arial" w:hAnsi="Arial"/>
                <w:sz w:val="18"/>
                <w:szCs w:val="18"/>
                <w:color w:val="auto"/>
                <w:w w:val="88"/>
              </w:rPr>
              <w:t>13.00</w:t>
            </w:r>
          </w:p>
        </w:tc>
        <w:tc>
          <w:tcPr>
            <w:tcW w:w="400" w:type="dxa"/>
            <w:vAlign w:val="bottom"/>
          </w:tcPr>
          <w:p>
            <w:pPr>
              <w:ind w:left="200"/>
              <w:spacing w:after="0"/>
              <w:rPr>
                <w:sz w:val="20"/>
                <w:szCs w:val="20"/>
                <w:color w:val="auto"/>
              </w:rPr>
            </w:pPr>
            <w:r>
              <w:rPr>
                <w:rFonts w:ascii="Arial" w:cs="Arial" w:eastAsia="Arial" w:hAnsi="Arial"/>
                <w:sz w:val="18"/>
                <w:szCs w:val="18"/>
                <w:color w:val="auto"/>
              </w:rPr>
              <w:t>to</w:t>
            </w:r>
          </w:p>
        </w:tc>
        <w:tc>
          <w:tcPr>
            <w:tcW w:w="1140" w:type="dxa"/>
            <w:vAlign w:val="bottom"/>
          </w:tcPr>
          <w:p>
            <w:pPr>
              <w:jc w:val="right"/>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92,414</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4.3</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14.36</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92,414</w:t>
            </w: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4.3</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14.36</w:t>
            </w:r>
          </w:p>
        </w:tc>
      </w:tr>
      <w:tr>
        <w:trPr>
          <w:trHeight w:val="216"/>
        </w:trPr>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Above $20.00</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69,864</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69,864</w:t>
            </w:r>
          </w:p>
        </w:tc>
        <w:tc>
          <w:tcPr>
            <w:tcW w:w="1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24.85</w:t>
            </w:r>
          </w:p>
        </w:tc>
      </w:tr>
      <w:tr>
        <w:trPr>
          <w:trHeight w:val="210"/>
        </w:trPr>
        <w:tc>
          <w:tcPr>
            <w:tcW w:w="10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2,139,822</w:t>
            </w: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1,315,201</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nonqualified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2"/>
              </w:rPr>
              <w:t>Year Ended December 31,</w:t>
            </w:r>
          </w:p>
        </w:tc>
        <w:tc>
          <w:tcPr>
            <w:tcW w:w="5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5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2.93%</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2.75%</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Expected volatility</w:t>
            </w:r>
          </w:p>
        </w:tc>
        <w:tc>
          <w:tcPr>
            <w:tcW w:w="580" w:type="dxa"/>
            <w:vAlign w:val="bottom"/>
          </w:tcPr>
          <w:p>
            <w:pPr>
              <w:jc w:val="right"/>
              <w:spacing w:after="0"/>
              <w:rPr>
                <w:sz w:val="20"/>
                <w:szCs w:val="20"/>
                <w:color w:val="auto"/>
              </w:rPr>
            </w:pPr>
            <w:r>
              <w:rPr>
                <w:rFonts w:ascii="Arial" w:cs="Arial" w:eastAsia="Arial" w:hAnsi="Arial"/>
                <w:sz w:val="18"/>
                <w:szCs w:val="18"/>
                <w:color w:val="auto"/>
              </w:rPr>
              <w:t>92.9</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104.1%%</w:t>
            </w:r>
          </w:p>
        </w:tc>
        <w:tc>
          <w:tcPr>
            <w:tcW w:w="580" w:type="dxa"/>
            <w:vAlign w:val="bottom"/>
          </w:tcPr>
          <w:p>
            <w:pPr>
              <w:jc w:val="right"/>
              <w:spacing w:after="0"/>
              <w:rPr>
                <w:sz w:val="20"/>
                <w:szCs w:val="20"/>
                <w:color w:val="auto"/>
              </w:rPr>
            </w:pPr>
            <w:r>
              <w:rPr>
                <w:rFonts w:ascii="Arial" w:cs="Arial" w:eastAsia="Arial" w:hAnsi="Arial"/>
                <w:sz w:val="18"/>
                <w:szCs w:val="18"/>
                <w:color w:val="auto"/>
              </w:rPr>
              <w:t>94.3</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20"/>
                <w:szCs w:val="20"/>
                <w:color w:val="auto"/>
              </w:rPr>
            </w:pPr>
            <w:r>
              <w:rPr>
                <w:rFonts w:ascii="Arial" w:cs="Arial" w:eastAsia="Arial" w:hAnsi="Arial"/>
                <w:sz w:val="18"/>
                <w:szCs w:val="18"/>
                <w:color w:val="auto"/>
                <w:w w:val="91"/>
              </w:rPr>
              <w:t>100.7%</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58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ind w:left="140"/>
              <w:spacing w:after="0"/>
              <w:rPr>
                <w:sz w:val="20"/>
                <w:szCs w:val="20"/>
                <w:color w:val="auto"/>
              </w:rPr>
            </w:pPr>
            <w:r>
              <w:rPr>
                <w:rFonts w:ascii="Arial" w:cs="Arial" w:eastAsia="Arial" w:hAnsi="Arial"/>
                <w:sz w:val="18"/>
                <w:szCs w:val="18"/>
                <w:color w:val="auto"/>
              </w:rPr>
              <w:t>to</w:t>
            </w:r>
          </w:p>
        </w:tc>
        <w:tc>
          <w:tcPr>
            <w:tcW w:w="600" w:type="dxa"/>
            <w:vAlign w:val="bottom"/>
          </w:tcPr>
          <w:p>
            <w:pPr>
              <w:ind w:left="2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Expected volatilities utilized in the model are based on historical volatility of the Company’s stock price. The risk free interest rate is derived from values assigned to U.S. Treasury strips as published in the Wall Street Journal in effect at the time of grant. The model incorporates exercise, pre-vesting and post-vesting forfeiture assumptions based on analysis of historical data. The expected life of the fiscal 2015, 2014 and 2013 grants was generated using the simplified method as allowed under Securities and Exchange Commission Staff Accounting Bulletin No. 107.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EARN-OUT MILESTONE LIABILITY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2.5 years). The earn-out milestone liability will be fair valued at the end of each quarter and any change in their value will be recognized in the financial statements.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December 31, 2015, the Company fair valued the earn-out milestone liability at $13.9 million and recognized a non-cash loss of $257,702 during 2015 as a result of the change in the fair value of earn-out milestone liability from $13.7 million at June 30, 2015. The fair value of the earn-out milestone liability at December 31, 2015 was based on the Company's risk-adjusted assessment of each milestone (10% to 75%) utilizing a discount rate based on the estimated time to achieve the milestone (0.5 to 6.5 years). As of December 31, 2014, the Company fair valued the earn-out milestone liability at $13.7 million and recognized a gain of $213,949 as a result of the change in the fair value of earn-out milestone liability from June 30, 2014. The fair value of the earn-out milestone liability at December 31, 2014 was based on the Company's risk-adjusted assessment of each milestone (10% to 67%) and utilizing a discount rate based on the estimated time to achieve the milestone (1.2 to 6.5 years).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0"/>
        </w:trPr>
        <w:tc>
          <w:tcPr>
            <w:tcW w:w="9620" w:type="dxa"/>
            <w:vAlign w:val="bottom"/>
            <w:gridSpan w:val="2"/>
          </w:tcPr>
          <w:p>
            <w:pPr>
              <w:spacing w:after="0"/>
              <w:rPr>
                <w:sz w:val="20"/>
                <w:szCs w:val="20"/>
                <w:color w:val="auto"/>
              </w:rPr>
            </w:pPr>
            <w:r>
              <w:rPr>
                <w:rFonts w:ascii="Arial" w:cs="Arial" w:eastAsia="Arial" w:hAnsi="Arial"/>
                <w:sz w:val="18"/>
                <w:szCs w:val="18"/>
                <w:color w:val="auto"/>
              </w:rPr>
              <w:t>The following is a summary of the changes in the earn-out milestone liability for 2014 and 2015:</w:t>
            </w:r>
          </w:p>
        </w:tc>
        <w:tc>
          <w:tcPr>
            <w:tcW w:w="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2014</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Fair value of Earn-Out Payments at date of EGEN Purchase Agreement (Note 5)</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13,878,204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Non-cash gain from the adjustment for the change in fair value included in 2014 net loss</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(213,494)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31, 2014</w:t>
            </w:r>
          </w:p>
        </w:tc>
        <w:tc>
          <w:tcPr>
            <w:tcW w:w="480" w:type="dxa"/>
            <w:vAlign w:val="bottom"/>
            <w:tcBorders>
              <w:top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13,663,710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Non-cash loss from the adjustment for the change in fair value included in 2015 net loss</w:t>
            </w:r>
          </w:p>
        </w:tc>
        <w:tc>
          <w:tcPr>
            <w:tcW w:w="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257,702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20" w:type="dxa"/>
            <w:vAlign w:val="bottom"/>
            <w:gridSpan w:val="2"/>
          </w:tcPr>
          <w:p>
            <w:pPr>
              <w:spacing w:after="0"/>
              <w:rPr>
                <w:sz w:val="20"/>
                <w:szCs w:val="20"/>
                <w:color w:val="auto"/>
              </w:rPr>
            </w:pPr>
            <w:r>
              <w:rPr>
                <w:rFonts w:ascii="Arial" w:cs="Arial" w:eastAsia="Arial" w:hAnsi="Arial"/>
                <w:sz w:val="18"/>
                <w:szCs w:val="18"/>
                <w:color w:val="auto"/>
              </w:rPr>
              <w:t>Balance at December 31, 2015</w:t>
            </w: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13,921,412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WARRANTS</w:t>
      </w:r>
    </w:p>
    <w:p>
      <w:pPr>
        <w:spacing w:after="0" w:line="229"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As more fully described in Note 10, the Company completed a series of equity financing transactions in 2015, 2014 and 2013 that included the issuance of warrants to purchase 1,950,000, 1,801,802 and 1,341,382 shares, respectively, of the Company’s common stock. In connection with the Hercules Credit Agreement and the Horizon &amp; Oxford Credit Agreement the Company entered into in November 2013 and June 2012 as more fully described in Note 8, the Company issued warrants to purchase 194,986 and 11,415 shares, respectively, of the Company’s common stock. During 2013, the Company received gross proceeds of approximately $0.3 million from the exercise of warrants to purchase 15,833 shares of common stock, respectively. No warrants were exercised during 2015 or 2014.</w:t>
      </w:r>
    </w:p>
    <w:p>
      <w:pPr>
        <w:spacing w:after="0" w:line="193"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In September 2009, the Company closed a registered direct offering with a select group of institutional investors that raised gross proceeds of $7.1 million and net proceeds of $6.3 million. In connection with this registered direct offering, the Company issued 448,478 shares of its common stock and warrants to purchase 224,239 shares of common stock. On March 31, 2015, all unexercised warrants associated with this registered direct offering expired. As discussed in Note 10, the Series B warrants to purchase 900,901 shares of common stock issued in connection with the January 2014 Offering expired in January 2015.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Following is a summary of all warrant activity for the three years ended December 31, 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Warrants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ind w:left="3620"/>
              <w:spacing w:after="0"/>
              <w:rPr>
                <w:sz w:val="20"/>
                <w:szCs w:val="20"/>
                <w:color w:val="auto"/>
              </w:rPr>
            </w:pPr>
            <w:r>
              <w:rPr>
                <w:rFonts w:ascii="Arial" w:cs="Arial" w:eastAsia="Arial" w:hAnsi="Arial"/>
                <w:sz w:val="18"/>
                <w:szCs w:val="18"/>
                <w:b w:val="1"/>
                <w:bCs w:val="1"/>
                <w:color w:val="auto"/>
              </w:rPr>
              <w:t>Warrants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Issued</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Warrants outstanding at January 1, 2013</w:t>
            </w: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1,747,478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 in connection with 2013 equity transactions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1,341,382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93"/>
              </w:rPr>
              <w:t>Warrants issued in connection with the Hercules Credit Agreement (November 2013 tranche) as more fully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described in Note 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97,493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Warrants exercised for common stock in 2013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Warrants outstanding at December 31, 2013</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3,170,520</w:t>
            </w: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10.65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Warrants issued in connection with the January 2014 equity transaction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1,801,802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Warrants issued in connection with the Hercules Credit Agreement (June 2014 tranche) as more fully</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97,493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described in Note 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Warrants outstanding at December 31, 2014</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5,069,815</w:t>
            </w: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8.18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Warrants issued in connection with the May 2015 equity transaction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1,950,000</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Warrants expired during 2015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(1,125,140)</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at December 31, 2015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5,894,675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14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Aggregate intrinsic value of outstanding warrants at December 31, 2015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remaining contractual terms (years)</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7980" w:type="dxa"/>
            <w:vAlign w:val="bottom"/>
          </w:tcPr>
          <w:p>
            <w:pPr>
              <w:ind w:left="5520"/>
              <w:spacing w:after="0"/>
              <w:rPr>
                <w:sz w:val="20"/>
                <w:szCs w:val="20"/>
                <w:color w:val="auto"/>
              </w:rPr>
            </w:pPr>
            <w:r>
              <w:rPr>
                <w:rFonts w:ascii="Arial" w:cs="Arial" w:eastAsia="Arial" w:hAnsi="Arial"/>
                <w:sz w:val="18"/>
                <w:szCs w:val="18"/>
                <w:color w:val="auto"/>
              </w:rPr>
              <w:t>F-30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9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auto"/>
        </w:rPr>
        <w:t>Common Stock Warrant Liability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September 2009, the Company closed a registered direct offering with a select group of institutional investors that raised gross proceeds of $7.1 million and net proceeds of $6.3 million. In connection with this registered direct offering, the Company issued 484,478 shares of its common stock and warrants to purchase 224,239 shares of common stock. The warrants have an exercise price of $23.58 per share and are exercisable at any time on or after the six month anniversary of the date of issuance and on or prior to 66 months after the date of issuance. Under the terms of the warrants, upon certain transactions, including a merger, tender offer or sale of all or substantially all of the assets of the Company, each warrant holder may elect to receive a cash payment in exchange for the warrant, in an amount determined by application of the Black-Scholes option valuation model. Accordingly, pursuant to ASC 815.40, </w:t>
      </w:r>
      <w:r>
        <w:rPr>
          <w:rFonts w:ascii="Arial" w:cs="Arial" w:eastAsia="Arial" w:hAnsi="Arial"/>
          <w:sz w:val="17"/>
          <w:szCs w:val="17"/>
          <w:i w:val="1"/>
          <w:iCs w:val="1"/>
          <w:color w:val="auto"/>
        </w:rPr>
        <w:t>Derivative Instruments and Hedging - Contracts in Entity’s Own Equity</w:t>
      </w:r>
      <w:r>
        <w:rPr>
          <w:rFonts w:ascii="Arial" w:cs="Arial" w:eastAsia="Arial" w:hAnsi="Arial"/>
          <w:sz w:val="17"/>
          <w:szCs w:val="17"/>
          <w:color w:val="auto"/>
        </w:rPr>
        <w:t>, the warrants are recorded as a liability and then marked to market each period</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the Statement of Operations in other income or expense. At the end of each subsequent quarter, the Company will revalue the fair value of the warrants and the change in fair value will be recorded as a change to the warrant liability and the difference will be recorded through the Statement of Operations in other income or expense.</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As more fully described in Note 10, concurrent with the closing of the Common Stock Offering, the investors in this offering agreed to waive their rights to exercise the Waived Warrants to purchase 1,398,816 shares of common stock of the Company until the Company has obtained stockholders’ approval of increasing the number of its authorized shares of common stock in conjunction with the proposed reverse stock split of its outstanding shares of common stock. In accordance with ASC 815-40, </w:t>
      </w:r>
      <w:r>
        <w:rPr>
          <w:rFonts w:ascii="Arial" w:cs="Arial" w:eastAsia="Arial" w:hAnsi="Arial"/>
          <w:sz w:val="16"/>
          <w:szCs w:val="16"/>
          <w:i w:val="1"/>
          <w:iCs w:val="1"/>
          <w:color w:val="auto"/>
        </w:rPr>
        <w:t>Derivative Instruments and Hedging - Contracts in Entity’s Own Equity,</w:t>
      </w:r>
      <w:r>
        <w:rPr>
          <w:rFonts w:ascii="Arial" w:cs="Arial" w:eastAsia="Arial" w:hAnsi="Arial"/>
          <w:sz w:val="16"/>
          <w:szCs w:val="16"/>
          <w:color w:val="auto"/>
        </w:rPr>
        <w:t xml:space="preserve"> the Waived Warrants were required to be classified as liabilities immediately after the closing of the Common Stock Offering on June 3, 2013 because there were an insufficient number of common shares authorized to permit the full exercise of the Waived Warrants if they were exercised. Therefore, the Company had reclassified the fair value of the Waived Warrants totaling approximately $9.1 million from equity to a liability as of June 3, 2013. The Waived Warrants were required to be recorded at fair value at each balance sheet date with changes in fair value recorded in earnings until such time as there are a sufficient number of common shares authorized to permit the full exercise of the warrants. In connection with the Reverse Stock Split, these warrants were valued as of October 28, 2013 and the Company reclassified the fair value of the Waived Warrants totaling approximately $5.3 million from a liability to equity.</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in Note 8, the Company concluded in the second quarter of 2015 the warrant provision which required the exercise price of the warrant to be adjusted downward to a lower price at which the Company would sell and issue shares in a financing for cash during the one-year anniversary of the warrant had expired. Therefore, the Company valued the warrant at $336,254 immediately prior to this event using a risk-free interest rate of 1.98%, expected volatility of 99.71%, an expected remaining life of 4 years and no forfeiture nor dividends expected. The Company recorded non-cash charges to net income of $18,018 and $61,246 in the second quarter and year to date periods of 2015, respectively, and reduced the liability to zero and increased equity by $336,254 at this time.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2014 and 2013, the Company recorded a common stock warrant liability of $275,008 and $3,026 respectively. No common stock warrants were required to be recognized as a liability at December 31, 2015. The fair value of the warrants associated with the September 2009 registered direct offering at December 31, 2013 and the warrants associated with the Hercules loan as more fully described in Note 8 at December 31, 2014 and 2013 was calculated using the Black-Scholes option-pricing model with the following assumptions: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w w:val="93"/>
              </w:rPr>
              <w:t>December 31,</w:t>
            </w: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63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8"/>
                <w:szCs w:val="18"/>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Expected volatility</w:t>
            </w:r>
          </w:p>
        </w:tc>
        <w:tc>
          <w:tcPr>
            <w:tcW w:w="460" w:type="dxa"/>
            <w:vAlign w:val="bottom"/>
          </w:tcPr>
          <w:p>
            <w:pPr>
              <w:jc w:val="right"/>
              <w:spacing w:after="0"/>
              <w:rPr>
                <w:sz w:val="20"/>
                <w:szCs w:val="20"/>
                <w:color w:val="auto"/>
              </w:rPr>
            </w:pPr>
            <w:r>
              <w:rPr>
                <w:rFonts w:ascii="Arial" w:cs="Arial" w:eastAsia="Arial" w:hAnsi="Arial"/>
                <w:sz w:val="18"/>
                <w:szCs w:val="18"/>
                <w:color w:val="auto"/>
              </w:rPr>
              <w:t>40.9</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r>
              <w:rPr>
                <w:rFonts w:ascii="Arial" w:cs="Arial" w:eastAsia="Arial" w:hAnsi="Arial"/>
                <w:sz w:val="18"/>
                <w:szCs w:val="18"/>
                <w:color w:val="auto"/>
                <w:w w:val="88"/>
              </w:rPr>
              <w:t>98.35%</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64.74%</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46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0.00%</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See Note 10 for the assumptions used at June 3, 2013 and October 28, 2013 for the Black-Scholes option-pricing model calculation for the Waived Warrants associated with the Common Stock Offering on the dates they were waived and when there became a sufficient number of common shares authorized to permit their full exercise.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5" w:name="page96"/>
    <w:bookmarkEnd w:id="95"/>
    <w:p>
      <w:pPr>
        <w:jc w:val="both"/>
        <w:spacing w:after="0" w:line="264" w:lineRule="auto"/>
        <w:rPr>
          <w:sz w:val="20"/>
          <w:szCs w:val="20"/>
          <w:color w:val="auto"/>
        </w:rPr>
      </w:pPr>
      <w:r>
        <w:rPr>
          <w:rFonts w:ascii="Arial" w:cs="Arial" w:eastAsia="Arial" w:hAnsi="Arial"/>
          <w:sz w:val="18"/>
          <w:szCs w:val="18"/>
          <w:color w:val="auto"/>
        </w:rPr>
        <w:t>As a result of this change in the warrant liability in 2014, the Company recorded a non-cash benefit of $204,279 in 2014. As a result of this change in the warrant liability in 2013, which included the change in the warrant liability associated with the Waived Warrants as discussed above, the Company recorded a non-cash benefit of $8.1 million during 2013.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gridSpan w:val="2"/>
          </w:tcPr>
          <w:p>
            <w:pPr>
              <w:spacing w:after="0"/>
              <w:rPr>
                <w:sz w:val="20"/>
                <w:szCs w:val="20"/>
                <w:color w:val="auto"/>
              </w:rPr>
            </w:pPr>
            <w:r>
              <w:rPr>
                <w:rFonts w:ascii="Arial" w:cs="Arial" w:eastAsia="Arial" w:hAnsi="Arial"/>
                <w:sz w:val="18"/>
                <w:szCs w:val="18"/>
                <w:color w:val="auto"/>
              </w:rPr>
              <w:t>The following is a summary of the changes in the common stock warrant liability for 2015, 2014 and 2013:</w:t>
            </w: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2013</w:t>
            </w:r>
          </w:p>
        </w:tc>
        <w:tc>
          <w:tcPr>
            <w:tcW w:w="144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Fair value of warrants classified as liability (see Note 10)</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9,110,302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 classified as equity (see Note 10)</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(5,300,572)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Gain from the adjustment for the change in fair value included in net loss</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(8,090,636)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December 31, 2013</w:t>
            </w:r>
          </w:p>
        </w:tc>
        <w:tc>
          <w:tcPr>
            <w:tcW w:w="10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Fair value of warrants classified as liability (see Note 8)</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Gain from the adjustment for the change in fair value included in net income</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(204,279)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Ending balance, December 31, 2014</w:t>
            </w:r>
          </w:p>
        </w:tc>
        <w:tc>
          <w:tcPr>
            <w:tcW w:w="144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275,008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Loss from the adjustment for the change in fair value included in net loss</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Fair value of warrants reclassified as equity (Note 9)</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(336,254)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 as of December 31, 2015</w:t>
            </w: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CELSION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Celsion maintains a defined-contribution plan under Section 401(k) of the Internal Revenue Code. The plan covers substantially all employees over the age of</w:t>
      </w:r>
    </w:p>
    <w:p>
      <w:pPr>
        <w:spacing w:after="0" w:line="46" w:lineRule="exact"/>
        <w:rPr>
          <w:sz w:val="20"/>
          <w:szCs w:val="20"/>
          <w:color w:val="auto"/>
        </w:rPr>
      </w:pPr>
    </w:p>
    <w:p>
      <w:pPr>
        <w:jc w:val="both"/>
        <w:ind w:firstLine="8"/>
        <w:spacing w:after="0" w:line="254" w:lineRule="auto"/>
        <w:tabs>
          <w:tab w:leader="none" w:pos="274"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Participating employees may defer a portion of their pretax earnings, up to the IRS annual contribution limit. Commencing in the fourth quarter for 2008, the Company began making a matching contribution up to a maximum of 3% of an employee’s annual salary and the Company’s total contribution for the years ended December 31, 2015, 2014 and 2013 was $80,408, $56,875 and $57,239 respectively. The Company’s contribution was made in the form of our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LICENSES OF INTELLECTUAL PROPERTY AND PATENTS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10, 1999, the Company entered into a license agreement with Duke University under which the Company received worldwide exclusive rights (subject to certain exceptions) to commercialize and use Duke’s thermally sensitive liposome technology. The license agreement contains annual royalty and minimum payment provisions due on net sales. The agreement also required milestone-based royalty payments measured by various events, including product development stages, FDA applications and approvals, foreign marketing approvals and achievement of significant sales. However, in lieu of such milestone-based cash payments, Duke agreed to accept shares of the Company’s Common Stock to be issued in installments at the time each milestone payment is due, with each installment of shares to be calculated at the average closing price of the Common Stock during the 20 trading days prior to issuance.</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total number of shares issuable to Duke under these provisions is subject to adjustment in certain cases, and Duke has piggyback registration rights for public offerings taking place more than one year after the effective date of the license agreement. On January 31, 2003, the Company issued 253,691 shares of Common Stock to Duke University valued at $2.2 million as payment for milestone based royalties under this license agreement. An amendment to the Duke license agreement contains certain development and regulatory milestones, and other performance requirements that the Company has met with respect to the use of the licensed technologies. The Company will be obligated to make royalty payments based on sales to Duke upon commercialization, until the last of the Duke patents expire.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2015, 2014 and 2013, the Company has not incurred any expense under this agreement and will not incur any future liabilities until commercial sales commence.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November 1999 license agreement with Duke, the Company has rights to the thermally sensitive liposome technology, including Duke’s US patents covering the technology as well as all foreign counter parts and related pending applications. Foreign counterpart applications have been issued in Europe, Hong Kong, Australia and Canada and have been allowed in Japan. The Japanese allowed application is expected to issue without hindrance in March of 2011. The European patent has been validated in Austria, Belgium, France, Germany, Great Britain, Italy, Luxembourg, Monaco, Spain and Switzerland. In addition, the Duke license agreement provides the Company with rights to multiple issued and pending US patents related to the formulation, method of making and use of heat sensitive liposomes. The Company’s rights under the license agreement with Duke University extend for the life of the last-to-expire of the licensed patents.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The Company has licensed from Valentis, CA certain global rights covering the use of pegylation for temperature sensitive liposomes.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rights available to the Company under completed or pending license agreements, the Company is actively pursuing patent protection for technologies developed by the Company. Among these patents is a family of pending US and international patent applications which seek to protect the Company’s proprietary method of storing ThermoDox® which is critical for worldwide distribution channels.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ThermoDox® is a registered trademark in the United States, Argentina, Australia, Canada, China, Columbia, the European Communities: (Austria, Belgium, Bulgaria, Cyprus, Czech Republic, Denmark, Estonia, Finland, France, Germany, Greece, Hungary, Ireland, Italy, Korea, Latvia, Lithuania, Luxembourg, Malta, Netherlands, Poland, Portugal, Romania, Slovakia, Slovenia, Spain, Sweden, UK), Hong Kong, Israel, Japan, New Zealand, Peru, Philippines, Russia, Singapore, South Korea and Taiwan. The Company has registered transliterations of ThermoDox® in China, Hong Kong, Japan, Singapore, South Korea and Taiwan. The Company has an additional 14 trademark protection applications pending for ThermoDox® in countries world-wide.</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Finally, through proprietary information agreements with employees, consultants and others, the Company seeks to protect its own proprietary know-how and trade secrets. The Company cannot offer assurances that these confidentiality agreements will not be breached, that the Company will have adequate remedies for any breach, or that these agreements, even if fully enforced, will be adequate to prevent third-party use of the Company’s proprietary technology. Similarly, the Company cannot guarantee that technology rights licensed to it by others will not be successfully challenged or circumvented by third parties, or that the rights granted will provide the Company with adequate protection.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TECHNOLOGY DEVELOPMENT AND LICENSING AGREEMENTS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7, 2012 the Company entered into a long term commercial supply agreement with Zhejiang Hisun Pharmaceutical Co. Ltd. (Hisun) for the production of ThermoDox®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 manufacture of ThermoDox®. Celsion will repay Hisun for the aggregate amount of these development costs and fees commencing on the successful completion of three registration batches of ThermoDox®. Hisun is also obligated to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Celsion around the regulatory approval activities for ThermoDox® with the China State Food and Drug Administration (CHINA FDA). During the first quarter of 2015, Hisun completed the successful manufacture of three registration batches of ThermoDox® and the Company accrued $685,787 for the aggregate development costs and fees associated with these batches in March 2015. This amount was paid in April 2015.</w:t>
      </w:r>
    </w:p>
    <w:p>
      <w:pPr>
        <w:spacing w:after="0" w:line="183"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On January 18, 2013, we entered into a technology development contract with Hisun, pursuant to which Hisun paid us a non-refundable research and development fee of $5 million to support our development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 which include the sub-group analysis of patients in the Phase III HEAT Study for the hepatocellular carcinoma clinical indication and other activities to further the development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Greater China market. The $5.0 million received as a non-refundable payment from Hisun in the first quarter 2013 has been recorded to deferred revenue and will continue to be amortized over the 10 year term of the agreement, until such time as the parties find a mutually acceptable path forward on the development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based on findings of the ongoing post-study analysis of the HEAT Study data.</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7" w:name="page98"/>
    <w:bookmarkEnd w:id="97"/>
    <w:p>
      <w:pPr>
        <w:jc w:val="both"/>
        <w:ind w:right="40"/>
        <w:spacing w:after="0" w:line="259"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collaborations for the continued clinical development of ThermoDox® as well as the technology transfer relating to the commercial manufacture of ThermoDox® for the China territory. This expanded collaboration includes development of the next generation liposomal formulation with the goal of creating safer, more efficacious versions of marketed cancer chemotherapeutics.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5" w:lineRule="exact"/>
        <w:rPr>
          <w:sz w:val="20"/>
          <w:szCs w:val="20"/>
          <w:color w:val="auto"/>
        </w:rPr>
      </w:pPr>
    </w:p>
    <w:p>
      <w:pPr>
        <w:ind w:left="700" w:right="1460" w:hanging="395"/>
        <w:spacing w:after="0" w:line="277" w:lineRule="auto"/>
        <w:tabs>
          <w:tab w:leader="none" w:pos="700"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non-dilutive financing and the investment necessary to complete the technology transfer of its proprietary manufacturing process and the production of registration batches for the China territory;</w:t>
      </w:r>
    </w:p>
    <w:p>
      <w:pPr>
        <w:spacing w:after="0" w:line="170" w:lineRule="exact"/>
        <w:rPr>
          <w:rFonts w:ascii="Arial" w:cs="Arial" w:eastAsia="Arial" w:hAnsi="Arial"/>
          <w:sz w:val="18"/>
          <w:szCs w:val="18"/>
          <w:b w:val="1"/>
          <w:bCs w:val="1"/>
          <w:color w:val="auto"/>
        </w:rPr>
      </w:pPr>
    </w:p>
    <w:p>
      <w:pPr>
        <w:ind w:left="700" w:right="1460" w:hanging="395"/>
        <w:spacing w:after="0" w:line="277" w:lineRule="auto"/>
        <w:tabs>
          <w:tab w:leader="none" w:pos="700"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Hisun will collaborate with the Company around the clinical and regulatory approval activities for ThermoDox® as well as other liposomal formations with the CHINA FDA; and</w:t>
      </w:r>
    </w:p>
    <w:p>
      <w:pPr>
        <w:spacing w:after="0" w:line="170" w:lineRule="exact"/>
        <w:rPr>
          <w:rFonts w:ascii="Arial" w:cs="Arial" w:eastAsia="Arial" w:hAnsi="Arial"/>
          <w:sz w:val="18"/>
          <w:szCs w:val="18"/>
          <w:b w:val="1"/>
          <w:bCs w:val="1"/>
          <w:color w:val="auto"/>
        </w:rPr>
      </w:pPr>
    </w:p>
    <w:p>
      <w:pPr>
        <w:ind w:left="700" w:right="1460" w:hanging="395"/>
        <w:spacing w:after="0" w:line="277" w:lineRule="auto"/>
        <w:tabs>
          <w:tab w:leader="none" w:pos="700"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Hisun will be granted a right of first offer for a commercial license to ThermoDox® for the sale and distribution of ThermoDox® in the China territory.</w:t>
      </w:r>
    </w:p>
    <w:p>
      <w:pPr>
        <w:spacing w:after="0" w:line="166" w:lineRule="exact"/>
        <w:rPr>
          <w:rFonts w:ascii="Arial" w:cs="Arial" w:eastAsia="Arial" w:hAnsi="Arial"/>
          <w:sz w:val="18"/>
          <w:szCs w:val="18"/>
          <w:b w:val="1"/>
          <w:bCs w:val="1"/>
          <w:color w:val="auto"/>
        </w:rPr>
      </w:pPr>
    </w:p>
    <w:p>
      <w:pPr>
        <w:ind w:left="280" w:hanging="272"/>
        <w:spacing w:after="0"/>
        <w:tabs>
          <w:tab w:leader="none" w:pos="2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LIABILITIES AND COMMITMENTS</w:t>
      </w:r>
    </w:p>
    <w:p>
      <w:pPr>
        <w:spacing w:after="0" w:line="229"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In July 2011, the Company executed a lease (the “Lease”) with Brandywine Operating Partnership, L.P. (Brandywine), a Delaware limited partnership for a 10,870 square foot premises located in Lawrenceville, New Jersey. In October 2011, the Company relocated its offices to Lawrenceville, New Jersey from Columbia, Maryland. The lease has a term of 66 months and provides for 6 months of rent free, with the first monthly rent payment of approximately $23,000 due and paid in April 2012. Also, as required by the Lease, the Company provided Brandywine with an irrevocable and unconditional standby letter of credit for $250,000, which the Company secured with an escrow deposit at its banking institution of this same amount. The standby letter of credit will be reduced by $50,000 on each of the 19th, 31st and 43rd months from the initial term, with the remaining $100,000 amount remaining until the Lease Term has expired. In connection with three $50,000 reductions of the standby letter of credit in April 2013 and 2014 and 2015, the Company reduced the escrow deposit by $50,000 each time.</w:t>
      </w:r>
    </w:p>
    <w:p>
      <w:pPr>
        <w:spacing w:after="0" w:line="192"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In connection with the EGEN Asset Purchase agreement in June 2014, the Company assumed the existing lease with another landlord for an 11,500 square foot premises located in Huntsville Alabama. This lease has a remaining term of 25 months with rent payments of approximately $23,200 per month.</w:t>
      </w:r>
    </w:p>
    <w:p>
      <w:pPr>
        <w:spacing w:after="0" w:line="124"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The Company paid $570,078, $425,443 and $184,790 in connection with these leases in 2015, 2014 and 2013, respectively. Following is a summary of the future minimum payments required under leases that have initial or remaining lease terms of one year or more as of December 31, 2015: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Operating</w:t>
            </w:r>
          </w:p>
        </w:tc>
        <w:tc>
          <w:tcPr>
            <w:tcW w:w="118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r>
              <w:rPr>
                <w:rFonts w:ascii="Arial" w:cs="Arial" w:eastAsia="Arial" w:hAnsi="Arial"/>
                <w:sz w:val="18"/>
                <w:szCs w:val="18"/>
                <w:color w:val="auto"/>
              </w:rPr>
              <w:t>For the year ending December 31:</w:t>
            </w:r>
          </w:p>
        </w:tc>
        <w:tc>
          <w:tcPr>
            <w:tcW w:w="4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1"/>
              </w:rPr>
              <w:t>Leases</w:t>
            </w:r>
          </w:p>
        </w:tc>
        <w:tc>
          <w:tcPr>
            <w:tcW w:w="1180" w:type="dxa"/>
            <w:vAlign w:val="bottom"/>
          </w:tcPr>
          <w:p>
            <w:pPr>
              <w:spacing w:after="0"/>
              <w:rPr>
                <w:sz w:val="20"/>
                <w:szCs w:val="20"/>
                <w:color w:val="auto"/>
              </w:rPr>
            </w:pPr>
          </w:p>
        </w:tc>
      </w:tr>
      <w:tr>
        <w:trPr>
          <w:trHeight w:val="21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2016</w:t>
            </w:r>
          </w:p>
        </w:tc>
        <w:tc>
          <w:tcPr>
            <w:tcW w:w="46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575,513</w:t>
            </w:r>
          </w:p>
        </w:tc>
        <w:tc>
          <w:tcPr>
            <w:tcW w:w="1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2017</w:t>
            </w:r>
          </w:p>
        </w:tc>
        <w:tc>
          <w:tcPr>
            <w:tcW w:w="4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378,042</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4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w:t>
            </w:r>
          </w:p>
        </w:tc>
        <w:tc>
          <w:tcPr>
            <w:tcW w:w="1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2019 and beyond</w:t>
            </w:r>
          </w:p>
        </w:tc>
        <w:tc>
          <w:tcPr>
            <w:tcW w:w="4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7"/>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8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976,755</w:t>
            </w:r>
          </w:p>
        </w:tc>
        <w:tc>
          <w:tcPr>
            <w:tcW w:w="100" w:type="dxa"/>
            <w:vAlign w:val="bottom"/>
            <w:shd w:val="clear" w:color="auto" w:fill="CCEEFF"/>
          </w:tcPr>
          <w:p>
            <w:pPr>
              <w:spacing w:after="0"/>
              <w:rPr>
                <w:sz w:val="20"/>
                <w:szCs w:val="20"/>
                <w:color w:val="auto"/>
              </w:rPr>
            </w:pPr>
          </w:p>
        </w:tc>
        <w:tc>
          <w:tcPr>
            <w:tcW w:w="1180" w:type="dxa"/>
            <w:vAlign w:val="bottom"/>
          </w:tcPr>
          <w:p>
            <w:pPr>
              <w:spacing w:after="0"/>
              <w:rPr>
                <w:sz w:val="20"/>
                <w:szCs w:val="20"/>
                <w:color w:val="auto"/>
              </w:rPr>
            </w:pPr>
          </w:p>
        </w:tc>
      </w:tr>
      <w:tr>
        <w:trPr>
          <w:trHeight w:val="669"/>
        </w:trPr>
        <w:tc>
          <w:tcPr>
            <w:tcW w:w="4000" w:type="dxa"/>
            <w:vAlign w:val="bottom"/>
            <w:tcBorders>
              <w:top w:val="single" w:sz="8" w:color="CCEEFF"/>
            </w:tcBorders>
          </w:tcPr>
          <w:p>
            <w:pPr>
              <w:spacing w:after="0"/>
              <w:rPr>
                <w:sz w:val="24"/>
                <w:szCs w:val="24"/>
                <w:color w:val="auto"/>
              </w:rPr>
            </w:pPr>
          </w:p>
        </w:tc>
        <w:tc>
          <w:tcPr>
            <w:tcW w:w="4640" w:type="dxa"/>
            <w:vAlign w:val="bottom"/>
            <w:tcBorders>
              <w:top w:val="single" w:sz="8" w:color="CCEEFF"/>
            </w:tcBorders>
          </w:tcPr>
          <w:p>
            <w:pPr>
              <w:ind w:left="1540"/>
              <w:spacing w:after="0"/>
              <w:rPr>
                <w:sz w:val="20"/>
                <w:szCs w:val="20"/>
                <w:color w:val="auto"/>
              </w:rPr>
            </w:pPr>
            <w:r>
              <w:rPr>
                <w:rFonts w:ascii="Arial" w:cs="Arial" w:eastAsia="Arial" w:hAnsi="Arial"/>
                <w:sz w:val="18"/>
                <w:szCs w:val="18"/>
                <w:color w:val="auto"/>
              </w:rPr>
              <w:t>F-34</w:t>
            </w:r>
          </w:p>
        </w:tc>
        <w:tc>
          <w:tcPr>
            <w:tcW w:w="2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400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4000" w:type="dxa"/>
            <w:vAlign w:val="bottom"/>
            <w:shd w:val="clear" w:color="auto" w:fill="808080"/>
          </w:tcPr>
          <w:p>
            <w:pPr>
              <w:spacing w:after="0"/>
              <w:rPr>
                <w:sz w:val="5"/>
                <w:szCs w:val="5"/>
                <w:color w:val="auto"/>
              </w:rPr>
            </w:pPr>
          </w:p>
        </w:tc>
        <w:tc>
          <w:tcPr>
            <w:tcW w:w="46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18. SELECTED QUARTERLY FINANCIAL DATA (Unaudited)</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Quarters Ended</w:t>
            </w: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March 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June 30</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September 30</w:t>
            </w: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Total revenue</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(5,675)</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(0.27)</w:t>
            </w:r>
          </w:p>
        </w:tc>
        <w:tc>
          <w:tcPr>
            <w:tcW w:w="5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56"/>
        </w:trPr>
        <w:tc>
          <w:tcPr>
            <w:tcW w:w="20" w:type="dxa"/>
            <w:vAlign w:val="bottom"/>
            <w:vMerge w:val="restart"/>
          </w:tcPr>
          <w:p>
            <w:pPr>
              <w:spacing w:after="0"/>
              <w:rPr>
                <w:sz w:val="22"/>
                <w:szCs w:val="22"/>
                <w:color w:val="auto"/>
              </w:rPr>
            </w:pPr>
          </w:p>
        </w:tc>
        <w:tc>
          <w:tcPr>
            <w:tcW w:w="5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Total revenue</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(6,673)</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(0.33)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(0.38)</w:t>
            </w:r>
          </w:p>
        </w:tc>
        <w:tc>
          <w:tcPr>
            <w:tcW w:w="5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(0.35)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F-35</w:t>
      </w:r>
    </w:p>
    <w:p>
      <w:pPr>
        <w:sectPr>
          <w:pgSz w:w="11900" w:h="16838" w:orient="portrait"/>
          <w:cols w:equalWidth="0" w:num="1">
            <w:col w:w="11420"/>
          </w:cols>
          <w:pgMar w:left="240" w:top="5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EMPLOYMENT AGREEMENT</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 xml:space="preserve">This AMENDED AND RESTATED </w:t>
      </w:r>
      <w:r>
        <w:rPr>
          <w:rFonts w:ascii="Arial" w:cs="Arial" w:eastAsia="Arial" w:hAnsi="Arial"/>
          <w:sz w:val="16"/>
          <w:szCs w:val="16"/>
          <w:b w:val="1"/>
          <w:bCs w:val="1"/>
          <w:color w:val="auto"/>
        </w:rPr>
        <w:t>EMPLOYMENT AGREEMENT</w:t>
      </w:r>
      <w:r>
        <w:rPr>
          <w:rFonts w:ascii="Arial" w:cs="Arial" w:eastAsia="Arial" w:hAnsi="Arial"/>
          <w:sz w:val="16"/>
          <w:szCs w:val="16"/>
          <w:color w:val="auto"/>
        </w:rPr>
        <w:t xml:space="preserve"> (the “Agreement”) is made and entered into effective as of the 30th day of March 2016, by and between Celsion Corporation, a Delaware corporation (the “Company”), and Michael H. Tardugno</w:t>
      </w:r>
      <w:r>
        <w:rPr>
          <w:rFonts w:ascii="Arial" w:cs="Arial" w:eastAsia="Arial" w:hAnsi="Arial"/>
          <w:sz w:val="16"/>
          <w:szCs w:val="16"/>
          <w:b w:val="1"/>
          <w:bCs w:val="1"/>
          <w:color w:val="auto"/>
        </w:rPr>
        <w:t>,</w:t>
      </w:r>
      <w:r>
        <w:rPr>
          <w:rFonts w:ascii="Arial" w:cs="Arial" w:eastAsia="Arial" w:hAnsi="Arial"/>
          <w:sz w:val="16"/>
          <w:szCs w:val="16"/>
          <w:color w:val="auto"/>
        </w:rPr>
        <w:t xml:space="preserve"> an individual (the “Executive”), and amends the employment agreement (the “Existing Agreement”) between the Company and the Executive dated December 5, 2014 (the “ Effective Date”).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signatory hereto desire to amend and restate the Existing Agreement in its entirety as set forth in this Agreement;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desires to retain the Executive to continue to serve in the capacities of Chairman, President and Chief Executive Officer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on the terms and conditions set forth in this Agreement;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desires to continue employment in such capacities on such terms and conditions.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mutual covenants and agreements herein contained,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by the parties hereto, such parties, intending to be legally bound, agree as follows:</w:t>
      </w:r>
    </w:p>
    <w:p>
      <w:pPr>
        <w:spacing w:after="0" w:line="180" w:lineRule="exact"/>
        <w:rPr>
          <w:sz w:val="20"/>
          <w:szCs w:val="20"/>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Employment Duties and Acceptance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hanging="4"/>
        <w:spacing w:after="0" w:line="255" w:lineRule="auto"/>
        <w:tabs>
          <w:tab w:leader="none" w:pos="905"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 accordance with the terms of this Agreement, the Company hereby employs the Executive, for the Term (as hereinafter defined), to render full-time services to the Company as Chairman, President and Chief Executive Officer and to perform the customary duties and bear the customary responsibilities of such positions and such other duties and responsibilities, commensurate with such positions, as the Executive shall be directed from time to time by the Board (the “Board”) of the Company to perform or bear, which duties and responsibilities shall be consistent with the provisions of the Bylaws of the Company in effect on the date hereof that relate to or bear upon the duties of the Chairman, President and Chief Executive Officer, all in accordance with the terms of this Agreement.</w:t>
      </w:r>
    </w:p>
    <w:p>
      <w:pPr>
        <w:spacing w:after="0" w:line="193" w:lineRule="exact"/>
        <w:rPr>
          <w:rFonts w:ascii="Arial" w:cs="Arial" w:eastAsia="Arial" w:hAnsi="Arial"/>
          <w:sz w:val="18"/>
          <w:szCs w:val="18"/>
          <w:color w:val="auto"/>
        </w:rPr>
      </w:pPr>
    </w:p>
    <w:p>
      <w:pPr>
        <w:ind w:left="660" w:hanging="4"/>
        <w:spacing w:after="0" w:line="277" w:lineRule="auto"/>
        <w:tabs>
          <w:tab w:leader="none" w:pos="92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As of the Effective Date, the Executive hereby accepts such employment and agrees to render the services described above, in accordance with the terms of this Agreement.</w:t>
      </w:r>
    </w:p>
    <w:p>
      <w:pPr>
        <w:spacing w:after="0" w:line="170" w:lineRule="exact"/>
        <w:rPr>
          <w:rFonts w:ascii="Arial" w:cs="Arial" w:eastAsia="Arial" w:hAnsi="Arial"/>
          <w:sz w:val="18"/>
          <w:szCs w:val="18"/>
          <w:color w:val="auto"/>
        </w:rPr>
      </w:pPr>
    </w:p>
    <w:p>
      <w:pPr>
        <w:jc w:val="both"/>
        <w:ind w:left="660" w:hanging="4"/>
        <w:spacing w:after="0" w:line="257" w:lineRule="auto"/>
        <w:tabs>
          <w:tab w:leader="none" w:pos="933"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Executive further agrees to accept election and to serve during all or any part of the Term as a director of the Company without any compensation therefor other than that specified in this Agreement, if elected to such position by the Board or the stockholders of the Company. At all times during the Term, the Company shall include the Executive in the management slate for election as a director at every stockholders’ meeting at which his term as a director would otherwise expire. At the request of the Board, following termination or expiration of this Agreement, the Executive promptly shall tender his resignation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26757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ind w:left="328" w:hanging="4"/>
        <w:spacing w:after="0" w:line="277" w:lineRule="auto"/>
        <w:tabs>
          <w:tab w:leader="none" w:pos="598"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principal place of employment of the Executive hereunder shall at all times during the Term be in the Lawrenceville, New Jersey area or such other location(s) as may be mutually acceptable to the Executive and the Board.</w:t>
      </w:r>
    </w:p>
    <w:p>
      <w:pPr>
        <w:spacing w:after="0" w:line="170" w:lineRule="exact"/>
        <w:rPr>
          <w:rFonts w:ascii="Arial" w:cs="Arial" w:eastAsia="Arial" w:hAnsi="Arial"/>
          <w:sz w:val="18"/>
          <w:szCs w:val="18"/>
          <w:color w:val="auto"/>
        </w:rPr>
      </w:pPr>
    </w:p>
    <w:p>
      <w:pPr>
        <w:jc w:val="both"/>
        <w:ind w:left="328" w:hanging="4"/>
        <w:spacing w:after="0" w:line="279" w:lineRule="auto"/>
        <w:tabs>
          <w:tab w:leader="none" w:pos="581"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although the Executive shall provide services as a full-time employee, it is understood that the Executive, with prior notification to the Board, may (1) participate in professional activities; (2) publish academic articles; (3) support non-competing external research programs; and (4) participate in community and/or philanthropic activities (collectively, “Permitted Activities”),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Permitted Activities do not interfere with the Executive’s duties or services to the Company.</w:t>
      </w:r>
    </w:p>
    <w:p>
      <w:pPr>
        <w:spacing w:after="0" w:line="171" w:lineRule="exact"/>
        <w:rPr>
          <w:rFonts w:ascii="Arial" w:cs="Arial" w:eastAsia="Arial" w:hAnsi="Arial"/>
          <w:sz w:val="17"/>
          <w:szCs w:val="17"/>
          <w:color w:val="auto"/>
        </w:rPr>
      </w:pPr>
    </w:p>
    <w:p>
      <w:pPr>
        <w:ind w:left="288" w:hanging="288"/>
        <w:spacing w:after="0"/>
        <w:tabs>
          <w:tab w:leader="none" w:pos="28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Term of Employment</w:t>
      </w:r>
      <w:r>
        <w:rPr>
          <w:rFonts w:ascii="Arial" w:cs="Arial" w:eastAsia="Arial" w:hAnsi="Arial"/>
          <w:sz w:val="18"/>
          <w:szCs w:val="18"/>
          <w:color w:val="auto"/>
        </w:rPr>
        <w:t>.</w:t>
      </w:r>
    </w:p>
    <w:p>
      <w:pPr>
        <w:spacing w:after="0" w:line="225" w:lineRule="exact"/>
        <w:rPr>
          <w:sz w:val="20"/>
          <w:szCs w:val="20"/>
          <w:color w:val="auto"/>
        </w:rPr>
      </w:pPr>
    </w:p>
    <w:p>
      <w:pPr>
        <w:jc w:val="both"/>
        <w:ind w:left="328"/>
        <w:spacing w:after="0" w:line="288" w:lineRule="auto"/>
        <w:rPr>
          <w:sz w:val="20"/>
          <w:szCs w:val="20"/>
          <w:color w:val="auto"/>
        </w:rPr>
      </w:pPr>
      <w:r>
        <w:rPr>
          <w:rFonts w:ascii="Arial" w:cs="Arial" w:eastAsia="Arial" w:hAnsi="Arial"/>
          <w:sz w:val="16"/>
          <w:szCs w:val="16"/>
          <w:color w:val="auto"/>
        </w:rPr>
        <w:t>The initial term of the Executive’s employment under this Agreement (the “Term”) commenced on the Effective Date and shall end on the January 31, 2018, unless sooner terminated by the Company or the Executive pursuant to Section 6, 7 or 8 of this Agreement, as the case may be, or voluntarily by the Executive. Notwithstanding the foregoing, unless notice is given by the Executive or the Company to the other at least three</w:t>
      </w:r>
    </w:p>
    <w:p>
      <w:pPr>
        <w:jc w:val="both"/>
        <w:ind w:left="328" w:hanging="4"/>
        <w:spacing w:after="0" w:line="273" w:lineRule="auto"/>
        <w:tabs>
          <w:tab w:leader="none" w:pos="589" w:val="left"/>
        </w:tabs>
        <w:numPr>
          <w:ilvl w:val="1"/>
          <w:numId w:val="35"/>
        </w:numPr>
        <w:rPr>
          <w:rFonts w:ascii="Arial" w:cs="Arial" w:eastAsia="Arial" w:hAnsi="Arial"/>
          <w:sz w:val="17"/>
          <w:szCs w:val="17"/>
          <w:color w:val="auto"/>
        </w:rPr>
      </w:pPr>
      <w:r>
        <w:rPr>
          <w:rFonts w:ascii="Arial" w:cs="Arial" w:eastAsia="Arial" w:hAnsi="Arial"/>
          <w:sz w:val="17"/>
          <w:szCs w:val="17"/>
          <w:color w:val="auto"/>
        </w:rPr>
        <w:t>months prior to the expiration of the Term of this Agreement (including at least three (3) months prior to the expiration of any extension hereof, as provided below), the Term automatically shall be extended by one (1) year from the date it would otherwise end (whether upon expiration of the initial Term or any extension(s) thereof), unless sooner terminated pursuant to Section 6, 7 or 8 hereof or voluntarily by the Executive. In the event of such an automatic extension, the term “Term,” as used herein, shall include each and any such extension.</w:t>
      </w:r>
    </w:p>
    <w:p>
      <w:pPr>
        <w:spacing w:after="0" w:line="176" w:lineRule="exact"/>
        <w:rPr>
          <w:rFonts w:ascii="Arial" w:cs="Arial" w:eastAsia="Arial" w:hAnsi="Arial"/>
          <w:sz w:val="17"/>
          <w:szCs w:val="17"/>
          <w:color w:val="auto"/>
        </w:rPr>
      </w:pPr>
    </w:p>
    <w:p>
      <w:pPr>
        <w:ind w:left="288" w:hanging="288"/>
        <w:spacing w:after="0"/>
        <w:tabs>
          <w:tab w:leader="none" w:pos="28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225" w:lineRule="exact"/>
        <w:rPr>
          <w:sz w:val="20"/>
          <w:szCs w:val="20"/>
          <w:color w:val="auto"/>
        </w:rPr>
      </w:pPr>
    </w:p>
    <w:p>
      <w:pPr>
        <w:jc w:val="both"/>
        <w:ind w:left="328" w:hanging="4"/>
        <w:spacing w:after="0" w:line="255" w:lineRule="auto"/>
        <w:tabs>
          <w:tab w:leader="none" w:pos="5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compensation for the services rendered or to be rendered pursuant to this Agreement, the Company has paid the Executive, during the period from the Effective Date through and including December 31, 2014, an annual base salary in the amount of $465,462 (the “Base Salary”). The Executive’s Base Salary hereunder shall be reviewed at least annually during the Term of the Agreement for adjustment upward (but not downward) in the discretion of the Board or the Compensation Committee of the Board. The Executive’s Base Salary, as so adjusted, shall be considered the new Base Salary for all purposes of this Agreement. The Base Salary shall be paid in accordance with the Company’s standard payroll practices applicable to its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489585</wp:posOffset>
            </wp:positionV>
            <wp:extent cx="726757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101" w:name="page102"/>
    <w:bookmarkEnd w:id="101"/>
    <w:p>
      <w:pPr>
        <w:jc w:val="both"/>
        <w:ind w:left="4" w:hanging="4"/>
        <w:spacing w:after="0" w:line="290" w:lineRule="auto"/>
        <w:tabs>
          <w:tab w:leader="none" w:pos="265"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The Company agrees that the Executive shall be eligible for an annual performance bonus from the Company with respect to each fiscal year of the Company that ends during the Term, pursuant to the Company’s management incentive bonus program, or policy or practice of the Board or Compensation Committee, in effect from time to time. The amount of any such performance bonus shall be determined by the Board or the Compensation Committee of the Board in its sole and absolute discretion, consistent with the Company’s performance, the Executive’s contribution to the Company’s performance and the provisions of any such applicable incentive bonus program, policy or practice;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annual performance bonus shall not exceed one hundred percent (100%) of the Base Salary for the fiscal year to which the bonus applies except pursuant to a specific finding by the Board or the Compensation Committee of the Board that a higher percentage is appropriate. Any such annual performance bonus shall be paid not later than two and one-half months after the end of the fiscal year to which the bonus relates.</w:t>
      </w:r>
    </w:p>
    <w:p>
      <w:pPr>
        <w:spacing w:after="0" w:line="166" w:lineRule="exact"/>
        <w:rPr>
          <w:rFonts w:ascii="Arial" w:cs="Arial" w:eastAsia="Arial" w:hAnsi="Arial"/>
          <w:sz w:val="16"/>
          <w:szCs w:val="16"/>
          <w:color w:val="auto"/>
        </w:rPr>
      </w:pPr>
    </w:p>
    <w:p>
      <w:pPr>
        <w:jc w:val="both"/>
        <w:ind w:left="4" w:hanging="4"/>
        <w:spacing w:after="0" w:line="271" w:lineRule="auto"/>
        <w:tabs>
          <w:tab w:leader="none" w:pos="257"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Company agrees to grant to the Executive, during the Term, at the time of its usual annual grant to employees for the applicable year, such options and/or other equity awards with respect to shares of the Company’s common stock as the Board or the Compensation Committee of the Board shall determine. In the event of a Change in Control (as defined in Section 12) of the Company, all such options and other equity awards granted by the Company to the Executive prior to such event, shall immediately vest and, in the case of options and similar awards, become and remain fully exercisable through their respective original maximum terms (provided that, after giving effect to such accelerated vesting and providing the Executive a reasonable opportunity to exercise such vested options and similar awards, such options and awards shall be subject to earlier termination in connection with a change in control of the Company and similar events as provided in the applicable plan and/or award agreement) and otherwise in accordance with their respective terms and conditions.</w:t>
      </w:r>
    </w:p>
    <w:p>
      <w:pPr>
        <w:spacing w:after="0" w:line="178" w:lineRule="exact"/>
        <w:rPr>
          <w:rFonts w:ascii="Arial" w:cs="Arial" w:eastAsia="Arial" w:hAnsi="Arial"/>
          <w:sz w:val="17"/>
          <w:szCs w:val="17"/>
          <w:color w:val="auto"/>
        </w:rPr>
      </w:pPr>
    </w:p>
    <w:p>
      <w:pPr>
        <w:jc w:val="both"/>
        <w:ind w:left="4" w:hanging="4"/>
        <w:spacing w:after="0" w:line="272" w:lineRule="auto"/>
        <w:tabs>
          <w:tab w:leader="none" w:pos="263"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Company shall pay or reimburse the Executive for all reasonable expenses actually incurred or paid by the Executive during the Term in the performance of services under this Agreement, upon presentation of expense statements or vouchers or such other supporting information as may reasonably be required pursuant to the standard policies of the Company in effect from time to time. The Executive agrees to promptly submit and document any reimbursable expenses in accordance with the Company’s expense reimbursement policies to facilitate the timely reimbursement of such expenses. Additionally, the Executive shall receive a $12,000 annual allowance to be used at the Executive’s discretion. The allowance will be grossed up for tax purposes at the rate of 25%. Such allowance and related tax gross-up shall be paid not later than two and one-half months after the end of the year to which the allowance relates.</w:t>
      </w:r>
    </w:p>
    <w:p>
      <w:pPr>
        <w:spacing w:after="0" w:line="177" w:lineRule="exact"/>
        <w:rPr>
          <w:rFonts w:ascii="Arial" w:cs="Arial" w:eastAsia="Arial" w:hAnsi="Arial"/>
          <w:sz w:val="17"/>
          <w:szCs w:val="17"/>
          <w:color w:val="auto"/>
        </w:rPr>
      </w:pPr>
    </w:p>
    <w:p>
      <w:pPr>
        <w:ind w:left="4" w:hanging="4"/>
        <w:spacing w:after="0" w:line="277" w:lineRule="auto"/>
        <w:tabs>
          <w:tab w:leader="none" w:pos="263"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the Term, the Company shall, at its election, reimburse the Executive for term life insurance at a level equal to one (1) times his Base Salary, or provide coverage for the Executive at such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475615</wp:posOffset>
            </wp:positionV>
            <wp:extent cx="726757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102" w:name="page103"/>
    <w:bookmarkEnd w:id="102"/>
    <w:p>
      <w:pPr>
        <w:jc w:val="both"/>
        <w:ind w:left="328" w:hanging="4"/>
        <w:spacing w:after="0" w:line="259" w:lineRule="auto"/>
        <w:tabs>
          <w:tab w:leader="none" w:pos="57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During the Term, the Executive shall be eligible to participate in all qualified and non-qualified savings and retirement plans, and all other compensation and benefit plans and programs, including welfare and fringe benefit programs that are generally made available by the Company to other senior executives of the Company, in each case in accordance with the eligibility and participation provisions of such plans and programs and as such plans or programs may be in effect from time to time.</w:t>
      </w:r>
    </w:p>
    <w:p>
      <w:pPr>
        <w:spacing w:after="0" w:line="186" w:lineRule="exact"/>
        <w:rPr>
          <w:rFonts w:ascii="Arial" w:cs="Arial" w:eastAsia="Arial" w:hAnsi="Arial"/>
          <w:sz w:val="18"/>
          <w:szCs w:val="18"/>
          <w:color w:val="auto"/>
        </w:rPr>
      </w:pPr>
    </w:p>
    <w:p>
      <w:pPr>
        <w:jc w:val="both"/>
        <w:ind w:left="328" w:hanging="4"/>
        <w:spacing w:after="0" w:line="286" w:lineRule="auto"/>
        <w:tabs>
          <w:tab w:leader="none" w:pos="602" w:val="left"/>
        </w:tabs>
        <w:numPr>
          <w:ilvl w:val="1"/>
          <w:numId w:val="39"/>
        </w:numPr>
        <w:rPr>
          <w:rFonts w:ascii="Arial" w:cs="Arial" w:eastAsia="Arial" w:hAnsi="Arial"/>
          <w:sz w:val="17"/>
          <w:szCs w:val="17"/>
          <w:color w:val="auto"/>
        </w:rPr>
      </w:pPr>
      <w:r>
        <w:rPr>
          <w:rFonts w:ascii="Arial" w:cs="Arial" w:eastAsia="Arial" w:hAnsi="Arial"/>
          <w:sz w:val="17"/>
          <w:szCs w:val="17"/>
          <w:color w:val="auto"/>
        </w:rPr>
        <w:t>During the Term, the Executive shall be eligible for paid vacation of five (5) weeks per calendar year taken in accordance with the vacation policy of the Company. In the event that Executive does not utilize all of his vacation in any calendar year, he may carry forward up to five (5) weeks (twenty five (25) days) for up to one (1) calendar year. Unused vacation days shall not otherwise accumulate.</w:t>
      </w:r>
    </w:p>
    <w:p>
      <w:pPr>
        <w:spacing w:after="0" w:line="165" w:lineRule="exact"/>
        <w:rPr>
          <w:rFonts w:ascii="Arial" w:cs="Arial" w:eastAsia="Arial" w:hAnsi="Arial"/>
          <w:sz w:val="17"/>
          <w:szCs w:val="17"/>
          <w:color w:val="auto"/>
        </w:rPr>
      </w:pPr>
    </w:p>
    <w:p>
      <w:pPr>
        <w:ind w:left="288" w:hanging="288"/>
        <w:spacing w:after="0"/>
        <w:tabs>
          <w:tab w:leader="none" w:pos="288"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jc w:val="both"/>
        <w:ind w:left="328"/>
        <w:spacing w:after="0" w:line="255" w:lineRule="auto"/>
        <w:rPr>
          <w:sz w:val="20"/>
          <w:szCs w:val="20"/>
          <w:color w:val="auto"/>
        </w:rPr>
      </w:pPr>
      <w:r>
        <w:rPr>
          <w:rFonts w:ascii="Arial" w:cs="Arial" w:eastAsia="Arial" w:hAnsi="Arial"/>
          <w:sz w:val="18"/>
          <w:szCs w:val="18"/>
          <w:color w:val="auto"/>
        </w:rPr>
        <w:t>The Executive acknowledges and agrees that the “Employee Proprietary Information and Ownership of Inventions Agreement” annexed hereto as Exhibit A shall be deemed incorporated in and made a part of this Employment Agreement. Notwithstanding any other provision of this Agreement, the Executive shall continue to be bound by the terms of such Proprietary Information and Inventions Agreement for a period of five (5) years after the expiration or termination of this Agreement for any reason. The Executive and the Company agree that following expiration or termination of this Agreement for any reason the Proprietary Information and Inventions Agreement shall be applicable only to material, non-public, proprietary information of the Company.</w:t>
      </w:r>
    </w:p>
    <w:p>
      <w:pPr>
        <w:spacing w:after="0" w:line="193" w:lineRule="exact"/>
        <w:rPr>
          <w:sz w:val="20"/>
          <w:szCs w:val="20"/>
          <w:color w:val="auto"/>
        </w:rPr>
      </w:pPr>
    </w:p>
    <w:p>
      <w:pPr>
        <w:ind w:left="288" w:hanging="288"/>
        <w:spacing w:after="0"/>
        <w:tabs>
          <w:tab w:leader="none" w:pos="28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Non-Competition, Non-Solicitation and Non-Disparagement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8" w:hanging="4"/>
        <w:spacing w:after="0" w:line="255" w:lineRule="auto"/>
        <w:tabs>
          <w:tab w:leader="none" w:pos="583"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During the Term, the Executive shall not (1) provide any services, directly or indirectly, to any other business or commercial entity without the consent of the Board or (2) participate in the formation of any business or commercial entity without the consent of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nothing contained in this Section 5(a) shall be deemed to prohibit the Executive from acquiring, solely as an investment, shares of capital stock (or other interests) of any corporation (or other entity) not exceeding two percent (2%) of such corporation’s (or other entity’s) then-outstanding shares of capital stock (or other interests)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nothing contained herein shall be deemed to limit the Executive’s Permitted Activities pursuant to Section 1(e).</w:t>
      </w:r>
    </w:p>
    <w:p>
      <w:pPr>
        <w:spacing w:after="0" w:line="193" w:lineRule="exact"/>
        <w:rPr>
          <w:rFonts w:ascii="Arial" w:cs="Arial" w:eastAsia="Arial" w:hAnsi="Arial"/>
          <w:sz w:val="18"/>
          <w:szCs w:val="18"/>
          <w:color w:val="auto"/>
        </w:rPr>
      </w:pPr>
    </w:p>
    <w:p>
      <w:pPr>
        <w:jc w:val="both"/>
        <w:ind w:left="328" w:hanging="4"/>
        <w:spacing w:after="0" w:line="288" w:lineRule="auto"/>
        <w:tabs>
          <w:tab w:leader="none" w:pos="583" w:val="left"/>
        </w:tabs>
        <w:numPr>
          <w:ilvl w:val="1"/>
          <w:numId w:val="41"/>
        </w:numPr>
        <w:rPr>
          <w:rFonts w:ascii="Arial" w:cs="Arial" w:eastAsia="Arial" w:hAnsi="Arial"/>
          <w:sz w:val="16"/>
          <w:szCs w:val="16"/>
          <w:color w:val="auto"/>
        </w:rPr>
      </w:pPr>
      <w:r>
        <w:rPr>
          <w:rFonts w:ascii="Arial" w:cs="Arial" w:eastAsia="Arial" w:hAnsi="Arial"/>
          <w:sz w:val="16"/>
          <w:szCs w:val="16"/>
          <w:color w:val="auto"/>
        </w:rPr>
        <w:t>If this Agreement is terminated by the Company for Cause (as defined in Section 6(c)) or if the Executive terminates this Agreement other than in accordance with Section 7 or 8 hereof, or if the Executive is entitled to receive severance payments in connection with a termination of his employment in accordance with Section 9(c)(i) or 9(d)(i), then for a period of two (2) years following the date of termination the Executive shall not</w:t>
      </w:r>
    </w:p>
    <w:p>
      <w:pPr>
        <w:jc w:val="both"/>
        <w:ind w:left="328"/>
        <w:spacing w:after="0" w:line="268" w:lineRule="auto"/>
        <w:rPr>
          <w:rFonts w:ascii="Arial" w:cs="Arial" w:eastAsia="Arial" w:hAnsi="Arial"/>
          <w:sz w:val="16"/>
          <w:szCs w:val="16"/>
          <w:color w:val="auto"/>
        </w:rPr>
      </w:pPr>
      <w:r>
        <w:rPr>
          <w:rFonts w:ascii="Arial" w:cs="Arial" w:eastAsia="Arial" w:hAnsi="Arial"/>
          <w:sz w:val="17"/>
          <w:szCs w:val="17"/>
          <w:color w:val="auto"/>
        </w:rPr>
        <w:t>(1) provide any services, directly or indirectly, to any other business or commercial entity in the Company’s Field of Interest (as defined in Section 12), (2) solicit any customers or suppliers of the Company, (3) attempt to persuade or encourage customers or suppliers of the Company not to do business with the Company and/or to do business with a competitor of the Company, (4) participate in the formation of any business or commercial entity engaged primarily in the Company’s Field of Interest, or (5) directly or indirectly employ, or seek to employ or secure the services in any capacity of, any person employed at that time by the Company or any of its Affiliates, or otherwise encourage or entice any such person to leave such employment; provided, however, that nothing contained in this Section 5(b) shall be deemed to prohibit the Executive from acquiring, solely as an investment, shares of capital stock (or other interests) of any corporation (or other entity) in the Company’s Field of Interest not exceeding two percent (2%) of such corporation’s (or other entity’s) then outstanding shares of capital stock (or other interests) and, provided further, that nothing contained herein shall be deemed to limit Executive’s Permitted Activities pursuant to Section 1(e). This Section 5(b) shall be subject to written waivers, which may be obtained by the Executive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481330</wp:posOffset>
            </wp:positionV>
            <wp:extent cx="726757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103" w:name="page104"/>
    <w:bookmarkEnd w:id="103"/>
    <w:p>
      <w:pPr>
        <w:jc w:val="both"/>
        <w:ind w:left="4" w:hanging="4"/>
        <w:spacing w:after="0" w:line="264" w:lineRule="auto"/>
        <w:tabs>
          <w:tab w:leader="none" w:pos="271"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no time during the Term of this Agreement or thereafter will the Executive knowingly make any written or oral untrue statement or any statement that disparages the Company or its Affiliates or will the Company knowingly make any written or oral untrue statement or any statement that disparages the Executive.</w:t>
      </w:r>
    </w:p>
    <w:p>
      <w:pPr>
        <w:spacing w:after="0" w:line="181" w:lineRule="exact"/>
        <w:rPr>
          <w:rFonts w:ascii="Arial" w:cs="Arial" w:eastAsia="Arial" w:hAnsi="Arial"/>
          <w:sz w:val="18"/>
          <w:szCs w:val="18"/>
          <w:color w:val="auto"/>
        </w:rPr>
      </w:pPr>
    </w:p>
    <w:p>
      <w:pPr>
        <w:jc w:val="both"/>
        <w:ind w:left="4" w:hanging="4"/>
        <w:spacing w:after="0" w:line="259" w:lineRule="auto"/>
        <w:tabs>
          <w:tab w:leader="none" w:pos="269"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Executive commits a breach, or threatens to commit a breach, of any of the provisions of this Section 5 or Exhibit A, the Company shall have the right and remedy to have the provisions of this Agreement or Exhibit A, as the case may be, specifically enforced by any court having equity jurisdiction, it being acknowledged and agreed that any such breach or threatened breach will cause irreparable injury to the Company and that money damages will not provide an adequate remedy to the Company.</w:t>
      </w:r>
    </w:p>
    <w:p>
      <w:pPr>
        <w:spacing w:after="0" w:line="186" w:lineRule="exact"/>
        <w:rPr>
          <w:rFonts w:ascii="Arial" w:cs="Arial" w:eastAsia="Arial" w:hAnsi="Arial"/>
          <w:sz w:val="18"/>
          <w:szCs w:val="18"/>
          <w:color w:val="auto"/>
        </w:rPr>
      </w:pPr>
    </w:p>
    <w:p>
      <w:pPr>
        <w:jc w:val="both"/>
        <w:ind w:left="4" w:hanging="4"/>
        <w:spacing w:after="0" w:line="255" w:lineRule="auto"/>
        <w:tabs>
          <w:tab w:leader="none" w:pos="2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any of the covenants contained in this Section 5 or Exhibit A or any part hereof or thereof, is hereafter construed to be invalid, illegal or unenforceable by a court or regulatory agency or tribunal of competent jurisdiction, such court, agency or tribunal shall have the power, and hereby is directed, to substitute for or limit such provision(s) in order as closely as possible to effectuate the original intent of the parties with respect to such invalid, illegal or unenforceable covenant(s) generally and so to enforce such substituted covenant(s). Subject to the foregoing, the invalidity, illegality or unenforceability of any one or more of the covenants contained in this Section 5 shall not affect the validity of any other provision hereof, which shall be given full effect without regard to the invalid portions.</w:t>
      </w:r>
    </w:p>
    <w:p>
      <w:pPr>
        <w:spacing w:after="0" w:line="193" w:lineRule="exact"/>
        <w:rPr>
          <w:rFonts w:ascii="Arial" w:cs="Arial" w:eastAsia="Arial" w:hAnsi="Arial"/>
          <w:sz w:val="18"/>
          <w:szCs w:val="18"/>
          <w:color w:val="auto"/>
        </w:rPr>
      </w:pPr>
    </w:p>
    <w:p>
      <w:pPr>
        <w:jc w:val="both"/>
        <w:ind w:left="4" w:hanging="4"/>
        <w:spacing w:after="0" w:line="312" w:lineRule="auto"/>
        <w:tabs>
          <w:tab w:leader="none" w:pos="233"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any of the covenants contained in this Section 5 or Exhibit A, or any part hereof or thereof, is held to be unenforceable because of the duration of such provision, the area covered thereby or the extent thereof, the parties agree that the tribunal making such determination shall have the power, and hereby is directed, to reduce the duration, area and/or extent of such provision and, in its reduced form, such provision shall then be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460375</wp:posOffset>
            </wp:positionV>
            <wp:extent cx="726757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104" w:name="page105"/>
    <w:bookmarkEnd w:id="104"/>
    <w:p>
      <w:pPr>
        <w:jc w:val="both"/>
        <w:ind w:left="328" w:hanging="4"/>
        <w:spacing w:after="0" w:line="293" w:lineRule="auto"/>
        <w:tabs>
          <w:tab w:leader="none" w:pos="606"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Anything else contained in this Agreement to the contrary notwithstanding, the parties hereto intend to and hereby do confer jurisdiction to enforce the covenants contained in this Section 5 and Exhibit A upon the courts of any state within the geographical scope of such covenants. In the event that the courts of any one or more of such states shall hold any such covenant wholly unenforceable by reason of the breadth of such scope or otherwise, it is the intention of the parties hereto that such determination not bar or in any way affect the Company’s right to the relief provided above in the courts of any other state within the geographical scope of such other covenants, as to breaches of such covenants in such other jurisdictions, the above covenants as they relate to each state being, for this purpose, severable into diverse and independent covenants.</w:t>
      </w:r>
    </w:p>
    <w:p>
      <w:pPr>
        <w:spacing w:after="0" w:line="164" w:lineRule="exact"/>
        <w:rPr>
          <w:rFonts w:ascii="Arial" w:cs="Arial" w:eastAsia="Arial" w:hAnsi="Arial"/>
          <w:sz w:val="16"/>
          <w:szCs w:val="16"/>
          <w:color w:val="auto"/>
        </w:rPr>
      </w:pPr>
    </w:p>
    <w:p>
      <w:pPr>
        <w:ind w:left="288" w:hanging="288"/>
        <w:spacing w:after="0"/>
        <w:tabs>
          <w:tab w:leader="none" w:pos="28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w:t>
      </w:r>
      <w:r>
        <w:rPr>
          <w:rFonts w:ascii="Arial" w:cs="Arial" w:eastAsia="Arial" w:hAnsi="Arial"/>
          <w:sz w:val="18"/>
          <w:szCs w:val="18"/>
          <w:color w:val="auto"/>
        </w:rPr>
        <w:t>.</w:t>
      </w:r>
    </w:p>
    <w:p>
      <w:pPr>
        <w:spacing w:after="0" w:line="225" w:lineRule="exact"/>
        <w:rPr>
          <w:sz w:val="20"/>
          <w:szCs w:val="20"/>
          <w:color w:val="auto"/>
        </w:rPr>
      </w:pPr>
    </w:p>
    <w:p>
      <w:pPr>
        <w:ind w:left="328"/>
        <w:spacing w:after="0"/>
        <w:rPr>
          <w:sz w:val="20"/>
          <w:szCs w:val="20"/>
          <w:color w:val="auto"/>
        </w:rPr>
      </w:pPr>
      <w:r>
        <w:rPr>
          <w:rFonts w:ascii="Arial" w:cs="Arial" w:eastAsia="Arial" w:hAnsi="Arial"/>
          <w:sz w:val="18"/>
          <w:szCs w:val="18"/>
          <w:color w:val="auto"/>
        </w:rPr>
        <w:t>During the Term of this Agreement, the Company may terminate this Agreement if any one or more of the following shall occur:</w:t>
      </w:r>
    </w:p>
    <w:p>
      <w:pPr>
        <w:spacing w:after="0" w:line="225" w:lineRule="exact"/>
        <w:rPr>
          <w:sz w:val="20"/>
          <w:szCs w:val="20"/>
          <w:color w:val="auto"/>
        </w:rPr>
      </w:pPr>
    </w:p>
    <w:p>
      <w:pPr>
        <w:jc w:val="both"/>
        <w:ind w:left="328" w:hanging="4"/>
        <w:spacing w:after="0" w:line="270" w:lineRule="auto"/>
        <w:tabs>
          <w:tab w:leader="none" w:pos="606"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The Executive shall die during the Term;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Executive’s legal representatives shall be entitled to receive (1) the Executive’s Base Salary through the date which is ninety (90) days after the Executive’s date of death and (2) a pro rata annual performance bonus (prorated by multiplying the full year bonus that otherwise would be due by the percentage derived from dividing the number of days in the then-current year prior to the death of the Executive by three hundred sixty-five (365) with respect to the fiscal year of the Company during which death occurs. Upon the Executive’s death, stock options previously granted to the Executive that are vested and fully exercisable at the time of death shall remain fully exercisable, by the Executive’s legal representatives, through their respective original maximum terms (subject to earlier termination in connection with a change in control of the Company and similar events as provided in the applicable plan and/or award agreement) and otherwise in accordance with their respective terms and conditions. All stock options and stock awards (and similar equity rights) that have not vested prior the date of death shall be forfeited.</w:t>
      </w:r>
    </w:p>
    <w:p>
      <w:pPr>
        <w:spacing w:after="0" w:line="181" w:lineRule="exact"/>
        <w:rPr>
          <w:rFonts w:ascii="Arial" w:cs="Arial" w:eastAsia="Arial" w:hAnsi="Arial"/>
          <w:sz w:val="17"/>
          <w:szCs w:val="17"/>
          <w:color w:val="auto"/>
        </w:rPr>
      </w:pPr>
    </w:p>
    <w:p>
      <w:pPr>
        <w:ind w:left="588" w:hanging="264"/>
        <w:spacing w:after="0"/>
        <w:tabs>
          <w:tab w:leader="none" w:pos="58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Executive shall become physically or mentally disabled so that the Executive is unable substantially to perform his services hereunder for</w:t>
      </w:r>
    </w:p>
    <w:p>
      <w:pPr>
        <w:spacing w:after="0" w:line="46" w:lineRule="exact"/>
        <w:rPr>
          <w:rFonts w:ascii="Arial" w:cs="Arial" w:eastAsia="Arial" w:hAnsi="Arial"/>
          <w:sz w:val="16"/>
          <w:szCs w:val="16"/>
          <w:color w:val="auto"/>
        </w:rPr>
      </w:pPr>
    </w:p>
    <w:p>
      <w:pPr>
        <w:jc w:val="both"/>
        <w:ind w:left="328"/>
        <w:spacing w:after="0" w:line="265" w:lineRule="auto"/>
        <w:rPr>
          <w:rFonts w:ascii="Arial" w:cs="Arial" w:eastAsia="Arial" w:hAnsi="Arial"/>
          <w:sz w:val="16"/>
          <w:szCs w:val="16"/>
          <w:color w:val="auto"/>
        </w:rPr>
      </w:pPr>
      <w:r>
        <w:rPr>
          <w:rFonts w:ascii="Arial" w:cs="Arial" w:eastAsia="Arial" w:hAnsi="Arial"/>
          <w:sz w:val="17"/>
          <w:szCs w:val="17"/>
          <w:color w:val="auto"/>
        </w:rPr>
        <w:t xml:space="preserve">(1) a period of one hundred twenty (120) consecutive days, or (2) shorter periods aggregating one hundred eighty (180) days during any twelve (12) month period;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may terminate the Executive’s employment under this Section 6(b) only upon thirty</w:t>
      </w:r>
    </w:p>
    <w:p>
      <w:pPr>
        <w:jc w:val="both"/>
        <w:ind w:left="328"/>
        <w:spacing w:after="0" w:line="287" w:lineRule="auto"/>
        <w:rPr>
          <w:rFonts w:ascii="Arial" w:cs="Arial" w:eastAsia="Arial" w:hAnsi="Arial"/>
          <w:sz w:val="16"/>
          <w:szCs w:val="16"/>
          <w:color w:val="auto"/>
        </w:rPr>
      </w:pPr>
      <w:r>
        <w:rPr>
          <w:rFonts w:ascii="Arial" w:cs="Arial" w:eastAsia="Arial" w:hAnsi="Arial"/>
          <w:sz w:val="16"/>
          <w:szCs w:val="16"/>
          <w:color w:val="auto"/>
        </w:rPr>
        <w:t>(30) days’ prior written notice given by the Company to the Executive. Notwithstanding such disability the Company shall continue to pay the Executive his Base Salary through the date of such termination. In addition, the Executive shall be entitled to a pro rata annual performance bonus (prorated by multiplying the full year bonus that otherwise would be due by the percentage derived from dividing the number of days in the then-current year prior to the termination on account of disability of the Executive by three hundred sixty-five (365) with respect to the fiscal year of the Company during which such termination occurs. Upon such a disability, stock options previously granted to the Executive that are vested and fully exercisable at the time of disability shall remain fully exercisable, by the Executive or his legal representatives, should he have such, through their respective original maximum terms (subject to earlier termination in connection with a change in control of the Company and similar events as provided in the applicable plan and/or award agreement) and otherwise in accordance with their respective terms and conditions. All stock options and stock awards (and similar equity rights) that have not vested prior to the date of disability shall be forfeited by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473075</wp:posOffset>
            </wp:positionV>
            <wp:extent cx="726757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105" w:name="page106"/>
    <w:bookmarkEnd w:id="105"/>
    <w:p>
      <w:pPr>
        <w:ind w:left="588" w:hanging="264"/>
        <w:spacing w:after="0"/>
        <w:tabs>
          <w:tab w:leader="none" w:pos="588"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Executive acts, or fails to act, in a manner that provides Cause for termination. For purposes of this Agreement, the term “Cause” means</w:t>
      </w:r>
    </w:p>
    <w:p>
      <w:pPr>
        <w:spacing w:after="0" w:line="46" w:lineRule="exact"/>
        <w:rPr>
          <w:rFonts w:ascii="Arial" w:cs="Arial" w:eastAsia="Arial" w:hAnsi="Arial"/>
          <w:sz w:val="16"/>
          <w:szCs w:val="16"/>
          <w:color w:val="auto"/>
        </w:rPr>
      </w:pPr>
    </w:p>
    <w:p>
      <w:pPr>
        <w:jc w:val="both"/>
        <w:ind w:left="328"/>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(1) the Executive’s indictment for, or conviction of, any crime or serious offense involving money or other property that constitutes a felony in the jurisdiction involved; (2) the Executive’s willful and ongoing neglect of, or failure to discharge, duties (including fiduciary duties), responsibilities and obligations with respect to the Company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neglect or failure remains uncured for a period of thirty (30) days after written notice describing the same is given to the Executive by the Company; (3) the Executive’s violation of any of the non-competition provisions of Section 5 hereof or the Executive’s material breach of any provisions of Section 13 hereof or Exhibit A hereto, or (4) any act of fraud or embezzlement by the Executive involving the Company or any of its Affiliates. All determinations of Cause for termination pursuant to this Section 6 shall be made by the Board, and shall require at least a two-thirds (2/3) vote of the entire Board excluding the Executive, should he then be a member of the Board.</w:t>
      </w:r>
    </w:p>
    <w:p>
      <w:pPr>
        <w:spacing w:after="0" w:line="191" w:lineRule="exact"/>
        <w:rPr>
          <w:rFonts w:ascii="Arial" w:cs="Arial" w:eastAsia="Arial" w:hAnsi="Arial"/>
          <w:sz w:val="16"/>
          <w:szCs w:val="16"/>
          <w:color w:val="auto"/>
        </w:rPr>
      </w:pPr>
    </w:p>
    <w:p>
      <w:pPr>
        <w:ind w:left="288" w:hanging="288"/>
        <w:spacing w:after="0"/>
        <w:tabs>
          <w:tab w:leader="none" w:pos="28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Termination by the Executive</w:t>
      </w:r>
      <w:r>
        <w:rPr>
          <w:rFonts w:ascii="Arial" w:cs="Arial" w:eastAsia="Arial" w:hAnsi="Arial"/>
          <w:sz w:val="18"/>
          <w:szCs w:val="18"/>
          <w:color w:val="auto"/>
        </w:rPr>
        <w:t>.</w:t>
      </w:r>
    </w:p>
    <w:p>
      <w:pPr>
        <w:spacing w:after="0" w:line="225" w:lineRule="exact"/>
        <w:rPr>
          <w:sz w:val="20"/>
          <w:szCs w:val="20"/>
          <w:color w:val="auto"/>
        </w:rPr>
      </w:pPr>
    </w:p>
    <w:p>
      <w:pPr>
        <w:jc w:val="both"/>
        <w:ind w:left="328"/>
        <w:spacing w:after="0" w:line="257" w:lineRule="auto"/>
        <w:rPr>
          <w:sz w:val="20"/>
          <w:szCs w:val="20"/>
          <w:color w:val="auto"/>
        </w:rPr>
      </w:pPr>
      <w:r>
        <w:rPr>
          <w:rFonts w:ascii="Arial" w:cs="Arial" w:eastAsia="Arial" w:hAnsi="Arial"/>
          <w:sz w:val="18"/>
          <w:szCs w:val="18"/>
          <w:color w:val="auto"/>
        </w:rPr>
        <w:t xml:space="preserve">The Executive may terminate this Agreement on written notice to the Company in the event of a material breach of the terms of this Agreement by the Company if such breach continues uncured for thirty (30) days after written notice describing the breach is first given to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Executive may terminate this Agreement if such breach is for the payment of money and continues uncured for ten (10) days after</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notice describing such breach is first given. The Executive may also terminate this Agreement upon written notice to the Company if any one or more of the following shall occur:</w:t>
      </w:r>
    </w:p>
    <w:p>
      <w:pPr>
        <w:spacing w:after="0" w:line="188" w:lineRule="exact"/>
        <w:rPr>
          <w:sz w:val="20"/>
          <w:szCs w:val="20"/>
          <w:color w:val="auto"/>
        </w:rPr>
      </w:pPr>
    </w:p>
    <w:p>
      <w:pPr>
        <w:ind w:left="328" w:hanging="4"/>
        <w:spacing w:after="0" w:line="277" w:lineRule="auto"/>
        <w:tabs>
          <w:tab w:leader="none" w:pos="598"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loss of material duties or authority of the Executive as Chairman, President and Chief Executive Officer, and such loss continues for thirty (30) days after written notice of such loss is given to the Company;</w:t>
      </w:r>
    </w:p>
    <w:p>
      <w:pPr>
        <w:spacing w:after="0" w:line="170" w:lineRule="exact"/>
        <w:rPr>
          <w:rFonts w:ascii="Arial" w:cs="Arial" w:eastAsia="Arial" w:hAnsi="Arial"/>
          <w:sz w:val="18"/>
          <w:szCs w:val="18"/>
          <w:color w:val="auto"/>
        </w:rPr>
      </w:pPr>
    </w:p>
    <w:p>
      <w:pPr>
        <w:jc w:val="both"/>
        <w:ind w:left="328" w:hanging="4"/>
        <w:spacing w:after="0" w:line="286" w:lineRule="auto"/>
        <w:tabs>
          <w:tab w:leader="none" w:pos="585"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a Prohibited Event occurs,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Executive gives written notice of termination within ninety (90) days after such occurrence and such Prohibited Event is not remedied within thirty (30) days after such notice. For this purpose a “Prohibited Event” exists if the Executive is not continuously at least one (1) of Chairman, President or Chief Executive Officer of the Company during the Term;</w:t>
      </w:r>
    </w:p>
    <w:p>
      <w:pPr>
        <w:spacing w:after="0" w:line="165" w:lineRule="exact"/>
        <w:rPr>
          <w:rFonts w:ascii="Arial" w:cs="Arial" w:eastAsia="Arial" w:hAnsi="Arial"/>
          <w:sz w:val="17"/>
          <w:szCs w:val="17"/>
          <w:color w:val="auto"/>
        </w:rPr>
      </w:pPr>
    </w:p>
    <w:p>
      <w:pPr>
        <w:jc w:val="both"/>
        <w:ind w:left="328" w:hanging="4"/>
        <w:spacing w:after="0" w:line="257" w:lineRule="auto"/>
        <w:tabs>
          <w:tab w:leader="none" w:pos="5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shall make a general assignment for benefit of creditors, or any proceeding shall be instituted by the Company seeking to adjudicate it a bankrupt or insolvent, or seeking liquidation, winding up, reorganization, arrangement, adjustment, protection, relief, or composition of it or its debts under any law relating to bankruptcy, insolvency or reorganization or relief of debtors, or seeking entry of an order for relief or the appointment of a receiver, trustee, or other similar official for it or for any substantial part of its property, or the Company shall take any corporate action to authorize any of the actions set forth above in this Section 7(c);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487045</wp:posOffset>
            </wp:positionV>
            <wp:extent cx="726757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106" w:name="page107"/>
    <w:bookmarkEnd w:id="106"/>
    <w:p>
      <w:pPr>
        <w:jc w:val="both"/>
        <w:ind w:left="328" w:hanging="4"/>
        <w:spacing w:after="0" w:line="312" w:lineRule="auto"/>
        <w:tabs>
          <w:tab w:leader="none" w:pos="586"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 involuntary petition shall be filed or an action or proceeding otherwise commenced against the Company seeking reorganization, arrangement or readjustment of the Company’s debts or for any other relief under the Federal Bankruptcy Code, as amended, or under any other bankruptcy or insolvency act or law, state or federal, now or hereafter existing and shall remain undismissed or unstayed for a period of thirty (30) days;</w:t>
      </w:r>
    </w:p>
    <w:p>
      <w:pPr>
        <w:spacing w:after="0" w:line="146" w:lineRule="exact"/>
        <w:rPr>
          <w:rFonts w:ascii="Arial" w:cs="Arial" w:eastAsia="Arial" w:hAnsi="Arial"/>
          <w:sz w:val="16"/>
          <w:szCs w:val="16"/>
          <w:color w:val="auto"/>
        </w:rPr>
      </w:pPr>
    </w:p>
    <w:p>
      <w:pPr>
        <w:ind w:left="568" w:hanging="244"/>
        <w:spacing w:after="0"/>
        <w:tabs>
          <w:tab w:leader="none" w:pos="568" w:val="left"/>
        </w:tabs>
        <w:numPr>
          <w:ilvl w:val="1"/>
          <w:numId w:val="49"/>
        </w:numPr>
        <w:rPr>
          <w:rFonts w:ascii="Arial" w:cs="Arial" w:eastAsia="Arial" w:hAnsi="Arial"/>
          <w:sz w:val="16"/>
          <w:szCs w:val="16"/>
          <w:color w:val="auto"/>
        </w:rPr>
      </w:pPr>
      <w:r>
        <w:rPr>
          <w:rFonts w:ascii="Arial" w:cs="Arial" w:eastAsia="Arial" w:hAnsi="Arial"/>
          <w:sz w:val="16"/>
          <w:szCs w:val="16"/>
          <w:color w:val="auto"/>
        </w:rPr>
        <w:t>a receiver, assignee, liquidator, trustee or similar officer for the Company or for all or any part of its property shall be appointed involuntarily; or</w:t>
      </w:r>
    </w:p>
    <w:p>
      <w:pPr>
        <w:spacing w:after="0" w:line="248" w:lineRule="exact"/>
        <w:rPr>
          <w:rFonts w:ascii="Arial" w:cs="Arial" w:eastAsia="Arial" w:hAnsi="Arial"/>
          <w:sz w:val="16"/>
          <w:szCs w:val="16"/>
          <w:color w:val="auto"/>
        </w:rPr>
      </w:pPr>
    </w:p>
    <w:p>
      <w:pPr>
        <w:jc w:val="both"/>
        <w:ind w:left="328" w:hanging="4"/>
        <w:spacing w:after="0" w:line="259" w:lineRule="auto"/>
        <w:tabs>
          <w:tab w:leader="none" w:pos="5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a material breach by the Company of any other material agreement with the Executive shall occur, if such breach continues uncured for thirty (30) days after written notice describing such breach is first given to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Executive shall be permitted to terminate this Agreement if such breach is for the payment of money and continues uncured for ten (10) days after written notice describing such breach is first given.</w:t>
      </w:r>
    </w:p>
    <w:p>
      <w:pPr>
        <w:spacing w:after="0" w:line="186" w:lineRule="exact"/>
        <w:rPr>
          <w:rFonts w:ascii="Arial" w:cs="Arial" w:eastAsia="Arial" w:hAnsi="Arial"/>
          <w:sz w:val="18"/>
          <w:szCs w:val="18"/>
          <w:color w:val="auto"/>
        </w:rPr>
      </w:pPr>
    </w:p>
    <w:p>
      <w:pPr>
        <w:ind w:left="288" w:hanging="288"/>
        <w:spacing w:after="0"/>
        <w:tabs>
          <w:tab w:leader="none" w:pos="288"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Termination Following a Change in Control</w:t>
      </w:r>
      <w:r>
        <w:rPr>
          <w:rFonts w:ascii="Arial" w:cs="Arial" w:eastAsia="Arial" w:hAnsi="Arial"/>
          <w:sz w:val="18"/>
          <w:szCs w:val="18"/>
          <w:color w:val="auto"/>
        </w:rPr>
        <w:t>.</w:t>
      </w:r>
    </w:p>
    <w:p>
      <w:pPr>
        <w:spacing w:after="0" w:line="225" w:lineRule="exact"/>
        <w:rPr>
          <w:sz w:val="20"/>
          <w:szCs w:val="20"/>
          <w:color w:val="auto"/>
        </w:rPr>
      </w:pPr>
    </w:p>
    <w:p>
      <w:pPr>
        <w:jc w:val="both"/>
        <w:ind w:left="328"/>
        <w:spacing w:after="0" w:line="297" w:lineRule="auto"/>
        <w:rPr>
          <w:sz w:val="20"/>
          <w:szCs w:val="20"/>
          <w:color w:val="auto"/>
        </w:rPr>
      </w:pPr>
      <w:r>
        <w:rPr>
          <w:rFonts w:ascii="Arial" w:cs="Arial" w:eastAsia="Arial" w:hAnsi="Arial"/>
          <w:sz w:val="16"/>
          <w:szCs w:val="16"/>
          <w:color w:val="auto"/>
        </w:rPr>
        <w:t>In addition to the above, during the period commencing on the six (6) month anniversary of a Change in Control (as defined in Section 12) of the Company and ending on the two (2) year anniversary of such Change in Control, the Executive may terminate this Agreement upon expiration of ninety (90) days’ prior written notice if “Good Reason” exists for the Executive’s termination. For this purpose, termination for “Good Reason” shall mean a termination by the Executive of his employment hereunder following the occurrence, without his prior written consent, of any of the following events, unless the Company fully cures all grounds for such termination within thirty (30) days after the Executive’s notice:</w:t>
      </w:r>
    </w:p>
    <w:p>
      <w:pPr>
        <w:spacing w:after="0" w:line="158" w:lineRule="exact"/>
        <w:rPr>
          <w:sz w:val="20"/>
          <w:szCs w:val="20"/>
          <w:color w:val="auto"/>
        </w:rPr>
      </w:pPr>
    </w:p>
    <w:p>
      <w:pPr>
        <w:ind w:left="968" w:right="20" w:firstLine="5"/>
        <w:spacing w:after="0" w:line="308" w:lineRule="auto"/>
        <w:tabs>
          <w:tab w:leader="none" w:pos="1195"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material adverse change in the Executive’s authority, duties, titles or offices (including reporting responsibility), or any significant increase in the Executive’s business travel obligations, from those existing immediately prior to the Change in Control;</w:t>
      </w:r>
    </w:p>
    <w:p>
      <w:pPr>
        <w:spacing w:after="0" w:line="146" w:lineRule="exact"/>
        <w:rPr>
          <w:rFonts w:ascii="Arial" w:cs="Arial" w:eastAsia="Arial" w:hAnsi="Arial"/>
          <w:sz w:val="17"/>
          <w:szCs w:val="17"/>
          <w:color w:val="auto"/>
        </w:rPr>
      </w:pPr>
    </w:p>
    <w:p>
      <w:pPr>
        <w:jc w:val="both"/>
        <w:ind w:left="968" w:firstLine="5"/>
        <w:spacing w:after="0" w:line="255" w:lineRule="auto"/>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failure by the Company to continue in effect any compensation plan in which the Executive participated immediately prior to such Change in Control and which is material to the Executive’s total compensation, including but not limited to the Company’s stock option, bonus and other plans or any substitute plans adopted prior to the Change in Control, unless an equitable arrangement (embodied in an ongoing substitute or alternative plan) has been made with respect to such plan, or any failure by the Company to continue the Executive’s participation therein (or in such substitute or alternative plan) on a basis no less favorable to the Executive, both in terms of the amount of benefits provided and the level of the Executive’s participation relative to other participants, as existed immediately prior to such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487680</wp:posOffset>
            </wp:positionV>
            <wp:extent cx="72675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107" w:name="page108"/>
    <w:bookmarkEnd w:id="107"/>
    <w:p>
      <w:pPr>
        <w:jc w:val="both"/>
        <w:ind w:left="968" w:firstLine="5"/>
        <w:spacing w:after="0" w:line="293" w:lineRule="auto"/>
        <w:tabs>
          <w:tab w:leader="none" w:pos="1290" w:val="left"/>
        </w:tabs>
        <w:numPr>
          <w:ilvl w:val="2"/>
          <w:numId w:val="52"/>
        </w:numPr>
        <w:rPr>
          <w:rFonts w:ascii="Arial" w:cs="Arial" w:eastAsia="Arial" w:hAnsi="Arial"/>
          <w:sz w:val="16"/>
          <w:szCs w:val="16"/>
          <w:color w:val="auto"/>
        </w:rPr>
      </w:pPr>
      <w:r>
        <w:rPr>
          <w:rFonts w:ascii="Arial" w:cs="Arial" w:eastAsia="Arial" w:hAnsi="Arial"/>
          <w:sz w:val="16"/>
          <w:szCs w:val="16"/>
          <w:color w:val="auto"/>
        </w:rPr>
        <w:t>any failure by the Company to continue to provide the Executive with benefits substantially similar to those enjoyed by the Executive under any of the Company’s retirement, life insurance, medical, health and accident, or disability plans, programs or arrangements in which the Executive was participating immediately prior to such Change in Control, the taking of any action by the Company that would directly or indirectly materially reduce any of such benefits or deprive the Executive of any perquisite enjoyed by the Executive at the time of such Change in Control, or the failure by the Company to maintain a vacation policy with respect to the Executive that is at least as favorable as the vacation policy (whether formal or informal) in place with respect to the Executive immediately prior to such Change in Control; or</w:t>
      </w:r>
    </w:p>
    <w:p>
      <w:pPr>
        <w:spacing w:after="0" w:line="164" w:lineRule="exact"/>
        <w:rPr>
          <w:rFonts w:ascii="Arial" w:cs="Arial" w:eastAsia="Arial" w:hAnsi="Arial"/>
          <w:sz w:val="16"/>
          <w:szCs w:val="16"/>
          <w:color w:val="auto"/>
        </w:rPr>
      </w:pPr>
    </w:p>
    <w:p>
      <w:pPr>
        <w:ind w:left="968" w:firstLine="5"/>
        <w:spacing w:after="0" w:line="277" w:lineRule="auto"/>
        <w:tabs>
          <w:tab w:leader="none" w:pos="1285" w:val="left"/>
        </w:tabs>
        <w:numPr>
          <w:ilvl w:val="2"/>
          <w:numId w:val="52"/>
        </w:numPr>
        <w:rPr>
          <w:rFonts w:ascii="Arial" w:cs="Arial" w:eastAsia="Arial" w:hAnsi="Arial"/>
          <w:sz w:val="18"/>
          <w:szCs w:val="18"/>
          <w:color w:val="auto"/>
        </w:rPr>
      </w:pPr>
      <w:r>
        <w:rPr>
          <w:rFonts w:ascii="Arial" w:cs="Arial" w:eastAsia="Arial" w:hAnsi="Arial"/>
          <w:sz w:val="18"/>
          <w:szCs w:val="18"/>
          <w:color w:val="auto"/>
        </w:rPr>
        <w:t>the failure of the Company to obtain the assumption in writing of its obligation to perform this Agreement by any successor to all or substantially all of the assets of the Company upon a merger, consolidation, sale or similar transaction.</w:t>
      </w:r>
    </w:p>
    <w:p>
      <w:pPr>
        <w:spacing w:after="0" w:line="170" w:lineRule="exact"/>
        <w:rPr>
          <w:rFonts w:ascii="Arial" w:cs="Arial" w:eastAsia="Arial" w:hAnsi="Arial"/>
          <w:sz w:val="18"/>
          <w:szCs w:val="18"/>
          <w:color w:val="auto"/>
        </w:rPr>
      </w:pPr>
    </w:p>
    <w:p>
      <w:pPr>
        <w:ind w:left="288" w:hanging="288"/>
        <w:spacing w:after="0"/>
        <w:tabs>
          <w:tab w:leader="none" w:pos="288"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Severance and Benefit Continuation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8" w:hanging="4"/>
        <w:spacing w:after="0" w:line="269" w:lineRule="auto"/>
        <w:tabs>
          <w:tab w:leader="none" w:pos="572" w:val="left"/>
        </w:tabs>
        <w:numPr>
          <w:ilvl w:val="1"/>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Termination for Cause or Voluntary Termination by the Executive. </w:t>
      </w:r>
      <w:r>
        <w:rPr>
          <w:rFonts w:ascii="Arial" w:cs="Arial" w:eastAsia="Arial" w:hAnsi="Arial"/>
          <w:sz w:val="17"/>
          <w:szCs w:val="17"/>
          <w:color w:val="auto"/>
        </w:rPr>
        <w:t>If the Company terminates this Agreement for Cause pursuant to Section 6(c)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hereof, or if the Executive voluntarily terminates this Agreement other than pursuant to Section 7 or 8 hereof (which termination alone shall not constitute a breach of this Agreement), no severance or benefit continuation provisions shall apply;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Executive shall have the same opportunity to continue group health benefits at the Executive’s expense in accordance with the Consolidated Omnibus Budget Reconciliation Act of 1985 (“COBRA”) as is available generally to other employees terminating employment with the Company. All stock options and stock awards (and similar equity rights) held by the Executive that have vested prior to such termination of this Agreement may be exercised by the Executive for a period of one hundred eighty (180) days after the date of termination (subject to earlier termination in connection with a change in control of the Company and similar events as provided in the applicable plan and/or award agreement), at which time they shall automatically be forfeited if not exercised. All stock options and stock awards (and similar equity rights) that have not vested prior to such termination shall be forfeited by the Executive. For purposes of this Agreement, an election by the Company not to renew this Agreement beyond the end of the then-current Term shall be considered a termination of this Agreement Other Than for Cause.</w:t>
      </w:r>
    </w:p>
    <w:p>
      <w:pPr>
        <w:spacing w:after="0" w:line="182" w:lineRule="exact"/>
        <w:rPr>
          <w:rFonts w:ascii="Arial" w:cs="Arial" w:eastAsia="Arial" w:hAnsi="Arial"/>
          <w:sz w:val="17"/>
          <w:szCs w:val="17"/>
          <w:color w:val="auto"/>
        </w:rPr>
      </w:pPr>
    </w:p>
    <w:p>
      <w:pPr>
        <w:jc w:val="both"/>
        <w:ind w:left="328" w:hanging="4"/>
        <w:spacing w:after="0" w:line="259" w:lineRule="auto"/>
        <w:tabs>
          <w:tab w:leader="none" w:pos="596" w:val="left"/>
        </w:tabs>
        <w:numPr>
          <w:ilvl w:val="1"/>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Termination for Death or Disability. </w:t>
      </w:r>
      <w:r>
        <w:rPr>
          <w:rFonts w:ascii="Arial" w:cs="Arial" w:eastAsia="Arial" w:hAnsi="Arial"/>
          <w:sz w:val="18"/>
          <w:szCs w:val="18"/>
          <w:color w:val="auto"/>
        </w:rPr>
        <w:t>In the event of termination of this Agreement pursuant to Section 6(a) or 6(b) by reason of the death or</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of the Executive, in addition to the Base Salary payments and pro rata annual performance bonus provided for in paragraph (a) or (b) of Section 6, as applicable, the Company shall continue to provide all benefits subject to COBRA, at its sole cost and expense, with respect to the Executive and his dependents for the maximum period provided by COBRA.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485775</wp:posOffset>
            </wp:positionV>
            <wp:extent cx="726757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108" w:name="page109"/>
    <w:bookmarkEnd w:id="108"/>
    <w:p>
      <w:pPr>
        <w:jc w:val="both"/>
        <w:ind w:left="4" w:hanging="4"/>
        <w:spacing w:after="0" w:line="259" w:lineRule="auto"/>
        <w:tabs>
          <w:tab w:leader="none" w:pos="262"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the Company Other Than for Cause or Termination by the Executive Based on a Material Breach by the Company. </w:t>
      </w:r>
      <w:r>
        <w:rPr>
          <w:rFonts w:ascii="Arial" w:cs="Arial" w:eastAsia="Arial" w:hAnsi="Arial"/>
          <w:sz w:val="18"/>
          <w:szCs w:val="18"/>
          <w:color w:val="auto"/>
        </w:rPr>
        <w:t>If (1)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terminates this Agreement and the Executive’s employment other than pursuant to Section 6 hereof or (2) the Executive terminates this Agreement and his employment pursuant to Section 7, and in each case the termination of employment does not occur on or within two (2) years following the consummation of a Change in Control of the Company, then:</w:t>
      </w:r>
    </w:p>
    <w:p>
      <w:pPr>
        <w:spacing w:after="0" w:line="186" w:lineRule="exact"/>
        <w:rPr>
          <w:rFonts w:ascii="Arial" w:cs="Arial" w:eastAsia="Arial" w:hAnsi="Arial"/>
          <w:sz w:val="18"/>
          <w:szCs w:val="18"/>
          <w:color w:val="auto"/>
        </w:rPr>
      </w:pPr>
    </w:p>
    <w:p>
      <w:pPr>
        <w:jc w:val="both"/>
        <w:ind w:left="644" w:firstLine="5"/>
        <w:spacing w:after="0" w:line="257" w:lineRule="auto"/>
        <w:tabs>
          <w:tab w:leader="none" w:pos="868"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shall pay the Executive in accordance with its normal payroll practice an amount equal to the Executive’s Base Salary at the annualized rate in effect on the date of such termination, such payment to be made in equal monthly installments (rounded down to the nearest whole cent) over a period of twelve (12) consecutive months following the Executive’s Separation from Service (as defined in Section 12) (the “Severance Period”), with the first installment payable, subject to Section 14(b), in the month following the month in which the Executive’s Separation from Service occurs;</w:t>
      </w:r>
    </w:p>
    <w:p>
      <w:pPr>
        <w:spacing w:after="0" w:line="188" w:lineRule="exact"/>
        <w:rPr>
          <w:rFonts w:ascii="Arial" w:cs="Arial" w:eastAsia="Arial" w:hAnsi="Arial"/>
          <w:sz w:val="18"/>
          <w:szCs w:val="18"/>
          <w:color w:val="auto"/>
        </w:rPr>
      </w:pPr>
    </w:p>
    <w:p>
      <w:pPr>
        <w:jc w:val="both"/>
        <w:ind w:left="644" w:firstLine="5"/>
        <w:spacing w:after="0" w:line="289" w:lineRule="auto"/>
        <w:tabs>
          <w:tab w:leader="none" w:pos="910"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all Company employee benefit plans and programs (including, but not limited to, the plans and programs set forth in Section 3(f)), other than participation in any Company tax-qualified retirement plan and any bonus, equity or other incentive plans and programs, applicable to the Executive shall be continued for the Severance Period (or, if such benefits are not available, or cannot be provided due to applicable law, the Company shall pay the Executive a lump sum cash amount equal to the after-tax economic equivalent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benefit to be provided on an insured basis, such lump sum cash value shall be the present value of the premiums expected to be paid for such coverage, and with respect to other benefits, such value shall be the present value of the expected cost to the Company of providing such benefits, and that, in all events, such payment shall be made within ninety (90) days following the Executive’s Separation from Service). In the case of all benefits subject to COBRA, the Company shall continue to provide such benefits at its expense with respect to the Executive and his dependents for the maximum period provided by COBRA; and</w:t>
      </w:r>
    </w:p>
    <w:p>
      <w:pPr>
        <w:spacing w:after="0" w:line="166" w:lineRule="exact"/>
        <w:rPr>
          <w:rFonts w:ascii="Arial" w:cs="Arial" w:eastAsia="Arial" w:hAnsi="Arial"/>
          <w:sz w:val="16"/>
          <w:szCs w:val="16"/>
          <w:color w:val="auto"/>
        </w:rPr>
      </w:pPr>
    </w:p>
    <w:p>
      <w:pPr>
        <w:jc w:val="both"/>
        <w:ind w:left="644" w:firstLine="5"/>
        <w:spacing w:after="0" w:line="259" w:lineRule="auto"/>
        <w:tabs>
          <w:tab w:leader="none" w:pos="977"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stock options and awards of restricted stock (and similar equity rights), to the extent outstanding and vested on the date of such termination of this Agreement, shall remain fully exercisable through their respective original maximum terms (subject to earlier termination in connection with a change in control of the Company and similar events as provided in the applicable plan and/or award agreement) and otherwise in accordance with their respective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485775</wp:posOffset>
            </wp:positionV>
            <wp:extent cx="72675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109" w:name="page110"/>
    <w:bookmarkEnd w:id="109"/>
    <w:p>
      <w:pPr>
        <w:jc w:val="both"/>
        <w:ind w:left="4" w:hanging="4"/>
        <w:spacing w:after="0" w:line="257" w:lineRule="auto"/>
        <w:tabs>
          <w:tab w:leader="none" w:pos="259"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Involuntary Termination Other Than for Cause, Termination by the Executive Based on a Material Breach by the Company or for Good Reason, or Nonrenewal by the Company, or Upon or After a Change in Control</w:t>
      </w:r>
      <w:r>
        <w:rPr>
          <w:rFonts w:ascii="Arial" w:cs="Arial" w:eastAsia="Arial" w:hAnsi="Arial"/>
          <w:sz w:val="18"/>
          <w:szCs w:val="18"/>
          <w:color w:val="auto"/>
        </w:rPr>
        <w:t>. If (1) the Company terminates this Agreement and the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other than pursuant to Section 6 hereof or (2) the Executive terminates this Agreement and his employment pursuant to Section 7 or 8, and in each case the termination of employment occurs on or within two (2) years of the consummation of a Change in Control of the Company, then:</w:t>
      </w:r>
    </w:p>
    <w:p>
      <w:pPr>
        <w:spacing w:after="0" w:line="188" w:lineRule="exact"/>
        <w:rPr>
          <w:rFonts w:ascii="Arial" w:cs="Arial" w:eastAsia="Arial" w:hAnsi="Arial"/>
          <w:sz w:val="18"/>
          <w:szCs w:val="18"/>
          <w:color w:val="auto"/>
        </w:rPr>
      </w:pPr>
    </w:p>
    <w:p>
      <w:pPr>
        <w:jc w:val="both"/>
        <w:ind w:left="644" w:firstLine="5"/>
        <w:spacing w:after="0" w:line="264" w:lineRule="auto"/>
        <w:tabs>
          <w:tab w:leader="none" w:pos="862"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Company shall pay the Executive a cash lump sum equal to one (1) times the Executive’s Base Salary at the annualized rate in effect on the date of such termination, such payment to be made, subject to Section 14(b), in the month following the month in which the Executive’s Separation from Service occurs;</w:t>
      </w:r>
    </w:p>
    <w:p>
      <w:pPr>
        <w:spacing w:after="0" w:line="181" w:lineRule="exact"/>
        <w:rPr>
          <w:rFonts w:ascii="Arial" w:cs="Arial" w:eastAsia="Arial" w:hAnsi="Arial"/>
          <w:sz w:val="18"/>
          <w:szCs w:val="18"/>
          <w:color w:val="auto"/>
        </w:rPr>
      </w:pPr>
    </w:p>
    <w:p>
      <w:pPr>
        <w:jc w:val="both"/>
        <w:ind w:left="644" w:firstLine="5"/>
        <w:spacing w:after="0" w:line="289" w:lineRule="auto"/>
        <w:tabs>
          <w:tab w:leader="none" w:pos="914"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all Company employee benefit plans and programs (including, but not limited to, the plans and programs set forth in Section 3(f), other than participation in any Company tax-qualified retirement plan, applicable to the Executive shall be continued for one (1) year from the date of such termination of employment (or, if such benefits are not available, or cannot be provided due to applicable law, the Company shall pay the Executive a lump sum cash amount equal to the after-tax economic equivalent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r>
        <w:rPr>
          <w:rFonts w:ascii="Arial" w:cs="Arial" w:eastAsia="Arial" w:hAnsi="Arial"/>
          <w:sz w:val="16"/>
          <w:szCs w:val="16"/>
          <w:i w:val="1"/>
          <w:iCs w:val="1"/>
          <w:color w:val="auto"/>
        </w:rPr>
        <w:t>,</w:t>
      </w:r>
      <w:r>
        <w:rPr>
          <w:rFonts w:ascii="Arial" w:cs="Arial" w:eastAsia="Arial" w:hAnsi="Arial"/>
          <w:sz w:val="16"/>
          <w:szCs w:val="16"/>
          <w:color w:val="auto"/>
        </w:rPr>
        <w:t xml:space="preserve"> with respect to any benefit to be provided on an insured basis, such lump sum cash value shall be the present value of the premiums expected to be paid for such coverage, and with respect to other benefits, such value shall be the present value of the expected cost to the Company of providing such benefits and that, in all events, such payment shall be made within ninety (90) days following the Executive’s Separation from Service). In the case of all benefits subject to COBRA, the Company shall continue to provide such benefits at its sole cost and expense with respect to the Executive and his dependents for the maximum period provided by COBRA; and</w:t>
      </w:r>
    </w:p>
    <w:p>
      <w:pPr>
        <w:spacing w:after="0" w:line="166" w:lineRule="exact"/>
        <w:rPr>
          <w:rFonts w:ascii="Arial" w:cs="Arial" w:eastAsia="Arial" w:hAnsi="Arial"/>
          <w:sz w:val="16"/>
          <w:szCs w:val="16"/>
          <w:color w:val="auto"/>
        </w:rPr>
      </w:pPr>
    </w:p>
    <w:p>
      <w:pPr>
        <w:jc w:val="both"/>
        <w:ind w:left="644" w:firstLine="5"/>
        <w:spacing w:after="0" w:line="255" w:lineRule="auto"/>
        <w:tabs>
          <w:tab w:leader="none" w:pos="962"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stock options and awards of restricted stock (and similar equity rights), to the extent then vested and outstanding (after giving effect to any accelerated vesting pursuant to Section 3 (c) hereof), shall remain fully exercisable through their respective original maximum terms (provided that, after giving effect to such accelerated vesting and providing the Executive a reasonable opportunity to exercise such vested options and similar awards, such options and awards shall be subject to earlier termination in connection with a change in control of the Company and similar events as provided in the applicable plan and/or award agreement) and otherwise in accordance with their respective terms and conditions as if no Change in Control had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489585</wp:posOffset>
            </wp:positionV>
            <wp:extent cx="72675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110" w:name="page111"/>
    <w:bookmarkEnd w:id="110"/>
    <w:p>
      <w:pPr>
        <w:jc w:val="both"/>
        <w:ind w:left="328"/>
        <w:spacing w:after="0" w:line="286" w:lineRule="auto"/>
        <w:rPr>
          <w:sz w:val="20"/>
          <w:szCs w:val="20"/>
          <w:color w:val="auto"/>
        </w:rPr>
      </w:pPr>
      <w:r>
        <w:rPr>
          <w:rFonts w:ascii="Arial" w:cs="Arial" w:eastAsia="Arial" w:hAnsi="Arial"/>
          <w:sz w:val="16"/>
          <w:szCs w:val="16"/>
          <w:color w:val="auto"/>
        </w:rPr>
        <w:t>(e) The payments provided in Section 9(c) and 9(d) are intended as enhanced severance for a termination by the Company without Cause, or a termination by the Executive in the circumstances provided. As a condition of receiving such payments, the Executive or his legal representatives, should he have such, shall first execute and deliver to the Company within twenty-one (21) days following such termination of employment a general release of all claims against the Company, its Affiliates, agents and employees (other than any claims or rights pursuant to the Agreement or pursuant to equity or employee benefit plans), in a form and substance satisfactory to the Company, and shall not revoke such release within any revocation period provided under applicable law. In connection with such release by the Executive, the Company shall execute and deliver a comparable release of claims against the Executive within twenty-one (21) days following such termination of employment. Notwithstanding the foregoing, the Executive may elect to forego the severance payments provided herein, in which event neither party shall be required to execute a release of the other. Notwithstanding the foregoing provisions of this section 9(e), no release to be granted by the Executive shall be required to cause the Executive to release the Company from, waive, or forego in any way any of the Executive’s rights to indemnification under the applicable provisions of the Certificate of Incorporation or By-laws of the Company or any then-existing agreement between the Company and the Executive with respect thereto; and no release to be granted by the Company hereunder shall apply to any obligation of the Executive pursuant to this Agreement or any act of fraud or material dishonesty by the Executive. In addition, any release provided by one party to the other party pursuant to this Section 9(e) shall be null and void if the other party does not timely provide the release required hereunder (or, in the case of the release provided by the Company, if the Executive revokes his release within any revocation period provided by applicable law).</w:t>
      </w:r>
    </w:p>
    <w:p>
      <w:pPr>
        <w:spacing w:after="0" w:line="168" w:lineRule="exact"/>
        <w:rPr>
          <w:sz w:val="20"/>
          <w:szCs w:val="20"/>
          <w:color w:val="auto"/>
        </w:rPr>
      </w:pPr>
    </w:p>
    <w:p>
      <w:pPr>
        <w:ind w:left="328" w:hanging="328"/>
        <w:spacing w:after="0"/>
        <w:tabs>
          <w:tab w:leader="none" w:pos="32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8"/>
        <w:spacing w:after="0" w:line="287" w:lineRule="auto"/>
        <w:rPr>
          <w:rFonts w:ascii="Arial" w:cs="Arial" w:eastAsia="Arial" w:hAnsi="Arial"/>
          <w:sz w:val="18"/>
          <w:szCs w:val="18"/>
          <w:color w:val="auto"/>
        </w:rPr>
      </w:pPr>
      <w:r>
        <w:rPr>
          <w:rFonts w:ascii="Arial" w:cs="Arial" w:eastAsia="Arial" w:hAnsi="Arial"/>
          <w:sz w:val="16"/>
          <w:szCs w:val="16"/>
          <w:color w:val="auto"/>
        </w:rPr>
        <w:t>Following the termination of his employment, the Executive agrees to cooperate with, and assist, the Company to ensure a smooth transition in management and, if requested by the Company, to make himself available to consult during regular business hours at mutually agreed upon times for up to a three (3) month period thereafter. At any time following the termination of his employment, the Executive will provide such information as the Company may request with respect to any Company- related transaction or other matter in which the Executive was involved in any way while employed by the Company. The Executive further agrees, during the Term of this Agreement and thereafter, to assist and cooperate with the Company in connection with the defense or prosecution of any claim that may be made against, or by, the Company or its Affiliates, in connection with any dispute or claim of any kind involving the Company or its Affiliates, including providing testimony in any proceeding before any arbitral, administrative, judicial, legislative or other body or agency. The Executive shall be entitled to reimbursement for all properly documented expenses reasonably incurred in connection with rendering transition services under this Section, including, but not limited to, reimbursement for all reasonable travel, lodging, meal expenses and legal fees, and the Executive shall be entitled to a per diem amount for his services equal to his then most recent annualized Base Salary under this Agreement, divided by two hundred forty (240)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476885</wp:posOffset>
            </wp:positionV>
            <wp:extent cx="72675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111" w:name="page112"/>
    <w:bookmarkEnd w:id="111"/>
    <w:p>
      <w:pPr>
        <w:ind w:left="328" w:hanging="328"/>
        <w:spacing w:after="0"/>
        <w:tabs>
          <w:tab w:leader="none" w:pos="328"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 Mitigation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8"/>
        <w:spacing w:after="0" w:line="264" w:lineRule="auto"/>
        <w:rPr>
          <w:rFonts w:ascii="Arial" w:cs="Arial" w:eastAsia="Arial" w:hAnsi="Arial"/>
          <w:sz w:val="18"/>
          <w:szCs w:val="18"/>
          <w:color w:val="auto"/>
        </w:rPr>
      </w:pPr>
      <w:r>
        <w:rPr>
          <w:rFonts w:ascii="Arial" w:cs="Arial" w:eastAsia="Arial" w:hAnsi="Arial"/>
          <w:sz w:val="18"/>
          <w:szCs w:val="18"/>
          <w:color w:val="auto"/>
        </w:rPr>
        <w:t>The Executive shall not be required to mitigate the amount of any payment provided for hereunder by seeking other employment or otherwise, nor shall the amount of any payment provided for hereunder be reduced by any compensation earned by the Executive as the result of employment by another employer after the date of termination of employment by the Company.</w:t>
      </w:r>
    </w:p>
    <w:p>
      <w:pPr>
        <w:spacing w:after="0" w:line="181" w:lineRule="exact"/>
        <w:rPr>
          <w:rFonts w:ascii="Arial" w:cs="Arial" w:eastAsia="Arial" w:hAnsi="Arial"/>
          <w:sz w:val="18"/>
          <w:szCs w:val="18"/>
          <w:color w:val="auto"/>
        </w:rPr>
      </w:pPr>
    </w:p>
    <w:p>
      <w:pPr>
        <w:ind w:left="328" w:hanging="328"/>
        <w:spacing w:after="0"/>
        <w:tabs>
          <w:tab w:leader="none" w:pos="328"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As used herein, the following terms have the following meaning:</w:t>
      </w:r>
    </w:p>
    <w:p>
      <w:pPr>
        <w:spacing w:after="0" w:line="225" w:lineRule="exact"/>
        <w:rPr>
          <w:rFonts w:ascii="Arial" w:cs="Arial" w:eastAsia="Arial" w:hAnsi="Arial"/>
          <w:sz w:val="18"/>
          <w:szCs w:val="18"/>
          <w:color w:val="auto"/>
        </w:rPr>
      </w:pPr>
    </w:p>
    <w:p>
      <w:pPr>
        <w:ind w:left="328" w:right="20" w:hanging="4"/>
        <w:spacing w:after="0" w:line="308" w:lineRule="auto"/>
        <w:tabs>
          <w:tab w:leader="none" w:pos="598" w:val="left"/>
        </w:tabs>
        <w:numPr>
          <w:ilvl w:val="1"/>
          <w:numId w:val="57"/>
        </w:numPr>
        <w:rPr>
          <w:rFonts w:ascii="Arial" w:cs="Arial" w:eastAsia="Arial" w:hAnsi="Arial"/>
          <w:sz w:val="17"/>
          <w:szCs w:val="17"/>
          <w:color w:val="auto"/>
        </w:rPr>
      </w:pPr>
      <w:r>
        <w:rPr>
          <w:rFonts w:ascii="Arial" w:cs="Arial" w:eastAsia="Arial" w:hAnsi="Arial"/>
          <w:sz w:val="17"/>
          <w:szCs w:val="17"/>
          <w:color w:val="auto"/>
        </w:rPr>
        <w:t>“Affiliate” means and includes any person, corporation or other entity controlling, controlled by or under common control with the person, corporation or other entity in question, determined in accordance with Rule 12b-2 under the Securities Exchange Act of 1934, as amended).</w:t>
      </w:r>
    </w:p>
    <w:p>
      <w:pPr>
        <w:spacing w:after="0" w:line="146" w:lineRule="exact"/>
        <w:rPr>
          <w:rFonts w:ascii="Arial" w:cs="Arial" w:eastAsia="Arial" w:hAnsi="Arial"/>
          <w:sz w:val="17"/>
          <w:szCs w:val="17"/>
          <w:color w:val="auto"/>
        </w:rPr>
      </w:pPr>
    </w:p>
    <w:p>
      <w:pPr>
        <w:ind w:left="588" w:hanging="264"/>
        <w:spacing w:after="0"/>
        <w:tabs>
          <w:tab w:leader="none" w:pos="588" w:val="left"/>
        </w:tabs>
        <w:numPr>
          <w:ilvl w:val="1"/>
          <w:numId w:val="57"/>
        </w:numPr>
        <w:rPr>
          <w:rFonts w:ascii="Arial" w:cs="Arial" w:eastAsia="Arial" w:hAnsi="Arial"/>
          <w:sz w:val="18"/>
          <w:szCs w:val="18"/>
          <w:color w:val="auto"/>
        </w:rPr>
      </w:pPr>
      <w:r>
        <w:rPr>
          <w:rFonts w:ascii="Arial" w:cs="Arial" w:eastAsia="Arial" w:hAnsi="Arial"/>
          <w:sz w:val="18"/>
          <w:szCs w:val="18"/>
          <w:color w:val="auto"/>
        </w:rPr>
        <w:t>“Change in Control” means the occurrence of any of the following events:</w:t>
      </w:r>
    </w:p>
    <w:p>
      <w:pPr>
        <w:spacing w:after="0" w:line="225" w:lineRule="exact"/>
        <w:rPr>
          <w:sz w:val="20"/>
          <w:szCs w:val="20"/>
          <w:color w:val="auto"/>
        </w:rPr>
      </w:pPr>
    </w:p>
    <w:p>
      <w:pPr>
        <w:jc w:val="both"/>
        <w:ind w:left="328" w:hanging="4"/>
        <w:spacing w:after="0" w:line="312" w:lineRule="auto"/>
        <w:tabs>
          <w:tab w:leader="none" w:pos="543"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Person, other than the Company, its Affiliates or any Company employee benefit plan (including any trustee of such plan acting as trustee), is or becomes the Beneficial Owner, directly or indirectly, of securities of the Company representing more than fifty percent (50%) of the combined voting power of the then outstanding securities entitled to vote generally in the election of directors (“Voting Securities”) of the Company; or</w:t>
      </w:r>
    </w:p>
    <w:p>
      <w:pPr>
        <w:spacing w:after="0" w:line="146" w:lineRule="exact"/>
        <w:rPr>
          <w:rFonts w:ascii="Arial" w:cs="Arial" w:eastAsia="Arial" w:hAnsi="Arial"/>
          <w:sz w:val="16"/>
          <w:szCs w:val="16"/>
          <w:color w:val="auto"/>
        </w:rPr>
      </w:pPr>
    </w:p>
    <w:p>
      <w:pPr>
        <w:jc w:val="both"/>
        <w:ind w:left="328" w:hanging="4"/>
        <w:spacing w:after="0" w:line="257" w:lineRule="auto"/>
        <w:tabs>
          <w:tab w:leader="none" w:pos="609"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Individuals who constitute the Board of the Company (the “Incumbent Directors”), as of the beginning of any twenty-four (24) month period commencing with the Effective Date of this Agreement, cease for any reason to constitute at least a majority of the directors. Notwithstanding the foregoing, any individual becoming a director subsequent to the beginning of such period, whose election or nomination for election by the Company’s stockholders, was approved by a vote of at least two-thirds (2/3) of the directors then comprising the Incumbent Directors, shall be, considered an Incumbent Director; or</w:t>
      </w:r>
    </w:p>
    <w:p>
      <w:pPr>
        <w:spacing w:after="0" w:line="188" w:lineRule="exact"/>
        <w:rPr>
          <w:rFonts w:ascii="Arial" w:cs="Arial" w:eastAsia="Arial" w:hAnsi="Arial"/>
          <w:sz w:val="18"/>
          <w:szCs w:val="18"/>
          <w:color w:val="auto"/>
        </w:rPr>
      </w:pPr>
    </w:p>
    <w:p>
      <w:pPr>
        <w:jc w:val="both"/>
        <w:ind w:left="328" w:hanging="4"/>
        <w:spacing w:after="0" w:line="293" w:lineRule="auto"/>
        <w:tabs>
          <w:tab w:leader="none" w:pos="7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Consummation by the Company of a recapitalization, reorganization, merger, consolidation or other similar transaction (a “Business Combination”), with respect to which all or substantially all of the individuals and entities who were the beneficial owners of the Voting Securities immediately prior such Business Combination (the “Incumbent Shareholders”) do not, following consummation of all transactions intended to constitute part of such Business Combination, beneficially own, directly or indirectly, fifty percent (50%) or more of the Voting Securities of the corporation, business trust or other entity resulting from or being the surviving entity in such Business Combination (the “Surviving Entity”), in substantially the same proportion as their ownership of such Voting Securities immediately prior to such Business Combination;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471805</wp:posOffset>
            </wp:positionV>
            <wp:extent cx="726757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112" w:name="page113"/>
    <w:bookmarkEnd w:id="112"/>
    <w:p>
      <w:pPr>
        <w:jc w:val="both"/>
        <w:ind w:left="328" w:hanging="4"/>
        <w:spacing w:after="0" w:line="257" w:lineRule="auto"/>
        <w:tabs>
          <w:tab w:leader="none" w:pos="637"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Consummation of a complete liquidation or dissolution of the Company, or the sale or other disposition of all or substantially all of the assets of the Company, other than to a corporation, business trust or other entity with respect to which, following consummation of all transactions intended to constitute part of such sale or disposition, more than fifty percent (50%) of the combined Voting Securities is then owned beneficially, directly or indirectly, by the Incumbent Shareholders in substantially the same proportion as their ownership of the Voting Securities immediately prior to such sale or disposition.</w:t>
      </w:r>
    </w:p>
    <w:p>
      <w:pPr>
        <w:spacing w:after="0" w:line="188" w:lineRule="exact"/>
        <w:rPr>
          <w:sz w:val="20"/>
          <w:szCs w:val="20"/>
          <w:color w:val="auto"/>
        </w:rPr>
      </w:pPr>
    </w:p>
    <w:p>
      <w:pPr>
        <w:ind w:left="328"/>
        <w:spacing w:after="0"/>
        <w:rPr>
          <w:sz w:val="20"/>
          <w:szCs w:val="20"/>
          <w:color w:val="auto"/>
        </w:rPr>
      </w:pPr>
      <w:r>
        <w:rPr>
          <w:rFonts w:ascii="Arial" w:cs="Arial" w:eastAsia="Arial" w:hAnsi="Arial"/>
          <w:sz w:val="18"/>
          <w:szCs w:val="18"/>
          <w:color w:val="auto"/>
        </w:rPr>
        <w:t>For purposes of this definition, the following terms shall have the meanings set forth below:</w:t>
      </w:r>
    </w:p>
    <w:p>
      <w:pPr>
        <w:spacing w:after="0" w:line="225" w:lineRule="exact"/>
        <w:rPr>
          <w:sz w:val="20"/>
          <w:szCs w:val="20"/>
          <w:color w:val="auto"/>
        </w:rPr>
      </w:pPr>
    </w:p>
    <w:p>
      <w:pPr>
        <w:ind w:left="628" w:hanging="304"/>
        <w:spacing w:after="0"/>
        <w:tabs>
          <w:tab w:leader="none" w:pos="628" w:val="left"/>
        </w:tabs>
        <w:numPr>
          <w:ilvl w:val="0"/>
          <w:numId w:val="60"/>
        </w:numPr>
        <w:rPr>
          <w:rFonts w:ascii="Arial" w:cs="Arial" w:eastAsia="Arial" w:hAnsi="Arial"/>
          <w:sz w:val="18"/>
          <w:szCs w:val="18"/>
          <w:color w:val="auto"/>
        </w:rPr>
      </w:pPr>
      <w:r>
        <w:rPr>
          <w:rFonts w:ascii="Arial" w:cs="Arial" w:eastAsia="Arial" w:hAnsi="Arial"/>
          <w:sz w:val="18"/>
          <w:szCs w:val="18"/>
          <w:color w:val="auto"/>
        </w:rPr>
        <w:t>“Beneficial Owner” shall have the meaning set forth in Rule 13d-3 under the Exchange Act;</w:t>
      </w:r>
    </w:p>
    <w:p>
      <w:pPr>
        <w:spacing w:after="0" w:line="225" w:lineRule="exact"/>
        <w:rPr>
          <w:rFonts w:ascii="Arial" w:cs="Arial" w:eastAsia="Arial" w:hAnsi="Arial"/>
          <w:sz w:val="18"/>
          <w:szCs w:val="18"/>
          <w:color w:val="auto"/>
        </w:rPr>
      </w:pPr>
    </w:p>
    <w:p>
      <w:pPr>
        <w:ind w:left="608" w:hanging="284"/>
        <w:spacing w:after="0"/>
        <w:tabs>
          <w:tab w:leader="none" w:pos="608"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 and</w:t>
      </w:r>
    </w:p>
    <w:p>
      <w:pPr>
        <w:spacing w:after="0" w:line="225" w:lineRule="exact"/>
        <w:rPr>
          <w:rFonts w:ascii="Arial" w:cs="Arial" w:eastAsia="Arial" w:hAnsi="Arial"/>
          <w:sz w:val="18"/>
          <w:szCs w:val="18"/>
          <w:color w:val="auto"/>
        </w:rPr>
      </w:pPr>
    </w:p>
    <w:p>
      <w:pPr>
        <w:ind w:left="608" w:hanging="284"/>
        <w:spacing w:after="0"/>
        <w:tabs>
          <w:tab w:leader="none" w:pos="608"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“Person” shall have the meaning as used in Sections 13(d) and 14(d) of the Exchange Act.</w:t>
      </w:r>
    </w:p>
    <w:p>
      <w:pPr>
        <w:spacing w:after="0" w:line="225" w:lineRule="exact"/>
        <w:rPr>
          <w:sz w:val="20"/>
          <w:szCs w:val="20"/>
          <w:color w:val="auto"/>
        </w:rPr>
      </w:pPr>
    </w:p>
    <w:p>
      <w:pPr>
        <w:jc w:val="both"/>
        <w:ind w:left="328"/>
        <w:spacing w:after="0" w:line="264" w:lineRule="auto"/>
        <w:rPr>
          <w:sz w:val="20"/>
          <w:szCs w:val="20"/>
          <w:color w:val="auto"/>
        </w:rPr>
      </w:pPr>
      <w:r>
        <w:rPr>
          <w:rFonts w:ascii="Arial" w:cs="Arial" w:eastAsia="Arial" w:hAnsi="Arial"/>
          <w:sz w:val="18"/>
          <w:szCs w:val="18"/>
          <w:color w:val="auto"/>
        </w:rPr>
        <w:t>Notwithstanding the foregoing, a transaction shall not constitute a Change in Control unless it is a “change in the ownership or effective control” of the Company, or a change “in the ownership of a substantial portion of the assets” of the Company within the meaning of Section 409A of the U.S. Internal Revenue Code of 1986, as amended (“Code Section 409A”).</w:t>
      </w:r>
    </w:p>
    <w:p>
      <w:pPr>
        <w:spacing w:after="0" w:line="181" w:lineRule="exact"/>
        <w:rPr>
          <w:sz w:val="20"/>
          <w:szCs w:val="20"/>
          <w:color w:val="auto"/>
        </w:rPr>
      </w:pPr>
    </w:p>
    <w:p>
      <w:pPr>
        <w:jc w:val="both"/>
        <w:ind w:left="328" w:hanging="4"/>
        <w:spacing w:after="0" w:line="259" w:lineRule="auto"/>
        <w:tabs>
          <w:tab w:leader="none" w:pos="6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“Company’s Field of Interest” means the primary businesses of the Company as described in the Company’s then two most recent Annual Reports on Form 10-K filed by the Company with the Securities and Exchange Commission (subject to any further description of such businesses that may be included in any Quarterly Reports on Form 10-Q or Current Reports on Form 8-K thereafter filed by the Company with the Securities and Exchange Commission) or as determined from time to time by the Board during the Term hereof.</w:t>
      </w:r>
    </w:p>
    <w:p>
      <w:pPr>
        <w:spacing w:after="0" w:line="186" w:lineRule="exact"/>
        <w:rPr>
          <w:rFonts w:ascii="Arial" w:cs="Arial" w:eastAsia="Arial" w:hAnsi="Arial"/>
          <w:sz w:val="18"/>
          <w:szCs w:val="18"/>
          <w:color w:val="auto"/>
        </w:rPr>
      </w:pPr>
    </w:p>
    <w:p>
      <w:pPr>
        <w:jc w:val="both"/>
        <w:ind w:left="328" w:hanging="4"/>
        <w:spacing w:after="0" w:line="264" w:lineRule="auto"/>
        <w:tabs>
          <w:tab w:leader="none" w:pos="602" w:val="left"/>
        </w:tabs>
        <w:numPr>
          <w:ilvl w:val="1"/>
          <w:numId w:val="61"/>
        </w:numPr>
        <w:rPr>
          <w:rFonts w:ascii="Arial" w:cs="Arial" w:eastAsia="Arial" w:hAnsi="Arial"/>
          <w:sz w:val="18"/>
          <w:szCs w:val="18"/>
          <w:color w:val="auto"/>
        </w:rPr>
      </w:pPr>
      <w:r>
        <w:rPr>
          <w:rFonts w:ascii="Arial" w:cs="Arial" w:eastAsia="Arial" w:hAnsi="Arial"/>
          <w:sz w:val="18"/>
          <w:szCs w:val="18"/>
          <w:color w:val="auto"/>
        </w:rPr>
        <w:t>As used herein, a “Separation from Service” occurs when the Executive dies, retires, or otherwise has a termination of employment with the Company that constitutes a “separation from service” within the meaning of Treasury Regulation Section 1.409A-1(h)(1), without regard to the optional alternative definitions available thereunder.</w:t>
      </w:r>
    </w:p>
    <w:p>
      <w:pPr>
        <w:spacing w:after="0" w:line="181" w:lineRule="exact"/>
        <w:rPr>
          <w:rFonts w:ascii="Arial" w:cs="Arial" w:eastAsia="Arial" w:hAnsi="Arial"/>
          <w:sz w:val="18"/>
          <w:szCs w:val="18"/>
          <w:color w:val="auto"/>
        </w:rPr>
      </w:pPr>
    </w:p>
    <w:p>
      <w:pPr>
        <w:ind w:left="328" w:hanging="328"/>
        <w:spacing w:after="0"/>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Representations by Executive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8"/>
        <w:spacing w:after="0" w:line="257" w:lineRule="auto"/>
        <w:rPr>
          <w:rFonts w:ascii="Arial" w:cs="Arial" w:eastAsia="Arial" w:hAnsi="Arial"/>
          <w:sz w:val="18"/>
          <w:szCs w:val="18"/>
          <w:color w:val="auto"/>
        </w:rPr>
      </w:pPr>
      <w:r>
        <w:rPr>
          <w:rFonts w:ascii="Arial" w:cs="Arial" w:eastAsia="Arial" w:hAnsi="Arial"/>
          <w:sz w:val="18"/>
          <w:szCs w:val="18"/>
          <w:color w:val="auto"/>
        </w:rPr>
        <w:t>The Executive represents and warrants that he has full right, power and authority to execute this Agreement and perform his obligations hereunder and that this Agreement has been duly executed by the Executive and such execution and the performance of this Agreement by the Executive do not and will not result in any conflict, breach or violation of or default under any other agreement or any judgment, order or decree to which the Executive is a party or by which he is bound. The Executive acknowledges and agrees that any material breach of the representations set forth in this Section 13 will constitute Cause under Section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487045</wp:posOffset>
            </wp:positionV>
            <wp:extent cx="726757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113" w:name="page114"/>
    <w:bookmarkEnd w:id="113"/>
    <w:p>
      <w:pPr>
        <w:ind w:left="328" w:hanging="328"/>
        <w:spacing w:after="0"/>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Section 409A Compliance</w:t>
      </w:r>
    </w:p>
    <w:p>
      <w:pPr>
        <w:spacing w:after="0" w:line="225" w:lineRule="exact"/>
        <w:rPr>
          <w:rFonts w:ascii="Arial" w:cs="Arial" w:eastAsia="Arial" w:hAnsi="Arial"/>
          <w:sz w:val="18"/>
          <w:szCs w:val="18"/>
          <w:color w:val="auto"/>
        </w:rPr>
      </w:pPr>
    </w:p>
    <w:p>
      <w:pPr>
        <w:jc w:val="both"/>
        <w:ind w:left="328" w:hanging="4"/>
        <w:spacing w:after="0" w:line="257" w:lineRule="auto"/>
        <w:tabs>
          <w:tab w:leader="none" w:pos="795" w:val="left"/>
        </w:tabs>
        <w:numPr>
          <w:ilvl w:val="1"/>
          <w:numId w:val="63"/>
        </w:numPr>
        <w:rPr>
          <w:rFonts w:ascii="Arial" w:cs="Arial" w:eastAsia="Arial" w:hAnsi="Arial"/>
          <w:sz w:val="18"/>
          <w:szCs w:val="18"/>
          <w:color w:val="auto"/>
        </w:rPr>
      </w:pPr>
      <w:r>
        <w:rPr>
          <w:rFonts w:ascii="Arial" w:cs="Arial" w:eastAsia="Arial" w:hAnsi="Arial"/>
          <w:sz w:val="18"/>
          <w:szCs w:val="18"/>
          <w:color w:val="auto"/>
        </w:rPr>
        <w:t>It is intended that any amounts payable under this Agreement shall either be exempt from or comply with Code Section 409A (including the Treasury regulations and other published guidance relating thereto) so as not to subject the Executive to payment of any additional tax, penalty or interest imposed under Code Section 409A. The provisions of this Agreement shall be construed and interpreted to avoid the imputation of any such additional tax, penalty or interest under Code Section 409A yet preserve (to the nearest extent reasonably possible) the intended benefit payable to the Executive.</w:t>
      </w:r>
    </w:p>
    <w:p>
      <w:pPr>
        <w:spacing w:after="0" w:line="188" w:lineRule="exact"/>
        <w:rPr>
          <w:rFonts w:ascii="Arial" w:cs="Arial" w:eastAsia="Arial" w:hAnsi="Arial"/>
          <w:sz w:val="18"/>
          <w:szCs w:val="18"/>
          <w:color w:val="auto"/>
        </w:rPr>
      </w:pPr>
    </w:p>
    <w:p>
      <w:pPr>
        <w:jc w:val="both"/>
        <w:ind w:left="328" w:hanging="4"/>
        <w:spacing w:after="0" w:line="254" w:lineRule="auto"/>
        <w:tabs>
          <w:tab w:leader="none" w:pos="868" w:val="left"/>
        </w:tabs>
        <w:numPr>
          <w:ilvl w:val="1"/>
          <w:numId w:val="63"/>
        </w:numPr>
        <w:rPr>
          <w:rFonts w:ascii="Arial" w:cs="Arial" w:eastAsia="Arial" w:hAnsi="Arial"/>
          <w:sz w:val="18"/>
          <w:szCs w:val="18"/>
          <w:color w:val="auto"/>
        </w:rPr>
      </w:pPr>
      <w:r>
        <w:rPr>
          <w:rFonts w:ascii="Arial" w:cs="Arial" w:eastAsia="Arial" w:hAnsi="Arial"/>
          <w:sz w:val="18"/>
          <w:szCs w:val="18"/>
          <w:color w:val="auto"/>
        </w:rPr>
        <w:t>If the Executive is a “specified employee” within the meaning of Treasury Regulation Section 1.409A-1(i) as of the date of the Executive’s Separation from Service, the Executive shall not be entitled to any payment or benefit pursuant to Section 9(c) or 9(d) until the earlier of (i) the date which is six (6) months after his Separation from Service for any reason other than death, or (ii) the date of the Executive’s death. The provisions of this Section 14(b) shall only apply if, and to the extent, required to avoid the imputation of any tax, penalty or interest pursuant to Code Section 409A. Any amounts otherwise payable to the Executive upon or in the six (6) month period following the Executive’s Separation from Service that are not so paid by reason of this Section 14(b) shall be paid (without interest) as soon as practicable (and in all events within thirty (30) days) after the date that is six (6) months after the Executive’s Separation from Service (or, if earlier, as soon as practicable, and in all events within thirty (30) days, after the date of the Executive’s death).</w:t>
      </w:r>
    </w:p>
    <w:p>
      <w:pPr>
        <w:spacing w:after="0" w:line="192" w:lineRule="exact"/>
        <w:rPr>
          <w:rFonts w:ascii="Arial" w:cs="Arial" w:eastAsia="Arial" w:hAnsi="Arial"/>
          <w:sz w:val="18"/>
          <w:szCs w:val="18"/>
          <w:color w:val="auto"/>
        </w:rPr>
      </w:pPr>
    </w:p>
    <w:p>
      <w:pPr>
        <w:jc w:val="both"/>
        <w:ind w:left="328" w:hanging="4"/>
        <w:spacing w:after="0" w:line="297" w:lineRule="auto"/>
        <w:tabs>
          <w:tab w:leader="none" w:pos="827" w:val="left"/>
        </w:tabs>
        <w:numPr>
          <w:ilvl w:val="1"/>
          <w:numId w:val="63"/>
        </w:numPr>
        <w:rPr>
          <w:rFonts w:ascii="Arial" w:cs="Arial" w:eastAsia="Arial" w:hAnsi="Arial"/>
          <w:sz w:val="16"/>
          <w:szCs w:val="16"/>
          <w:color w:val="auto"/>
        </w:rPr>
      </w:pPr>
      <w:r>
        <w:rPr>
          <w:rFonts w:ascii="Arial" w:cs="Arial" w:eastAsia="Arial" w:hAnsi="Arial"/>
          <w:sz w:val="16"/>
          <w:szCs w:val="16"/>
          <w:color w:val="auto"/>
        </w:rPr>
        <w:t>To the extent that any benefits pursuant to Section 9(c)(ii) or 9(d)(ii) or reimbursements pursuant to Section 3(d) or 3(e) are taxable to the Executive, any reimbursement payment due to the Executive pursuant to any such provision shall be paid to the Executive on or before the last day of the Executive’s taxable year following the taxable year in which the related expense was incurred. The benefits and reimbursements pursuant to such provisions are not subject to liquidation or exchange for another benefit and the amount of such benefits and reimbursements that the Executive receives in one taxable year shall not affect the amount of such benefits or reimbursements that the Executive receives in any other taxable year.</w:t>
      </w:r>
    </w:p>
    <w:p>
      <w:pPr>
        <w:spacing w:after="0" w:line="158" w:lineRule="exact"/>
        <w:rPr>
          <w:rFonts w:ascii="Arial" w:cs="Arial" w:eastAsia="Arial" w:hAnsi="Arial"/>
          <w:sz w:val="16"/>
          <w:szCs w:val="16"/>
          <w:color w:val="auto"/>
        </w:rPr>
      </w:pPr>
    </w:p>
    <w:p>
      <w:pPr>
        <w:ind w:left="328" w:hanging="328"/>
        <w:spacing w:after="0"/>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8"/>
        <w:spacing w:after="0" w:line="268" w:lineRule="auto"/>
        <w:rPr>
          <w:rFonts w:ascii="Arial" w:cs="Arial" w:eastAsia="Arial" w:hAnsi="Arial"/>
          <w:sz w:val="18"/>
          <w:szCs w:val="18"/>
          <w:color w:val="auto"/>
        </w:rPr>
      </w:pPr>
      <w:r>
        <w:rPr>
          <w:rFonts w:ascii="Arial" w:cs="Arial" w:eastAsia="Arial" w:hAnsi="Arial"/>
          <w:sz w:val="17"/>
          <w:szCs w:val="17"/>
          <w:color w:val="auto"/>
        </w:rPr>
        <w:t>The parties shall attempt in good faith to resolve all claims, disputes and other disagreements arising hereunder by negotiation. In the event that a dispute between the parties cannot be resolved within thirty (30) days of written notice from one party to the other party, such dispute shall, at the request of either party, after providing written notice to the other party, be submitted to arbitration in Lawrenceville, New Jersey in accordance with the arbitration rules of the American Arbitration Association then in effect. The notice of arbitration shall specifically describe the claims, disputes or other matters in issue to be submitted to arbitration. The parties shall jointly select a single arbitrator who shall have the authority to hold hearings and to render a decision in accordance with the arbitration rules of the American Arbitration Association. If the parties are unable to agree within ten (10) days, the arbitrator shall be selected by the Chief Judge of the Circuit Court for Howard County. The discovery rights and procedures provided by the Federal Rules of Civil Procedure shall be available and enforceable in the arbitration proceeding. The written decision of the arbitrator so appointed shall be conclusive and binding on the parties and enforceable by a court of competent jurisdiction. The expenses of the arbitration shall be borne equally by the parties to the arbitration, and each party shall pay for and bear the cost of its or his own experts, evidence and legal counsel, unless the arbitrator rules otherwise in the arbitration. Each party agrees to use its or his best efforts to cause a final decision to be rendered with respect to the matter submitted to arbitration within sixty (60) days after its submission. Notwithstanding the foregoing, the Company shall be free to pursue its rights and remedies under Section 5 hereof and pursuant to Exhibit A hereto in any court of competent jurisdiction, without regard to the arbitral proceedings contemplated by this Section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485140</wp:posOffset>
            </wp:positionV>
            <wp:extent cx="726757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114" w:name="page115"/>
    <w:bookmarkEnd w:id="114"/>
    <w:p>
      <w:pPr>
        <w:ind w:left="328" w:hanging="328"/>
        <w:spacing w:after="0"/>
        <w:tabs>
          <w:tab w:leader="none" w:pos="328"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8"/>
        <w:spacing w:after="0" w:line="302" w:lineRule="auto"/>
        <w:rPr>
          <w:rFonts w:ascii="Arial" w:cs="Arial" w:eastAsia="Arial" w:hAnsi="Arial"/>
          <w:sz w:val="18"/>
          <w:szCs w:val="18"/>
          <w:color w:val="auto"/>
        </w:rPr>
      </w:pPr>
      <w:r>
        <w:rPr>
          <w:rFonts w:ascii="Arial" w:cs="Arial" w:eastAsia="Arial" w:hAnsi="Arial"/>
          <w:sz w:val="16"/>
          <w:szCs w:val="16"/>
          <w:color w:val="auto"/>
        </w:rPr>
        <w:t>All notices, requests, consents and other communications required or permitted to be given hereunder or contemplated or in connection herewith shall be in writing and shall be deemed to have been duly given if sent by private overnight mail service (delivery confirmed by such service), registered or certified mail (return receipt requested and received), telecopy (confirmed receipt by return fax from the receiving party) or if delivered personally, as follows (or to such other address as either party shall designate by notice in writing to the other in accordance herewith):</w:t>
      </w:r>
    </w:p>
    <w:p>
      <w:pPr>
        <w:spacing w:after="0" w:line="154"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968"/>
        <w:spacing w:after="0"/>
        <w:rPr>
          <w:sz w:val="20"/>
          <w:szCs w:val="20"/>
          <w:color w:val="auto"/>
        </w:rPr>
      </w:pPr>
      <w:r>
        <w:rPr>
          <w:rFonts w:ascii="Arial" w:cs="Arial" w:eastAsia="Arial" w:hAnsi="Arial"/>
          <w:sz w:val="18"/>
          <w:szCs w:val="18"/>
          <w:color w:val="auto"/>
        </w:rPr>
        <w:t>Celsion Corporation</w:t>
      </w:r>
    </w:p>
    <w:p>
      <w:pPr>
        <w:spacing w:after="0" w:line="23" w:lineRule="exact"/>
        <w:rPr>
          <w:sz w:val="20"/>
          <w:szCs w:val="20"/>
          <w:color w:val="auto"/>
        </w:rPr>
      </w:pPr>
    </w:p>
    <w:p>
      <w:pPr>
        <w:ind w:left="968"/>
        <w:spacing w:after="0"/>
        <w:rPr>
          <w:sz w:val="20"/>
          <w:szCs w:val="20"/>
          <w:color w:val="auto"/>
        </w:rPr>
      </w:pPr>
      <w:r>
        <w:rPr>
          <w:rFonts w:ascii="Arial" w:cs="Arial" w:eastAsia="Arial" w:hAnsi="Arial"/>
          <w:sz w:val="18"/>
          <w:szCs w:val="18"/>
          <w:color w:val="auto"/>
        </w:rPr>
        <w:t>997 Lenox Drive, Suite 100</w:t>
      </w:r>
    </w:p>
    <w:p>
      <w:pPr>
        <w:spacing w:after="0" w:line="9" w:lineRule="exact"/>
        <w:rPr>
          <w:sz w:val="20"/>
          <w:szCs w:val="20"/>
          <w:color w:val="auto"/>
        </w:rPr>
      </w:pPr>
    </w:p>
    <w:p>
      <w:pPr>
        <w:ind w:left="968"/>
        <w:spacing w:after="0"/>
        <w:rPr>
          <w:sz w:val="20"/>
          <w:szCs w:val="20"/>
          <w:color w:val="auto"/>
        </w:rPr>
      </w:pPr>
      <w:r>
        <w:rPr>
          <w:rFonts w:ascii="Arial" w:cs="Arial" w:eastAsia="Arial" w:hAnsi="Arial"/>
          <w:sz w:val="18"/>
          <w:szCs w:val="18"/>
          <w:color w:val="auto"/>
        </w:rPr>
        <w:t>Lawrenceville, NJ 08648</w:t>
      </w:r>
    </w:p>
    <w:p>
      <w:pPr>
        <w:spacing w:after="0" w:line="9" w:lineRule="exact"/>
        <w:rPr>
          <w:sz w:val="20"/>
          <w:szCs w:val="20"/>
          <w:color w:val="auto"/>
        </w:rPr>
      </w:pPr>
    </w:p>
    <w:p>
      <w:pPr>
        <w:ind w:left="968"/>
        <w:spacing w:after="0"/>
        <w:rPr>
          <w:sz w:val="20"/>
          <w:szCs w:val="20"/>
          <w:color w:val="auto"/>
        </w:rPr>
      </w:pPr>
      <w:r>
        <w:rPr>
          <w:rFonts w:ascii="Arial" w:cs="Arial" w:eastAsia="Arial" w:hAnsi="Arial"/>
          <w:sz w:val="18"/>
          <w:szCs w:val="18"/>
          <w:color w:val="auto"/>
        </w:rPr>
        <w:t>Attention: Chairman of the Compensation Committee</w:t>
      </w:r>
    </w:p>
    <w:p>
      <w:pPr>
        <w:spacing w:after="0" w:line="9" w:lineRule="exact"/>
        <w:rPr>
          <w:sz w:val="20"/>
          <w:szCs w:val="20"/>
          <w:color w:val="auto"/>
        </w:rPr>
      </w:pPr>
    </w:p>
    <w:p>
      <w:pPr>
        <w:ind w:left="968"/>
        <w:spacing w:after="0"/>
        <w:rPr>
          <w:sz w:val="20"/>
          <w:szCs w:val="20"/>
          <w:color w:val="auto"/>
        </w:rPr>
      </w:pPr>
      <w:r>
        <w:rPr>
          <w:rFonts w:ascii="Arial" w:cs="Arial" w:eastAsia="Arial" w:hAnsi="Arial"/>
          <w:sz w:val="18"/>
          <w:szCs w:val="18"/>
          <w:color w:val="auto"/>
        </w:rPr>
        <w:t>Telephone: 609-896-9100</w:t>
      </w:r>
    </w:p>
    <w:p>
      <w:pPr>
        <w:spacing w:after="0" w:line="9" w:lineRule="exact"/>
        <w:rPr>
          <w:sz w:val="20"/>
          <w:szCs w:val="20"/>
          <w:color w:val="auto"/>
        </w:rPr>
      </w:pPr>
    </w:p>
    <w:p>
      <w:pPr>
        <w:ind w:left="968"/>
        <w:spacing w:after="0"/>
        <w:rPr>
          <w:sz w:val="20"/>
          <w:szCs w:val="20"/>
          <w:color w:val="auto"/>
        </w:rPr>
      </w:pPr>
      <w:r>
        <w:rPr>
          <w:rFonts w:ascii="Arial" w:cs="Arial" w:eastAsia="Arial" w:hAnsi="Arial"/>
          <w:sz w:val="18"/>
          <w:szCs w:val="18"/>
          <w:color w:val="auto"/>
        </w:rPr>
        <w:t>Fax: 609-896-2200</w:t>
      </w:r>
    </w:p>
    <w:p>
      <w:pPr>
        <w:spacing w:after="0" w:line="211" w:lineRule="exact"/>
        <w:rPr>
          <w:sz w:val="20"/>
          <w:szCs w:val="20"/>
          <w:color w:val="auto"/>
        </w:rPr>
      </w:pPr>
    </w:p>
    <w:p>
      <w:pPr>
        <w:ind w:left="328"/>
        <w:spacing w:after="0"/>
        <w:rPr>
          <w:sz w:val="20"/>
          <w:szCs w:val="20"/>
          <w:color w:val="auto"/>
        </w:rPr>
      </w:pPr>
      <w:r>
        <w:rPr>
          <w:rFonts w:ascii="Arial" w:cs="Arial" w:eastAsia="Arial" w:hAnsi="Arial"/>
          <w:sz w:val="18"/>
          <w:szCs w:val="18"/>
          <w:color w:val="auto"/>
        </w:rPr>
        <w:t>If to the Executive:</w:t>
      </w:r>
    </w:p>
    <w:p>
      <w:pPr>
        <w:spacing w:after="0" w:line="225" w:lineRule="exact"/>
        <w:rPr>
          <w:sz w:val="20"/>
          <w:szCs w:val="20"/>
          <w:color w:val="auto"/>
        </w:rPr>
      </w:pPr>
    </w:p>
    <w:p>
      <w:pPr>
        <w:ind w:left="968"/>
        <w:spacing w:after="0"/>
        <w:rPr>
          <w:sz w:val="20"/>
          <w:szCs w:val="20"/>
          <w:color w:val="auto"/>
        </w:rPr>
      </w:pPr>
      <w:r>
        <w:rPr>
          <w:rFonts w:ascii="Arial" w:cs="Arial" w:eastAsia="Arial" w:hAnsi="Arial"/>
          <w:sz w:val="18"/>
          <w:szCs w:val="18"/>
          <w:color w:val="auto"/>
        </w:rPr>
        <w:t>Michael Tardugno</w:t>
      </w:r>
    </w:p>
    <w:p>
      <w:pPr>
        <w:spacing w:after="0" w:line="23" w:lineRule="exact"/>
        <w:rPr>
          <w:sz w:val="20"/>
          <w:szCs w:val="20"/>
          <w:color w:val="auto"/>
        </w:rPr>
      </w:pPr>
    </w:p>
    <w:p>
      <w:pPr>
        <w:ind w:left="968"/>
        <w:spacing w:after="0"/>
        <w:rPr>
          <w:sz w:val="20"/>
          <w:szCs w:val="20"/>
          <w:color w:val="auto"/>
        </w:rPr>
      </w:pPr>
      <w:r>
        <w:rPr>
          <w:rFonts w:ascii="Arial" w:cs="Arial" w:eastAsia="Arial" w:hAnsi="Arial"/>
          <w:sz w:val="18"/>
          <w:szCs w:val="18"/>
          <w:color w:val="auto"/>
        </w:rPr>
        <w:t>Address: 126 Hillborn Dr. Newtown, PA 18940</w:t>
      </w:r>
    </w:p>
    <w:p>
      <w:pPr>
        <w:spacing w:after="0" w:line="9" w:lineRule="exact"/>
        <w:rPr>
          <w:sz w:val="20"/>
          <w:szCs w:val="20"/>
          <w:color w:val="auto"/>
        </w:rPr>
      </w:pPr>
    </w:p>
    <w:p>
      <w:pPr>
        <w:ind w:left="968"/>
        <w:spacing w:after="0"/>
        <w:rPr>
          <w:sz w:val="20"/>
          <w:szCs w:val="20"/>
          <w:color w:val="auto"/>
        </w:rPr>
      </w:pPr>
      <w:r>
        <w:rPr>
          <w:rFonts w:ascii="Arial" w:cs="Arial" w:eastAsia="Arial" w:hAnsi="Arial"/>
          <w:sz w:val="18"/>
          <w:szCs w:val="18"/>
          <w:color w:val="auto"/>
        </w:rPr>
        <w:t>Telephone: 917-623-9054</w:t>
      </w:r>
    </w:p>
    <w:p>
      <w:pPr>
        <w:spacing w:after="0" w:line="9" w:lineRule="exact"/>
        <w:rPr>
          <w:sz w:val="20"/>
          <w:szCs w:val="20"/>
          <w:color w:val="auto"/>
        </w:rPr>
      </w:pPr>
    </w:p>
    <w:p>
      <w:pPr>
        <w:ind w:left="968"/>
        <w:spacing w:after="0"/>
        <w:rPr>
          <w:sz w:val="20"/>
          <w:szCs w:val="20"/>
          <w:color w:val="auto"/>
        </w:rPr>
      </w:pPr>
      <w:r>
        <w:rPr>
          <w:rFonts w:ascii="Arial" w:cs="Arial" w:eastAsia="Arial" w:hAnsi="Arial"/>
          <w:sz w:val="18"/>
          <w:szCs w:val="18"/>
          <w:color w:val="auto"/>
        </w:rPr>
        <w:t>Fax: —</w:t>
      </w:r>
    </w:p>
    <w:p>
      <w:pPr>
        <w:spacing w:after="0" w:line="211" w:lineRule="exact"/>
        <w:rPr>
          <w:sz w:val="20"/>
          <w:szCs w:val="20"/>
          <w:color w:val="auto"/>
        </w:rPr>
      </w:pPr>
    </w:p>
    <w:p>
      <w:pPr>
        <w:ind w:left="328" w:hanging="328"/>
        <w:spacing w:after="0"/>
        <w:tabs>
          <w:tab w:leader="none" w:pos="328"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Indemnification and Limitation of Liability.</w:t>
      </w:r>
    </w:p>
    <w:p>
      <w:pPr>
        <w:spacing w:after="0" w:line="225" w:lineRule="exact"/>
        <w:rPr>
          <w:rFonts w:ascii="Arial" w:cs="Arial" w:eastAsia="Arial" w:hAnsi="Arial"/>
          <w:sz w:val="18"/>
          <w:szCs w:val="18"/>
          <w:color w:val="auto"/>
        </w:rPr>
      </w:pPr>
    </w:p>
    <w:p>
      <w:pPr>
        <w:jc w:val="both"/>
        <w:ind w:left="328"/>
        <w:spacing w:after="0" w:line="264" w:lineRule="auto"/>
        <w:rPr>
          <w:rFonts w:ascii="Arial" w:cs="Arial" w:eastAsia="Arial" w:hAnsi="Arial"/>
          <w:sz w:val="18"/>
          <w:szCs w:val="18"/>
          <w:color w:val="auto"/>
        </w:rPr>
      </w:pPr>
      <w:r>
        <w:rPr>
          <w:rFonts w:ascii="Arial" w:cs="Arial" w:eastAsia="Arial" w:hAnsi="Arial"/>
          <w:sz w:val="18"/>
          <w:szCs w:val="18"/>
          <w:color w:val="auto"/>
        </w:rPr>
        <w:t>The Corporation acknowledges and agrees that the protections afforded by Article Ninth of the Amended and Restated Certificate of Incorporation, as amended, of the Corporation, and Article VI of the Bylaws, as amended, of the Corporation are available to the Executive throughout the Term and thereafter, in accordance with their respective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482600</wp:posOffset>
            </wp:positionV>
            <wp:extent cx="72675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115" w:name="page116"/>
    <w:bookmarkEnd w:id="115"/>
    <w:p>
      <w:pPr>
        <w:ind w:left="328" w:hanging="328"/>
        <w:spacing w:after="0"/>
        <w:tabs>
          <w:tab w:leader="none" w:pos="328"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8" w:hanging="4"/>
        <w:spacing w:after="0" w:line="277" w:lineRule="auto"/>
        <w:tabs>
          <w:tab w:leader="none" w:pos="608"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and enforced in accordance with the laws of the State of New Jersey applicable to agreements made and to be performed entirely in New Jersey.</w:t>
      </w:r>
    </w:p>
    <w:p>
      <w:pPr>
        <w:spacing w:after="0" w:line="170" w:lineRule="exact"/>
        <w:rPr>
          <w:rFonts w:ascii="Arial" w:cs="Arial" w:eastAsia="Arial" w:hAnsi="Arial"/>
          <w:sz w:val="18"/>
          <w:szCs w:val="18"/>
          <w:color w:val="auto"/>
        </w:rPr>
      </w:pPr>
    </w:p>
    <w:p>
      <w:pPr>
        <w:jc w:val="both"/>
        <w:ind w:left="328" w:hanging="4"/>
        <w:spacing w:after="0" w:line="255" w:lineRule="auto"/>
        <w:tabs>
          <w:tab w:leader="none" w:pos="583"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This Agreement, together with the agreement set forth in Annex A hereto, sets forth the entire agreement and understanding of the parties relating to the subject matter hereof, and supersedes all prior agreements, arrangements and understandings, written or oral, relating to the subject matter hereof, including without limitation the Existing Agreement. The Existing Agreement is hereby amended in its entirety and restated herein. No representation, promise or inducement has been made by either party that is not embodied in this Agreement, and neither party shall be bound by or liable for any alleged representation, promise or inducement not so set forth. Notwithstanding the foregoing, in the event that the provisions hereof shall conflict with the terms of any stock option grant agreement, stock award agreement or similar document granting stock options, warrants or similar rights, then the terms hereof shall control.</w:t>
      </w:r>
    </w:p>
    <w:p>
      <w:pPr>
        <w:spacing w:after="0" w:line="189" w:lineRule="exact"/>
        <w:rPr>
          <w:rFonts w:ascii="Arial" w:cs="Arial" w:eastAsia="Arial" w:hAnsi="Arial"/>
          <w:sz w:val="18"/>
          <w:szCs w:val="18"/>
          <w:color w:val="auto"/>
        </w:rPr>
      </w:pPr>
    </w:p>
    <w:p>
      <w:pPr>
        <w:jc w:val="both"/>
        <w:ind w:left="328" w:hanging="4"/>
        <w:spacing w:after="0" w:line="276" w:lineRule="auto"/>
        <w:tabs>
          <w:tab w:leader="none" w:pos="577" w:val="left"/>
        </w:tabs>
        <w:numPr>
          <w:ilvl w:val="1"/>
          <w:numId w:val="66"/>
        </w:numPr>
        <w:rPr>
          <w:rFonts w:ascii="Arial" w:cs="Arial" w:eastAsia="Arial" w:hAnsi="Arial"/>
          <w:sz w:val="17"/>
          <w:szCs w:val="17"/>
          <w:color w:val="auto"/>
        </w:rPr>
      </w:pPr>
      <w:r>
        <w:rPr>
          <w:rFonts w:ascii="Arial" w:cs="Arial" w:eastAsia="Arial" w:hAnsi="Arial"/>
          <w:sz w:val="17"/>
          <w:szCs w:val="17"/>
          <w:color w:val="auto"/>
        </w:rPr>
        <w:t>This Agreement may be amended, modified, superseded, canceled, renewed or extended, and the terms or covenants hereof may be waived, only by a written instrument executed by the parties hereto, or in the case of a waiver, by the party waiving compliance. The failure of a party at any time or times to require performance of any provision hereof shall in no manner affect the right at a later time to enforce the same. No waiver by a party of the breach of any term or covenant contained in this Agreement, whether by conduct or otherwise, or any one or more or continuing waivers of any such breach, shall constitute a waiver of the breach of any other term or covenant contained in this Agreement.</w:t>
      </w:r>
    </w:p>
    <w:p>
      <w:pPr>
        <w:spacing w:after="0" w:line="172" w:lineRule="exact"/>
        <w:rPr>
          <w:rFonts w:ascii="Arial" w:cs="Arial" w:eastAsia="Arial" w:hAnsi="Arial"/>
          <w:sz w:val="17"/>
          <w:szCs w:val="17"/>
          <w:color w:val="auto"/>
        </w:rPr>
      </w:pPr>
    </w:p>
    <w:p>
      <w:pPr>
        <w:jc w:val="both"/>
        <w:ind w:left="328" w:hanging="4"/>
        <w:spacing w:after="0" w:line="272" w:lineRule="auto"/>
        <w:tabs>
          <w:tab w:leader="none" w:pos="585" w:val="left"/>
        </w:tabs>
        <w:numPr>
          <w:ilvl w:val="1"/>
          <w:numId w:val="66"/>
        </w:numPr>
        <w:rPr>
          <w:rFonts w:ascii="Arial" w:cs="Arial" w:eastAsia="Arial" w:hAnsi="Arial"/>
          <w:sz w:val="17"/>
          <w:szCs w:val="17"/>
          <w:color w:val="auto"/>
        </w:rPr>
      </w:pPr>
      <w:r>
        <w:rPr>
          <w:rFonts w:ascii="Arial" w:cs="Arial" w:eastAsia="Arial" w:hAnsi="Arial"/>
          <w:sz w:val="17"/>
          <w:szCs w:val="17"/>
          <w:color w:val="auto"/>
        </w:rPr>
        <w:t xml:space="preserve">This Agreement shall be binding upon and inure to the benefit of the legal representatives, heirs, distributees, successors and permitted assigns of the parties hereto. The Company may not assign its rights and obligation under this Agreement without the prior written consent of the Executive, except to a successor to substantially all the Company’s business that expressly assumes the Company’s obligations hereunder in writing. For purposes of this Agreement, “successors” shall mean any successor by way of share exchange, merger, consolidation, reorganization or similar transaction, or the sale of all or substantially all of the assets of the Company. The Executive may not assign, transfer, alienate or encumber any rights or obligations under this Agreement, except by will or operation of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Executive may designate beneficiaries to receive any payments permitted under the terms of the Company’s benefit plans.</w:t>
      </w:r>
    </w:p>
    <w:p>
      <w:pPr>
        <w:spacing w:after="0" w:line="17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509905</wp:posOffset>
            </wp:positionV>
            <wp:extent cx="72675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each of the parties has executed this Agreement under its or his seal effective as of the date first above written.</w:t>
      </w:r>
    </w:p>
    <w:p>
      <w:pPr>
        <w:sectPr>
          <w:pgSz w:w="11900" w:h="16838" w:orient="portrait"/>
          <w:cols w:equalWidth="0" w:num="1">
            <w:col w:w="10219"/>
          </w:cols>
          <w:pgMar w:left="240" w:top="580"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1860"/>
        <w:spacing w:after="0"/>
        <w:tabs>
          <w:tab w:leader="none" w:pos="4260" w:val="left"/>
        </w:tabs>
        <w:rPr>
          <w:sz w:val="20"/>
          <w:szCs w:val="20"/>
          <w:color w:val="auto"/>
        </w:rPr>
      </w:pPr>
      <w:r>
        <w:rPr>
          <w:rFonts w:ascii="Arial" w:cs="Arial" w:eastAsia="Arial" w:hAnsi="Arial"/>
          <w:sz w:val="18"/>
          <w:szCs w:val="18"/>
          <w:color w:val="auto"/>
        </w:rPr>
        <w:t>[SEAL]</w:t>
      </w:r>
      <w:r>
        <w:rPr>
          <w:sz w:val="20"/>
          <w:szCs w:val="20"/>
          <w:color w:val="auto"/>
        </w:rPr>
        <w:tab/>
      </w:r>
      <w:r>
        <w:rPr>
          <w:rFonts w:ascii="Arial" w:cs="Arial" w:eastAsia="Arial" w:hAnsi="Arial"/>
          <w:sz w:val="18"/>
          <w:szCs w:val="18"/>
          <w:color w:val="auto"/>
        </w:rPr>
        <w:t>Celsion Corporation</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Print Name: Robert W. Hooper</w:t>
      </w:r>
    </w:p>
    <w:p>
      <w:pPr>
        <w:spacing w:after="0" w:line="200" w:lineRule="exact"/>
        <w:rPr>
          <w:sz w:val="20"/>
          <w:szCs w:val="20"/>
          <w:color w:val="auto"/>
        </w:rPr>
      </w:pPr>
    </w:p>
    <w:p>
      <w:pPr>
        <w:spacing w:after="0" w:line="241" w:lineRule="exact"/>
        <w:rPr>
          <w:sz w:val="20"/>
          <w:szCs w:val="20"/>
          <w:color w:val="auto"/>
        </w:rPr>
      </w:pPr>
    </w:p>
    <w:p>
      <w:pPr>
        <w:jc w:val="right"/>
        <w:ind w:right="1219"/>
        <w:spacing w:after="0"/>
        <w:rPr>
          <w:sz w:val="20"/>
          <w:szCs w:val="20"/>
          <w:color w:val="auto"/>
        </w:rPr>
      </w:pPr>
      <w:r>
        <w:rPr>
          <w:rFonts w:ascii="Arial" w:cs="Arial" w:eastAsia="Arial" w:hAnsi="Arial"/>
          <w:sz w:val="18"/>
          <w:szCs w:val="18"/>
          <w:color w:val="auto"/>
        </w:rPr>
        <w:t>Director and Chairman of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[SEAL]</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By:</w:t>
      </w:r>
    </w:p>
    <w:p>
      <w:pPr>
        <w:spacing w:after="0" w:line="21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Print Name: Michael H. Tardugno</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Chairman, President &amp; CEO</w:t>
      </w:r>
    </w:p>
    <w:p>
      <w:pPr>
        <w:sectPr>
          <w:pgSz w:w="11900" w:h="16838" w:orient="portrait"/>
          <w:cols w:equalWidth="0" w:num="1">
            <w:col w:w="10219"/>
          </w:cols>
          <w:pgMar w:left="240" w:top="580" w:right="1440"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8360" w:type="dxa"/>
            <w:vAlign w:val="bottom"/>
            <w:gridSpan w:val="3"/>
          </w:tcPr>
          <w:p>
            <w:pPr>
              <w:ind w:left="1280"/>
              <w:spacing w:after="0"/>
              <w:rPr>
                <w:sz w:val="20"/>
                <w:szCs w:val="20"/>
                <w:color w:val="auto"/>
              </w:rPr>
            </w:pPr>
            <w:r>
              <w:rPr>
                <w:rFonts w:ascii="Arial" w:cs="Arial" w:eastAsia="Arial" w:hAnsi="Arial"/>
                <w:sz w:val="18"/>
                <w:szCs w:val="18"/>
                <w:b w:val="1"/>
                <w:bCs w:val="1"/>
                <w:color w:val="auto"/>
              </w:rPr>
              <w:t>Subsidiaries of Celsion Corporation</w:t>
            </w:r>
          </w:p>
        </w:tc>
      </w:tr>
      <w:tr>
        <w:trPr>
          <w:trHeight w:val="414"/>
        </w:trPr>
        <w:tc>
          <w:tcPr>
            <w:tcW w:w="30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w:t>
            </w:r>
          </w:p>
        </w:tc>
      </w:tr>
      <w:tr>
        <w:trPr>
          <w:trHeight w:val="234"/>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7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Incorporation</w:t>
            </w:r>
          </w:p>
        </w:tc>
      </w:tr>
      <w:tr>
        <w:trPr>
          <w:trHeight w:val="224"/>
        </w:trPr>
        <w:tc>
          <w:tcPr>
            <w:tcW w:w="3060" w:type="dxa"/>
            <w:vAlign w:val="bottom"/>
          </w:tcPr>
          <w:p>
            <w:pPr>
              <w:spacing w:after="0"/>
              <w:rPr>
                <w:sz w:val="20"/>
                <w:szCs w:val="20"/>
                <w:color w:val="auto"/>
              </w:rPr>
            </w:pPr>
            <w:r>
              <w:rPr>
                <w:rFonts w:ascii="Arial" w:cs="Arial" w:eastAsia="Arial" w:hAnsi="Arial"/>
                <w:sz w:val="18"/>
                <w:szCs w:val="18"/>
                <w:color w:val="auto"/>
              </w:rPr>
              <w:t>CLSN Laboratories, Inc.</w:t>
            </w:r>
          </w:p>
        </w:tc>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420"/>
          </w:cols>
          <w:pgMar w:left="240" w:top="12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Celsion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Lawrenceville, New Jersey</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consent to the incorporation by reference of our report dated March 30, 2016, with respect to the financial statements of Celsion Corporation, included in the Annual Report on Form 10-K for the year ended December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Stegman &amp;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2016</w:t>
      </w:r>
    </w:p>
    <w:p>
      <w:pPr>
        <w:sectPr>
          <w:pgSz w:w="11900" w:h="16838" w:orient="portrait"/>
          <w:cols w:equalWidth="0" w:num="1">
            <w:col w:w="11420"/>
          </w:cols>
          <w:pgMar w:left="240" w:top="12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480"/>
        <w:spacing w:after="0" w:line="266" w:lineRule="auto"/>
        <w:rPr>
          <w:sz w:val="20"/>
          <w:szCs w:val="20"/>
          <w:color w:val="auto"/>
        </w:rPr>
      </w:pPr>
      <w:r>
        <w:rPr>
          <w:rFonts w:ascii="Arial" w:cs="Arial" w:eastAsia="Arial" w:hAnsi="Arial"/>
          <w:sz w:val="18"/>
          <w:szCs w:val="18"/>
          <w:b w:val="1"/>
          <w:bCs w:val="1"/>
          <w:color w:val="auto"/>
        </w:rPr>
        <w:t xml:space="preserve">CERTIFICATION OF THE CHIEF EXECUTIVE OFFICER PURSUANT TO SECURITIES EXCHANGE ACT OF 1934 RULES 13a-14(a) AND 15d-14(a) AS ADOPTED PURSUANT TO </w:t>
      </w:r>
      <w:r>
        <w:rPr>
          <w:rFonts w:ascii="Arial" w:cs="Arial" w:eastAsia="Arial" w:hAnsi="Arial"/>
          <w:sz w:val="18"/>
          <w:szCs w:val="18"/>
          <w:color w:val="auto"/>
        </w:rPr>
        <w:t>§</w:t>
      </w:r>
      <w:r>
        <w:rPr>
          <w:rFonts w:ascii="Arial" w:cs="Arial" w:eastAsia="Arial" w:hAnsi="Arial"/>
          <w:sz w:val="18"/>
          <w:szCs w:val="18"/>
          <w:b w:val="1"/>
          <w:bCs w:val="1"/>
          <w:color w:val="auto"/>
        </w:rPr>
        <w:t>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560" w:hanging="552"/>
        <w:spacing w:after="0"/>
        <w:tabs>
          <w:tab w:leader="none" w:pos="5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Celsion Corporation;</w:t>
      </w:r>
    </w:p>
    <w:p>
      <w:pPr>
        <w:spacing w:after="0" w:line="225" w:lineRule="exact"/>
        <w:rPr>
          <w:rFonts w:ascii="Arial" w:cs="Arial" w:eastAsia="Arial" w:hAnsi="Arial"/>
          <w:sz w:val="18"/>
          <w:szCs w:val="18"/>
          <w:color w:val="auto"/>
        </w:rPr>
      </w:pPr>
    </w:p>
    <w:p>
      <w:pPr>
        <w:jc w:val="both"/>
        <w:ind w:left="560" w:right="380" w:hanging="552"/>
        <w:spacing w:after="0" w:line="264" w:lineRule="auto"/>
        <w:tabs>
          <w:tab w:leader="none" w:pos="5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60" w:right="360" w:hanging="552"/>
        <w:spacing w:after="0" w:line="308" w:lineRule="auto"/>
        <w:tabs>
          <w:tab w:leader="none" w:pos="5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60" w:right="380" w:hanging="552"/>
        <w:spacing w:after="0" w:line="264" w:lineRule="auto"/>
        <w:tabs>
          <w:tab w:leader="none" w:pos="5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40" w:right="180" w:hanging="451"/>
        <w:spacing w:after="0" w:line="264" w:lineRule="auto"/>
        <w:tabs>
          <w:tab w:leader="none" w:pos="10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480" w:hanging="451"/>
        <w:spacing w:after="0" w:line="264" w:lineRule="auto"/>
        <w:tabs>
          <w:tab w:leader="none" w:pos="10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40" w:right="660" w:hanging="451"/>
        <w:spacing w:after="0" w:line="342" w:lineRule="auto"/>
        <w:tabs>
          <w:tab w:leader="none" w:pos="10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160" w:hanging="451"/>
        <w:spacing w:after="0" w:line="264" w:lineRule="auto"/>
        <w:tabs>
          <w:tab w:leader="none" w:pos="10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560" w:right="80" w:hanging="552"/>
        <w:spacing w:after="0" w:line="308" w:lineRule="auto"/>
        <w:tabs>
          <w:tab w:leader="none" w:pos="5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1040" w:right="80" w:hanging="451"/>
        <w:spacing w:after="0" w:line="277" w:lineRule="auto"/>
        <w:tabs>
          <w:tab w:leader="none" w:pos="10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40" w:hanging="451"/>
        <w:spacing w:after="0" w:line="277" w:lineRule="auto"/>
        <w:tabs>
          <w:tab w:leader="none" w:pos="10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Date: March 30,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H. Tardugno</w:t>
            </w:r>
          </w:p>
        </w:tc>
      </w:tr>
      <w:tr>
        <w:trPr>
          <w:trHeight w:val="195"/>
        </w:trPr>
        <w:tc>
          <w:tcPr>
            <w:tcW w:w="55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Michael H. Tardugno</w:t>
            </w:r>
          </w:p>
        </w:tc>
      </w:tr>
      <w:tr>
        <w:trPr>
          <w:trHeight w:val="230"/>
        </w:trPr>
        <w:tc>
          <w:tcPr>
            <w:tcW w:w="55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480"/>
        <w:spacing w:after="0" w:line="266" w:lineRule="auto"/>
        <w:rPr>
          <w:sz w:val="20"/>
          <w:szCs w:val="20"/>
          <w:color w:val="auto"/>
        </w:rPr>
      </w:pPr>
      <w:r>
        <w:rPr>
          <w:rFonts w:ascii="Arial" w:cs="Arial" w:eastAsia="Arial" w:hAnsi="Arial"/>
          <w:sz w:val="18"/>
          <w:szCs w:val="18"/>
          <w:b w:val="1"/>
          <w:bCs w:val="1"/>
          <w:color w:val="auto"/>
        </w:rPr>
        <w:t xml:space="preserve">CERTIFICATION OF THE CHIEF FINANCIAL OFFICER PURSUANT TO SECURITIES EXCHANGE ACT OF 1934 RULES 13a-14(a) AND 15d-14(a) AS ADOPTED PURSUANT TO </w:t>
      </w:r>
      <w:r>
        <w:rPr>
          <w:rFonts w:ascii="Arial" w:cs="Arial" w:eastAsia="Arial" w:hAnsi="Arial"/>
          <w:sz w:val="18"/>
          <w:szCs w:val="18"/>
          <w:color w:val="auto"/>
        </w:rPr>
        <w:t>§</w:t>
      </w:r>
      <w:r>
        <w:rPr>
          <w:rFonts w:ascii="Arial" w:cs="Arial" w:eastAsia="Arial" w:hAnsi="Arial"/>
          <w:sz w:val="18"/>
          <w:szCs w:val="18"/>
          <w:b w:val="1"/>
          <w:bCs w:val="1"/>
          <w:color w:val="auto"/>
        </w:rPr>
        <w:t>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560" w:hanging="552"/>
        <w:spacing w:after="0"/>
        <w:tabs>
          <w:tab w:leader="none" w:pos="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Celsion Corporation;</w:t>
      </w:r>
    </w:p>
    <w:p>
      <w:pPr>
        <w:spacing w:after="0" w:line="225" w:lineRule="exact"/>
        <w:rPr>
          <w:rFonts w:ascii="Arial" w:cs="Arial" w:eastAsia="Arial" w:hAnsi="Arial"/>
          <w:sz w:val="18"/>
          <w:szCs w:val="18"/>
          <w:color w:val="auto"/>
        </w:rPr>
      </w:pPr>
    </w:p>
    <w:p>
      <w:pPr>
        <w:jc w:val="both"/>
        <w:ind w:left="560" w:right="380" w:hanging="552"/>
        <w:spacing w:after="0" w:line="264" w:lineRule="auto"/>
        <w:tabs>
          <w:tab w:leader="none" w:pos="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60" w:right="360" w:hanging="552"/>
        <w:spacing w:after="0" w:line="308" w:lineRule="auto"/>
        <w:tabs>
          <w:tab w:leader="none" w:pos="5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60" w:right="380" w:hanging="552"/>
        <w:spacing w:after="0" w:line="264" w:lineRule="auto"/>
        <w:tabs>
          <w:tab w:leader="none" w:pos="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ind w:left="1040" w:right="180" w:hanging="451"/>
        <w:spacing w:after="0" w:line="264" w:lineRule="auto"/>
        <w:tabs>
          <w:tab w:leader="none" w:pos="10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480" w:hanging="451"/>
        <w:spacing w:after="0" w:line="264" w:lineRule="auto"/>
        <w:tabs>
          <w:tab w:leader="none" w:pos="10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40" w:right="660" w:hanging="451"/>
        <w:spacing w:after="0" w:line="342" w:lineRule="auto"/>
        <w:tabs>
          <w:tab w:leader="none" w:pos="104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160" w:hanging="451"/>
        <w:spacing w:after="0" w:line="264" w:lineRule="auto"/>
        <w:tabs>
          <w:tab w:leader="none" w:pos="10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560" w:right="80" w:hanging="552"/>
        <w:spacing w:after="0" w:line="308" w:lineRule="auto"/>
        <w:tabs>
          <w:tab w:leader="none" w:pos="5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1040" w:right="80" w:hanging="451"/>
        <w:spacing w:after="0" w:line="277" w:lineRule="auto"/>
        <w:tabs>
          <w:tab w:leader="none" w:pos="10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40" w:hanging="451"/>
        <w:spacing w:after="0" w:line="277" w:lineRule="auto"/>
        <w:tabs>
          <w:tab w:leader="none" w:pos="10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March 30,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Jeffrey W. Church</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Jeffrey W. Church</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420"/>
          </w:cols>
          <w:pgMar w:left="240" w:top="12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UNITED STATES CODE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11"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In connection with the Annual Report of Celsion Corporation (the “Company”) on Form 10-K for the year ended December 31, 2015, as filed with the Securities and Exchange Commission on or about March 30, 2016 (the “Report”), I, Michael H. Tardugno, President and Chief Executive Officer of the Company, certify, pursuant to 18 U.S.C. § 1350, as adopted pursuant to § 906 of the Sarbanes-Oxley Act of 2002, that, to my knowledge:</w:t>
      </w:r>
    </w:p>
    <w:p>
      <w:pPr>
        <w:spacing w:after="0" w:line="147" w:lineRule="exact"/>
        <w:rPr>
          <w:sz w:val="20"/>
          <w:szCs w:val="20"/>
          <w:color w:val="auto"/>
        </w:rPr>
      </w:pPr>
    </w:p>
    <w:p>
      <w:pPr>
        <w:ind w:left="560" w:hanging="552"/>
        <w:spacing w:after="0"/>
        <w:tabs>
          <w:tab w:leader="none" w:pos="5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March 30,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H. Tardugno</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Michael H. Tardugno</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signed original of this written statement required by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UNITED STATES CODE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1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connection with the Annual Report of Celsion Corporation (the “Company”) on Form 10-K for the year ended December 31, 2015, as filed with the Securities and Exchange Commission on or about March 30, 2016 (the “Report”), I, Jeffrey W. Church, Senior Vice President and Chief Financial Officer of the Company, certify, pursuant to 18 U.S.C. § 1350, as adopted pursuant to § 906 of the Sarbanes-Oxley Act of 2002, that, to my knowledge:</w:t>
      </w:r>
    </w:p>
    <w:p>
      <w:pPr>
        <w:spacing w:after="0" w:line="147" w:lineRule="exact"/>
        <w:rPr>
          <w:sz w:val="20"/>
          <w:szCs w:val="20"/>
          <w:color w:val="auto"/>
        </w:rPr>
      </w:pPr>
    </w:p>
    <w:p>
      <w:pPr>
        <w:ind w:left="560" w:hanging="552"/>
        <w:spacing w:after="0"/>
        <w:tabs>
          <w:tab w:leader="none" w:pos="5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March 30,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Jeffrey W. Church</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Jeffrey W. Church</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signed original of this written statement required by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1)"/>
      <w:numFmt w:val="lowerLetter"/>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lvl w:ilvl="1">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lvl w:ilvl="1">
      <w:lvlJc w:val="left"/>
      <w:lvlText w:val="●"/>
      <w:numFmt w:val="bullet"/>
      <w:start w:val="1"/>
    </w:lvl>
  </w:abstractNum>
  <w:abstractNum w:abstractNumId="12">
    <w:nsid w:val="3855585C"/>
    <w:multiLevelType w:val="hybridMultilevel"/>
    <w:lvl w:ilvl="0">
      <w:lvlJc w:val="left"/>
      <w:lvlText w:val="%1."/>
      <w:numFmt w:val="upperLetter"/>
      <w:start w:val="1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1)"/>
      <w:numFmt w:val="lowerLetter"/>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1)"/>
      <w:numFmt w:val="lowerLetter"/>
      <w:start w:val="1"/>
    </w:lvl>
  </w:abstractNum>
  <w:abstractNum w:abstractNumId="19">
    <w:nsid w:val="57E4CCAF"/>
    <w:multiLevelType w:val="hybridMultilevel"/>
    <w:lvl w:ilvl="0">
      <w:lvlJc w:val="left"/>
      <w:lvlText w:val="(%1)"/>
      <w:numFmt w:val="lowerLetter"/>
      <w:start w:val="2"/>
    </w:lvl>
  </w:abstractNum>
  <w:abstractNum w:abstractNumId="20">
    <w:nsid w:val="7A6D8D3C"/>
    <w:multiLevelType w:val="hybridMultilevel"/>
    <w:lvl w:ilvl="0">
      <w:lvlJc w:val="left"/>
      <w:lvlText w:val="(%1)"/>
      <w:numFmt w:val="lowerLetter"/>
      <w:start w:val="3"/>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1."/>
      <w:numFmt w:val="decimal"/>
      <w:start w:val="21"/>
    </w:lvl>
  </w:abstractNum>
  <w:abstractNum w:abstractNumId="30">
    <w:nsid w:val="3DC240FB"/>
    <w:multiLevelType w:val="hybridMultilevel"/>
    <w:lvl w:ilvl="0">
      <w:lvlJc w:val="left"/>
      <w:lvlText w:val="%1."/>
      <w:numFmt w:val="decimal"/>
      <w:start w:val="16"/>
    </w:lvl>
    <w:lvl w:ilvl="1">
      <w:lvlJc w:val="left"/>
      <w:lvlText w:val="●"/>
      <w:numFmt w:val="bullet"/>
      <w:start w:val="1"/>
    </w:lvl>
  </w:abstractNum>
  <w:abstractNum w:abstractNumId="31">
    <w:nsid w:val="1BA026FA"/>
    <w:multiLevelType w:val="hybridMultilevel"/>
    <w:lvl w:ilvl="0">
      <w:lvlJc w:val="left"/>
      <w:lvlText w:val="%1."/>
      <w:numFmt w:val="decimal"/>
      <w:start w:val="1"/>
    </w:lvl>
    <w:lvl w:ilvl="1">
      <w:lvlJc w:val="left"/>
      <w:lvlText w:val="(%2)"/>
      <w:numFmt w:val="lowerLetter"/>
      <w:start w:val="1"/>
    </w:lvl>
  </w:abstractNum>
  <w:abstractNum w:abstractNumId="32">
    <w:nsid w:val="79A1DEAA"/>
    <w:multiLevelType w:val="hybridMultilevel"/>
    <w:lvl w:ilvl="0">
      <w:lvlJc w:val="left"/>
      <w:lvlText w:val="%1"/>
      <w:numFmt w:val="decimal"/>
      <w:start w:val="1"/>
    </w:lvl>
    <w:lvl w:ilvl="1">
      <w:lvlJc w:val="left"/>
      <w:lvlText w:val="(%2)"/>
      <w:numFmt w:val="lowerLetter"/>
      <w:start w:val="4"/>
    </w:lvl>
  </w:abstractNum>
  <w:abstractNum w:abstractNumId="33">
    <w:nsid w:val="75C6C33A"/>
    <w:multiLevelType w:val="hybridMultilevel"/>
    <w:lvl w:ilvl="0">
      <w:lvlJc w:val="left"/>
      <w:lvlText w:val="%1."/>
      <w:numFmt w:val="decimal"/>
      <w:start w:val="2"/>
    </w:lvl>
    <w:lvl w:ilvl="1">
      <w:lvlJc w:val="left"/>
      <w:lvlText w:val="%2"/>
      <w:numFmt w:val="lowerLetter"/>
      <w:start w:val="1"/>
    </w:lvl>
  </w:abstractNum>
  <w:abstractNum w:abstractNumId="34">
    <w:nsid w:val="12E685FB"/>
    <w:multiLevelType w:val="hybridMultilevel"/>
    <w:lvl w:ilvl="0">
      <w:lvlJc w:val="left"/>
      <w:lvlText w:val="%1"/>
      <w:numFmt w:val="decimal"/>
      <w:start w:val="1"/>
    </w:lvl>
    <w:lvl w:ilvl="1">
      <w:lvlJc w:val="left"/>
      <w:lvlText w:val="(%2)"/>
      <w:numFmt w:val="decimal"/>
      <w:start w:val="3"/>
    </w:lvl>
  </w:abstractNum>
  <w:abstractNum w:abstractNumId="35">
    <w:nsid w:val="70C6A529"/>
    <w:multiLevelType w:val="hybridMultilevel"/>
    <w:lvl w:ilvl="0">
      <w:lvlJc w:val="left"/>
      <w:lvlText w:val="%1."/>
      <w:numFmt w:val="decimal"/>
      <w:start w:val="3"/>
    </w:lvl>
    <w:lvl w:ilvl="1">
      <w:lvlJc w:val="left"/>
      <w:lvlText w:val="%2"/>
      <w:numFmt w:val="decimal"/>
      <w:start w:val="1"/>
    </w:lvl>
  </w:abstractNum>
  <w:abstractNum w:abstractNumId="36">
    <w:nsid w:val="520EEDD1"/>
    <w:multiLevelType w:val="hybridMultilevel"/>
    <w:lvl w:ilvl="0">
      <w:lvlJc w:val="left"/>
      <w:lvlText w:val="(%1)"/>
      <w:numFmt w:val="lowerLetter"/>
      <w:start w:val="1"/>
    </w:lvl>
  </w:abstractNum>
  <w:abstractNum w:abstractNumId="37">
    <w:nsid w:val="374A3FE6"/>
    <w:multiLevelType w:val="hybridMultilevel"/>
    <w:lvl w:ilvl="0">
      <w:lvlJc w:val="left"/>
      <w:lvlText w:val="(%1)"/>
      <w:numFmt w:val="lowerLetter"/>
      <w:start w:val="2"/>
    </w:lvl>
  </w:abstractNum>
  <w:abstractNum w:abstractNumId="38">
    <w:nsid w:val="4F4EF005"/>
    <w:multiLevelType w:val="hybridMultilevel"/>
    <w:lvl w:ilvl="0">
      <w:lvlJc w:val="left"/>
      <w:lvlText w:val="%1"/>
      <w:numFmt w:val="decimal"/>
      <w:start w:val="1"/>
    </w:lvl>
    <w:lvl w:ilvl="1">
      <w:lvlJc w:val="left"/>
      <w:lvlText w:val="(%2)"/>
      <w:numFmt w:val="lowerLetter"/>
      <w:start w:val="6"/>
    </w:lvl>
  </w:abstractNum>
  <w:abstractNum w:abstractNumId="39">
    <w:nsid w:val="23F9C13C"/>
    <w:multiLevelType w:val="hybridMultilevel"/>
    <w:lvl w:ilvl="0">
      <w:lvlJc w:val="left"/>
      <w:lvlText w:val="%1."/>
      <w:numFmt w:val="decimal"/>
      <w:start w:val="4"/>
    </w:lvl>
    <w:lvl w:ilvl="1">
      <w:lvlJc w:val="left"/>
      <w:lvlText w:val="%2"/>
      <w:numFmt w:val="lowerLetter"/>
      <w:start w:val="1"/>
    </w:lvl>
  </w:abstractNum>
  <w:abstractNum w:abstractNumId="40">
    <w:nsid w:val="649BB77C"/>
    <w:multiLevelType w:val="hybridMultilevel"/>
    <w:lvl w:ilvl="0">
      <w:lvlJc w:val="left"/>
      <w:lvlText w:val="%1."/>
      <w:numFmt w:val="decimal"/>
      <w:start w:val="5"/>
    </w:lvl>
    <w:lvl w:ilvl="1">
      <w:lvlJc w:val="left"/>
      <w:lvlText w:val="(%2)"/>
      <w:numFmt w:val="lowerLetter"/>
      <w:start w:val="1"/>
    </w:lvl>
  </w:abstractNum>
  <w:abstractNum w:abstractNumId="41">
    <w:nsid w:val="275AC794"/>
    <w:multiLevelType w:val="hybridMultilevel"/>
    <w:lvl w:ilvl="0">
      <w:lvlJc w:val="left"/>
      <w:lvlText w:val="(%1)"/>
      <w:numFmt w:val="lowerLetter"/>
      <w:start w:val="3"/>
    </w:lvl>
  </w:abstractNum>
  <w:abstractNum w:abstractNumId="42">
    <w:nsid w:val="39386575"/>
    <w:multiLevelType w:val="hybridMultilevel"/>
    <w:lvl w:ilvl="0">
      <w:lvlJc w:val="left"/>
      <w:lvlText w:val="%1"/>
      <w:numFmt w:val="decimal"/>
      <w:start w:val="1"/>
    </w:lvl>
    <w:lvl w:ilvl="1">
      <w:lvlJc w:val="left"/>
      <w:lvlText w:val="(%2)"/>
      <w:numFmt w:val="lowerLetter"/>
      <w:start w:val="7"/>
    </w:lvl>
  </w:abstractNum>
  <w:abstractNum w:abstractNumId="43">
    <w:nsid w:val="1CF10FD8"/>
    <w:multiLevelType w:val="hybridMultilevel"/>
    <w:lvl w:ilvl="0">
      <w:lvlJc w:val="left"/>
      <w:lvlText w:val="%1."/>
      <w:numFmt w:val="decimal"/>
      <w:start w:val="6"/>
    </w:lvl>
    <w:lvl w:ilvl="1">
      <w:lvlJc w:val="left"/>
      <w:lvlText w:val="%2"/>
      <w:numFmt w:val="lowerLetter"/>
      <w:start w:val="1"/>
    </w:lvl>
  </w:abstractNum>
  <w:abstractNum w:abstractNumId="44">
    <w:nsid w:val="180115BE"/>
    <w:multiLevelType w:val="hybridMultilevel"/>
    <w:lvl w:ilvl="0">
      <w:lvlJc w:val="left"/>
      <w:lvlText w:val="(%1)"/>
      <w:numFmt w:val="lowerLetter"/>
      <w:start w:val="1"/>
    </w:lvl>
  </w:abstractNum>
  <w:abstractNum w:abstractNumId="45">
    <w:nsid w:val="235BA861"/>
    <w:multiLevelType w:val="hybridMultilevel"/>
    <w:lvl w:ilvl="0">
      <w:lvlJc w:val="left"/>
      <w:lvlText w:val="%1"/>
      <w:numFmt w:val="decimal"/>
      <w:start w:val="1"/>
    </w:lvl>
    <w:lvl w:ilvl="1">
      <w:lvlJc w:val="left"/>
      <w:lvlText w:val="(%2)"/>
      <w:numFmt w:val="lowerLetter"/>
      <w:start w:val="3"/>
    </w:lvl>
  </w:abstractNum>
  <w:abstractNum w:abstractNumId="46">
    <w:nsid w:val="47398C89"/>
    <w:multiLevelType w:val="hybridMultilevel"/>
    <w:lvl w:ilvl="0">
      <w:lvlJc w:val="left"/>
      <w:lvlText w:val="%1."/>
      <w:numFmt w:val="decimal"/>
      <w:start w:val="7"/>
    </w:lvl>
    <w:lvl w:ilvl="1">
      <w:lvlJc w:val="left"/>
      <w:lvlText w:val="%2"/>
      <w:numFmt w:val="lowerLetter"/>
      <w:start w:val="1"/>
    </w:lvl>
  </w:abstractNum>
  <w:abstractNum w:abstractNumId="47">
    <w:nsid w:val="354FE9F9"/>
    <w:multiLevelType w:val="hybridMultilevel"/>
    <w:lvl w:ilvl="0">
      <w:lvlJc w:val="left"/>
      <w:lvlText w:val="(%1)"/>
      <w:numFmt w:val="lowerLetter"/>
      <w:start w:val="1"/>
    </w:lvl>
  </w:abstractNum>
  <w:abstractNum w:abstractNumId="48">
    <w:nsid w:val="15B5AF5C"/>
    <w:multiLevelType w:val="hybridMultilevel"/>
    <w:lvl w:ilvl="0">
      <w:lvlJc w:val="left"/>
      <w:lvlText w:val="%1"/>
      <w:numFmt w:val="decimal"/>
      <w:start w:val="1"/>
    </w:lvl>
    <w:lvl w:ilvl="1">
      <w:lvlJc w:val="left"/>
      <w:lvlText w:val="(%2)"/>
      <w:numFmt w:val="lowerLetter"/>
      <w:start w:val="4"/>
    </w:lvl>
  </w:abstractNum>
  <w:abstractNum w:abstractNumId="49">
    <w:nsid w:val="741226BB"/>
    <w:multiLevelType w:val="hybridMultilevel"/>
    <w:lvl w:ilvl="0">
      <w:lvlJc w:val="left"/>
      <w:lvlText w:val="%1."/>
      <w:numFmt w:val="decimal"/>
      <w:start w:val="8"/>
    </w:lvl>
    <w:lvl w:ilvl="1">
      <w:lvlJc w:val="left"/>
      <w:lvlText w:val="%2"/>
      <w:numFmt w:val="lowerLetter"/>
      <w:start w:val="1"/>
    </w:lvl>
  </w:abstractNum>
  <w:abstractNum w:abstractNumId="50">
    <w:nsid w:val="D34B6A8"/>
    <w:multiLevelType w:val="hybridMultilevel"/>
    <w:lvl w:ilvl="0">
      <w:lvlJc w:val="left"/>
      <w:lvlText w:val="(%1)"/>
      <w:numFmt w:val="lowerRoman"/>
      <w:start w:val="1"/>
    </w:lvl>
  </w:abstractNum>
  <w:abstractNum w:abstractNumId="51">
    <w:nsid w:val="10233C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2">
    <w:nsid w:val="3F6AB60F"/>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3">
    <w:nsid w:val="61574095"/>
    <w:multiLevelType w:val="hybridMultilevel"/>
    <w:lvl w:ilvl="0">
      <w:lvlJc w:val="left"/>
      <w:lvlText w:val="(%1)"/>
      <w:numFmt w:val="lowerLetter"/>
      <w:start w:val="3"/>
    </w:lvl>
    <w:lvl w:ilvl="1">
      <w:lvlJc w:val="left"/>
      <w:lvlText w:val="(%2)"/>
      <w:numFmt w:val="lowerRoman"/>
      <w:start w:val="1"/>
    </w:lvl>
  </w:abstractNum>
  <w:abstractNum w:abstractNumId="54">
    <w:nsid w:val="7E0C57B1"/>
    <w:multiLevelType w:val="hybridMultilevel"/>
    <w:lvl w:ilvl="0">
      <w:lvlJc w:val="left"/>
      <w:lvlText w:val="(%1)"/>
      <w:numFmt w:val="lowerLetter"/>
      <w:start w:val="4"/>
    </w:lvl>
    <w:lvl w:ilvl="1">
      <w:lvlJc w:val="left"/>
      <w:lvlText w:val="(%2)"/>
      <w:numFmt w:val="lowerRoman"/>
      <w:start w:val="1"/>
    </w:lvl>
  </w:abstractNum>
  <w:abstractNum w:abstractNumId="55">
    <w:nsid w:val="77AE35EB"/>
    <w:multiLevelType w:val="hybridMultilevel"/>
    <w:lvl w:ilvl="0">
      <w:lvlJc w:val="left"/>
      <w:lvlText w:val="%1."/>
      <w:numFmt w:val="decimal"/>
      <w:start w:val="10"/>
    </w:lvl>
  </w:abstractNum>
  <w:abstractNum w:abstractNumId="56">
    <w:nsid w:val="579BE4F1"/>
    <w:multiLevelType w:val="hybridMultilevel"/>
    <w:lvl w:ilvl="0">
      <w:lvlJc w:val="left"/>
      <w:lvlText w:val="%1."/>
      <w:numFmt w:val="decimal"/>
      <w:start w:val="11"/>
    </w:lvl>
    <w:lvl w:ilvl="1">
      <w:lvlJc w:val="left"/>
      <w:lvlText w:val="(%2)"/>
      <w:numFmt w:val="lowerLetter"/>
      <w:start w:val="1"/>
    </w:lvl>
  </w:abstractNum>
  <w:abstractNum w:abstractNumId="57">
    <w:nsid w:val="310C50B3"/>
    <w:multiLevelType w:val="hybridMultilevel"/>
    <w:lvl w:ilvl="0">
      <w:lvlJc w:val="left"/>
      <w:lvlText w:val="(%1)"/>
      <w:numFmt w:val="lowerRoman"/>
      <w:start w:val="1"/>
    </w:lvl>
  </w:abstractNum>
  <w:abstractNum w:abstractNumId="58">
    <w:nsid w:val="5FF87E05"/>
    <w:multiLevelType w:val="hybridMultilevel"/>
    <w:lvl w:ilvl="0">
      <w:lvlJc w:val="left"/>
      <w:lvlText w:val="(%1)"/>
      <w:numFmt w:val="lowerRoman"/>
      <w:start w:val="4"/>
    </w:lvl>
  </w:abstractNum>
  <w:abstractNum w:abstractNumId="59">
    <w:nsid w:val="2F305DEF"/>
    <w:multiLevelType w:val="hybridMultilevel"/>
    <w:lvl w:ilvl="0">
      <w:lvlJc w:val="left"/>
      <w:lvlText w:val="(%1)"/>
      <w:numFmt w:val="upperLetter"/>
      <w:start w:val="1"/>
    </w:lvl>
  </w:abstractNum>
  <w:abstractNum w:abstractNumId="60">
    <w:nsid w:val="25A70BF7"/>
    <w:multiLevelType w:val="hybridMultilevel"/>
    <w:lvl w:ilvl="0">
      <w:lvlJc w:val="left"/>
      <w:lvlText w:val="%1"/>
      <w:numFmt w:val="decimal"/>
      <w:start w:val="1"/>
    </w:lvl>
    <w:lvl w:ilvl="1">
      <w:lvlJc w:val="left"/>
      <w:lvlText w:val="(%2)"/>
      <w:numFmt w:val="lowerLetter"/>
      <w:start w:val="3"/>
    </w:lvl>
  </w:abstractNum>
  <w:abstractNum w:abstractNumId="61">
    <w:nsid w:val="1DBABF00"/>
    <w:multiLevelType w:val="hybridMultilevel"/>
    <w:lvl w:ilvl="0">
      <w:lvlJc w:val="left"/>
      <w:lvlText w:val="%1."/>
      <w:numFmt w:val="decimal"/>
      <w:start w:val="13"/>
    </w:lvl>
    <w:lvl w:ilvl="1">
      <w:lvlJc w:val="left"/>
      <w:lvlText w:val="%2"/>
      <w:numFmt w:val="lowerLetter"/>
      <w:start w:val="1"/>
    </w:lvl>
  </w:abstractNum>
  <w:abstractNum w:abstractNumId="62">
    <w:nsid w:val="4AD084E9"/>
    <w:multiLevelType w:val="hybridMultilevel"/>
    <w:lvl w:ilvl="0">
      <w:lvlJc w:val="left"/>
      <w:lvlText w:val="%1."/>
      <w:numFmt w:val="decimal"/>
      <w:start w:val="14"/>
    </w:lvl>
    <w:lvl w:ilvl="1">
      <w:lvlJc w:val="left"/>
      <w:lvlText w:val="(%2)"/>
      <w:numFmt w:val="lowerLetter"/>
      <w:start w:val="1"/>
    </w:lvl>
  </w:abstractNum>
  <w:abstractNum w:abstractNumId="63">
    <w:nsid w:val="1F48EAA1"/>
    <w:multiLevelType w:val="hybridMultilevel"/>
    <w:lvl w:ilvl="0">
      <w:lvlJc w:val="left"/>
      <w:lvlText w:val="%1."/>
      <w:numFmt w:val="decimal"/>
      <w:start w:val="16"/>
    </w:lvl>
  </w:abstractNum>
  <w:abstractNum w:abstractNumId="64">
    <w:nsid w:val="1381823A"/>
    <w:multiLevelType w:val="hybridMultilevel"/>
    <w:lvl w:ilvl="0">
      <w:lvlJc w:val="left"/>
      <w:lvlText w:val="%1."/>
      <w:numFmt w:val="decimal"/>
      <w:start w:val="17"/>
    </w:lvl>
  </w:abstractNum>
  <w:abstractNum w:abstractNumId="65">
    <w:nsid w:val="5DB70AE5"/>
    <w:multiLevelType w:val="hybridMultilevel"/>
    <w:lvl w:ilvl="0">
      <w:lvlJc w:val="left"/>
      <w:lvlText w:val="%1."/>
      <w:numFmt w:val="decimal"/>
      <w:start w:val="18"/>
    </w:lvl>
    <w:lvl w:ilvl="1">
      <w:lvlJc w:val="left"/>
      <w:lvlText w:val="(%2)"/>
      <w:numFmt w:val="lowerLetter"/>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2019-12-05T17:32:47Z</dcterms:created>
  <dcterms:modified xsi:type="dcterms:W3CDTF">2019-12-05T17:32:47Z</dcterms:modified>
</cp:coreProperties>
</file>